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525B9" w14:textId="77777777" w:rsidR="003B57E0" w:rsidRDefault="003B57E0"/>
    <w:p w14:paraId="3E65029F" w14:textId="77777777" w:rsidR="00885AEC" w:rsidRDefault="00885AEC"/>
    <w:p w14:paraId="4422747D" w14:textId="77777777" w:rsidR="00437CF7" w:rsidRDefault="00885AEC" w:rsidP="00437CF7">
      <w:r>
        <w:rPr>
          <w:noProof/>
          <w:lang w:eastAsia="en-GB"/>
        </w:rPr>
        <w:drawing>
          <wp:inline distT="0" distB="0" distL="0" distR="0" wp14:anchorId="67073963" wp14:editId="1B318374">
            <wp:extent cx="3257550" cy="304800"/>
            <wp:effectExtent l="0" t="0" r="0" b="0"/>
            <wp:docPr id="4" name="Picture 4" descr="logo-large-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rge-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7550" cy="304800"/>
                    </a:xfrm>
                    <a:prstGeom prst="rect">
                      <a:avLst/>
                    </a:prstGeom>
                    <a:noFill/>
                    <a:ln>
                      <a:noFill/>
                    </a:ln>
                  </pic:spPr>
                </pic:pic>
              </a:graphicData>
            </a:graphic>
          </wp:inline>
        </w:drawing>
      </w:r>
    </w:p>
    <w:p w14:paraId="78DBBA5F" w14:textId="77777777" w:rsidR="00437CF7" w:rsidRDefault="00437CF7" w:rsidP="00437CF7"/>
    <w:p w14:paraId="2089BBFC" w14:textId="77777777" w:rsidR="00437CF7" w:rsidRPr="00533C95" w:rsidRDefault="00437CF7" w:rsidP="00437CF7"/>
    <w:p w14:paraId="5EFD748F" w14:textId="354763D0" w:rsidR="00437CF7" w:rsidRDefault="005B283A" w:rsidP="00437CF7">
      <w:pPr>
        <w:rPr>
          <w:rFonts w:ascii="Segoe UI" w:hAnsi="Segoe UI" w:cs="Segoe UI"/>
          <w:b/>
          <w:bCs/>
          <w:color w:val="000000"/>
          <w:kern w:val="28"/>
          <w:sz w:val="62"/>
          <w:szCs w:val="62"/>
        </w:rPr>
      </w:pPr>
      <w:r>
        <w:rPr>
          <w:noProof/>
        </w:rPr>
        <mc:AlternateContent>
          <mc:Choice Requires="wps">
            <w:drawing>
              <wp:anchor distT="0" distB="0" distL="114300" distR="114300" simplePos="0" relativeHeight="251658240" behindDoc="0" locked="0" layoutInCell="1" allowOverlap="1" wp14:anchorId="595405CF" wp14:editId="37222DE4">
                <wp:simplePos x="0" y="0"/>
                <wp:positionH relativeFrom="column">
                  <wp:posOffset>19050</wp:posOffset>
                </wp:positionH>
                <wp:positionV relativeFrom="paragraph">
                  <wp:posOffset>92710</wp:posOffset>
                </wp:positionV>
                <wp:extent cx="5943600" cy="717550"/>
                <wp:effectExtent l="0" t="0" r="0" b="25400"/>
                <wp:wrapThrough wrapText="bothSides">
                  <wp:wrapPolygon edited="0">
                    <wp:start x="0" y="0"/>
                    <wp:lineTo x="0" y="22365"/>
                    <wp:lineTo x="21531" y="22365"/>
                    <wp:lineTo x="21531" y="0"/>
                    <wp:lineTo x="0" y="0"/>
                  </wp:wrapPolygon>
                </wp:wrapThrough>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717550"/>
                        </a:xfrm>
                        <a:prstGeom prst="rect">
                          <a:avLst/>
                        </a:prstGeom>
                        <a:solidFill>
                          <a:srgbClr val="004650"/>
                        </a:solidFill>
                        <a:ln>
                          <a:noFill/>
                        </a:ln>
                        <a:effectLst>
                          <a:outerShdw dist="23000" dir="5400000" rotWithShape="0">
                            <a:srgbClr val="000000">
                              <a:alpha val="34999"/>
                            </a:srgbClr>
                          </a:outerShdw>
                        </a:effectLst>
                      </wps:spPr>
                      <wps:txbx>
                        <w:txbxContent>
                          <w:p w14:paraId="1450BD9C" w14:textId="77777777" w:rsidR="00CB4C88" w:rsidRPr="003E50EF" w:rsidRDefault="00CB4C88" w:rsidP="00437CF7">
                            <w:pPr>
                              <w:spacing w:before="240"/>
                              <w:rPr>
                                <w:rFonts w:ascii="Arial" w:hAnsi="Arial" w:cs="Arial"/>
                                <w:color w:val="FFFFFF"/>
                                <w:sz w:val="50"/>
                                <w:szCs w:val="50"/>
                              </w:rPr>
                            </w:pPr>
                            <w:r w:rsidRPr="003E50EF">
                              <w:rPr>
                                <w:rFonts w:ascii="Arial" w:hAnsi="Arial" w:cs="Arial"/>
                                <w:color w:val="FFFFFF"/>
                                <w:sz w:val="50"/>
                                <w:szCs w:val="50"/>
                              </w:rPr>
                              <w:t>Putting NICE guidance into practice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5405CF" id="Rectangle 5" o:spid="_x0000_s1026" style="position:absolute;margin-left:1.5pt;margin-top:7.3pt;width:468pt;height: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" fillcolor="#004650" stroked="f">
                <v:shadow on="t" color="black" opacity="22936f" origin=",.5" offset="0,.63889mm"/>
                <v:textbox>
                  <w:txbxContent>
                    <w:p w14:paraId="1450BD9C" w14:textId="77777777" w:rsidR="00CB4C88" w:rsidRPr="003E50EF" w:rsidRDefault="00CB4C88" w:rsidP="00437CF7">
                      <w:pPr>
                        <w:spacing w:before="240"/>
                        <w:rPr>
                          <w:rFonts w:ascii="Arial" w:hAnsi="Arial" w:cs="Arial"/>
                          <w:color w:val="FFFFFF"/>
                          <w:sz w:val="50"/>
                          <w:szCs w:val="50"/>
                        </w:rPr>
                      </w:pPr>
                      <w:r w:rsidRPr="003E50EF">
                        <w:rPr>
                          <w:rFonts w:ascii="Arial" w:hAnsi="Arial" w:cs="Arial"/>
                          <w:color w:val="FFFFFF"/>
                          <w:sz w:val="50"/>
                          <w:szCs w:val="50"/>
                        </w:rPr>
                        <w:t>Putting NICE guidance into practice</w:t>
                      </w:r>
                    </w:p>
                  </w:txbxContent>
                </v:textbox>
                <w10:wrap type="through"/>
              </v:rect>
            </w:pict>
          </mc:Fallback>
        </mc:AlternateContent>
      </w:r>
    </w:p>
    <w:p w14:paraId="3C6D6CC3" w14:textId="77777777" w:rsidR="00437CF7" w:rsidRPr="00C04750" w:rsidRDefault="00437CF7" w:rsidP="00437CF7">
      <w:pPr>
        <w:rPr>
          <w:rFonts w:ascii="Segoe UI" w:hAnsi="Segoe UI" w:cs="Segoe UI"/>
          <w:b/>
          <w:bCs/>
          <w:color w:val="000000"/>
          <w:kern w:val="28"/>
          <w:sz w:val="62"/>
          <w:szCs w:val="62"/>
        </w:rPr>
      </w:pPr>
    </w:p>
    <w:p w14:paraId="4CF2545F" w14:textId="77777777" w:rsidR="00437CF7" w:rsidRPr="00A336F2" w:rsidRDefault="00ED1870" w:rsidP="00437CF7">
      <w:pPr>
        <w:rPr>
          <w:rFonts w:ascii="Arial" w:hAnsi="Arial" w:cs="Arial"/>
          <w:b/>
          <w:bCs/>
          <w:color w:val="000000"/>
          <w:kern w:val="28"/>
          <w:sz w:val="40"/>
          <w:szCs w:val="40"/>
        </w:rPr>
      </w:pPr>
      <w:r w:rsidRPr="00A336F2">
        <w:rPr>
          <w:rFonts w:ascii="Arial" w:hAnsi="Arial" w:cs="Arial"/>
          <w:b/>
          <w:bCs/>
          <w:color w:val="000000"/>
          <w:kern w:val="28"/>
          <w:sz w:val="48"/>
          <w:szCs w:val="48"/>
        </w:rPr>
        <w:t>Resource impact</w:t>
      </w:r>
      <w:r w:rsidR="003A26D8" w:rsidRPr="00A336F2">
        <w:rPr>
          <w:rFonts w:ascii="Arial" w:hAnsi="Arial" w:cs="Arial"/>
          <w:b/>
          <w:bCs/>
          <w:color w:val="000000"/>
          <w:kern w:val="28"/>
          <w:sz w:val="48"/>
          <w:szCs w:val="48"/>
        </w:rPr>
        <w:t xml:space="preserve"> </w:t>
      </w:r>
      <w:r w:rsidR="00397FB2" w:rsidRPr="00A336F2">
        <w:rPr>
          <w:rFonts w:ascii="Arial" w:hAnsi="Arial" w:cs="Arial"/>
          <w:b/>
          <w:bCs/>
          <w:color w:val="000000"/>
          <w:kern w:val="28"/>
          <w:sz w:val="48"/>
          <w:szCs w:val="48"/>
        </w:rPr>
        <w:t>report</w:t>
      </w:r>
      <w:r w:rsidR="00437CF7" w:rsidRPr="00A336F2">
        <w:rPr>
          <w:rFonts w:ascii="Arial" w:hAnsi="Arial" w:cs="Arial"/>
          <w:b/>
          <w:bCs/>
          <w:color w:val="000000"/>
          <w:kern w:val="28"/>
          <w:sz w:val="48"/>
          <w:szCs w:val="48"/>
        </w:rPr>
        <w:t>:</w:t>
      </w:r>
    </w:p>
    <w:p w14:paraId="1B0A7C69" w14:textId="5D91B68B" w:rsidR="00CB75E3" w:rsidRPr="00A336F2" w:rsidRDefault="00F920BB" w:rsidP="00CB75E3">
      <w:pPr>
        <w:rPr>
          <w:rFonts w:ascii="Arial" w:hAnsi="Arial" w:cs="Arial"/>
          <w:b/>
          <w:bCs/>
          <w:color w:val="000000"/>
          <w:kern w:val="28"/>
          <w:sz w:val="40"/>
          <w:szCs w:val="40"/>
        </w:rPr>
      </w:pPr>
      <w:proofErr w:type="spellStart"/>
      <w:r w:rsidRPr="00F920BB">
        <w:rPr>
          <w:rFonts w:ascii="Arial" w:hAnsi="Arial" w:cs="Arial"/>
          <w:b/>
          <w:bCs/>
          <w:color w:val="000000"/>
          <w:kern w:val="28"/>
          <w:sz w:val="40"/>
          <w:szCs w:val="40"/>
        </w:rPr>
        <w:t>Cabozantinib</w:t>
      </w:r>
      <w:proofErr w:type="spellEnd"/>
      <w:r w:rsidRPr="00F920BB">
        <w:rPr>
          <w:rFonts w:ascii="Arial" w:hAnsi="Arial" w:cs="Arial"/>
          <w:b/>
          <w:bCs/>
          <w:color w:val="000000"/>
          <w:kern w:val="28"/>
          <w:sz w:val="40"/>
          <w:szCs w:val="40"/>
        </w:rPr>
        <w:t xml:space="preserve"> with nivolumab for untreated advanced renal cell carcinoma </w:t>
      </w:r>
      <w:r w:rsidR="00CB75E3">
        <w:rPr>
          <w:rFonts w:ascii="Arial" w:hAnsi="Arial" w:cs="Arial"/>
          <w:b/>
          <w:bCs/>
          <w:color w:val="000000"/>
          <w:kern w:val="28"/>
          <w:sz w:val="40"/>
          <w:szCs w:val="40"/>
        </w:rPr>
        <w:t>(</w:t>
      </w:r>
      <w:r w:rsidR="00495260">
        <w:rPr>
          <w:rFonts w:ascii="Arial" w:hAnsi="Arial" w:cs="Arial"/>
          <w:b/>
          <w:bCs/>
          <w:color w:val="000000"/>
          <w:kern w:val="28"/>
          <w:sz w:val="40"/>
          <w:szCs w:val="40"/>
        </w:rPr>
        <w:t>TA964</w:t>
      </w:r>
      <w:r w:rsidR="00CB75E3" w:rsidRPr="00A336F2">
        <w:rPr>
          <w:rFonts w:ascii="Arial" w:hAnsi="Arial" w:cs="Arial"/>
          <w:b/>
          <w:bCs/>
          <w:color w:val="000000"/>
          <w:kern w:val="28"/>
          <w:sz w:val="40"/>
          <w:szCs w:val="40"/>
        </w:rPr>
        <w:t>)</w:t>
      </w:r>
    </w:p>
    <w:p w14:paraId="7AE4392E" w14:textId="77777777" w:rsidR="00437CF7" w:rsidRPr="00A336F2" w:rsidRDefault="00437CF7" w:rsidP="00437CF7">
      <w:pPr>
        <w:rPr>
          <w:rFonts w:ascii="Arial" w:hAnsi="Arial" w:cs="Arial"/>
          <w:b/>
          <w:bCs/>
          <w:color w:val="000000"/>
          <w:kern w:val="28"/>
          <w:sz w:val="44"/>
          <w:szCs w:val="44"/>
        </w:rPr>
      </w:pPr>
    </w:p>
    <w:p w14:paraId="20728469" w14:textId="77777777" w:rsidR="006758E9" w:rsidRPr="00A336F2" w:rsidRDefault="006758E9" w:rsidP="00437CF7">
      <w:pPr>
        <w:rPr>
          <w:rFonts w:ascii="Arial" w:hAnsi="Arial" w:cs="Arial"/>
          <w:b/>
          <w:bCs/>
          <w:color w:val="000000"/>
          <w:kern w:val="28"/>
          <w:sz w:val="44"/>
          <w:szCs w:val="44"/>
        </w:rPr>
      </w:pPr>
    </w:p>
    <w:p w14:paraId="644E7CCB" w14:textId="77777777" w:rsidR="00365974" w:rsidRPr="00A336F2" w:rsidRDefault="00365974" w:rsidP="00437CF7">
      <w:pPr>
        <w:rPr>
          <w:rFonts w:ascii="Arial" w:hAnsi="Arial" w:cs="Arial"/>
          <w:b/>
          <w:bCs/>
          <w:color w:val="000000"/>
          <w:kern w:val="28"/>
          <w:sz w:val="44"/>
          <w:szCs w:val="44"/>
        </w:rPr>
      </w:pPr>
    </w:p>
    <w:p w14:paraId="321670FB" w14:textId="21F0669C" w:rsidR="00437CF7" w:rsidRDefault="00437CF7" w:rsidP="00E449A2">
      <w:pPr>
        <w:pStyle w:val="NICEnormalsinglespacing"/>
        <w:rPr>
          <w:rFonts w:cs="Arial"/>
          <w:color w:val="7F7F7F"/>
          <w:sz w:val="36"/>
          <w:szCs w:val="36"/>
        </w:rPr>
      </w:pPr>
      <w:r w:rsidRPr="00A336F2">
        <w:rPr>
          <w:rFonts w:cs="Arial"/>
          <w:color w:val="7F7F7F"/>
          <w:sz w:val="36"/>
          <w:szCs w:val="36"/>
        </w:rPr>
        <w:t xml:space="preserve">Published: </w:t>
      </w:r>
      <w:r w:rsidR="00F920BB">
        <w:rPr>
          <w:rFonts w:cs="Arial"/>
          <w:color w:val="7F7F7F"/>
          <w:sz w:val="36"/>
          <w:szCs w:val="36"/>
        </w:rPr>
        <w:t>April</w:t>
      </w:r>
      <w:r w:rsidR="00D57F11">
        <w:rPr>
          <w:rFonts w:cs="Arial"/>
          <w:color w:val="7F7F7F"/>
          <w:sz w:val="36"/>
          <w:szCs w:val="36"/>
        </w:rPr>
        <w:t xml:space="preserve"> 2024</w:t>
      </w:r>
      <w:r w:rsidR="00017367" w:rsidRPr="00A336F2">
        <w:rPr>
          <w:rFonts w:cs="Arial"/>
          <w:color w:val="7F7F7F"/>
          <w:sz w:val="36"/>
          <w:szCs w:val="36"/>
        </w:rPr>
        <w:t xml:space="preserve"> </w:t>
      </w:r>
    </w:p>
    <w:p w14:paraId="6DBFA9D5" w14:textId="77777777" w:rsidR="00D36CE6" w:rsidRPr="004471BE" w:rsidRDefault="00D36CE6" w:rsidP="00D36CE6">
      <w:pPr>
        <w:rPr>
          <w:rFonts w:ascii="Segoe UI" w:hAnsi="Segoe UI" w:cs="Segoe UI"/>
          <w:b/>
          <w:bCs/>
          <w:color w:val="000000"/>
          <w:kern w:val="28"/>
          <w:sz w:val="44"/>
          <w:szCs w:val="44"/>
        </w:rPr>
      </w:pPr>
    </w:p>
    <w:p w14:paraId="6CE3487D" w14:textId="77777777" w:rsidR="00365974" w:rsidRDefault="00365974" w:rsidP="00D36CE6">
      <w:pPr>
        <w:rPr>
          <w:rFonts w:ascii="Segoe UI" w:hAnsi="Segoe UI" w:cs="Segoe UI"/>
          <w:b/>
          <w:bCs/>
          <w:color w:val="000000"/>
          <w:kern w:val="28"/>
          <w:sz w:val="44"/>
          <w:szCs w:val="44"/>
        </w:rPr>
      </w:pPr>
    </w:p>
    <w:p w14:paraId="6660C3D7" w14:textId="77777777" w:rsidR="00C45FF1" w:rsidRDefault="00C45FF1" w:rsidP="00E449A2">
      <w:pPr>
        <w:pStyle w:val="Heading1"/>
      </w:pPr>
    </w:p>
    <w:p w14:paraId="2946069E" w14:textId="77777777" w:rsidR="004B1875" w:rsidRDefault="004B1875" w:rsidP="004B1875">
      <w:pPr>
        <w:pStyle w:val="NICEnormal"/>
        <w:rPr>
          <w:lang w:val="en-GB"/>
        </w:rPr>
      </w:pPr>
    </w:p>
    <w:p w14:paraId="7E78AA5F" w14:textId="77777777" w:rsidR="00933040" w:rsidRDefault="00933040">
      <w:pPr>
        <w:rPr>
          <w:rFonts w:ascii="Arial" w:hAnsi="Arial"/>
        </w:rPr>
      </w:pPr>
      <w:r>
        <w:br w:type="page"/>
      </w:r>
    </w:p>
    <w:p w14:paraId="1C561145" w14:textId="613CE6C1" w:rsidR="00CB75E3" w:rsidRPr="00CB75E3" w:rsidRDefault="005B283A" w:rsidP="00CB75E3">
      <w:pPr>
        <w:pStyle w:val="Heading1"/>
      </w:pPr>
      <w:r>
        <w:rPr>
          <w:noProof/>
        </w:rPr>
        <w:lastRenderedPageBreak/>
        <mc:AlternateContent>
          <mc:Choice Requires="wps">
            <w:drawing>
              <wp:anchor distT="0" distB="0" distL="114300" distR="114300" simplePos="0" relativeHeight="251658241" behindDoc="1" locked="0" layoutInCell="1" allowOverlap="1" wp14:anchorId="64B16E62" wp14:editId="2D8CE459">
                <wp:simplePos x="0" y="0"/>
                <wp:positionH relativeFrom="margin">
                  <wp:posOffset>-385445</wp:posOffset>
                </wp:positionH>
                <wp:positionV relativeFrom="paragraph">
                  <wp:posOffset>-285750</wp:posOffset>
                </wp:positionV>
                <wp:extent cx="6048375" cy="939800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9398000"/>
                        </a:xfrm>
                        <a:prstGeom prst="rect">
                          <a:avLst/>
                        </a:prstGeom>
                        <a:noFill/>
                        <a:ln w="25400" cap="flat" cmpd="sng" algn="ctr">
                          <a:solidFill>
                            <a:srgbClr val="0046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A3238" id="Rectangle 1" o:spid="_x0000_s1026" style="position:absolute;margin-left:-30.35pt;margin-top:-22.5pt;width:476.25pt;height:740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" filled="f" strokecolor="#004650" strokeweight="2pt">
                <v:path arrowok="t"/>
                <w10:wrap anchorx="margin"/>
              </v:rect>
            </w:pict>
          </mc:Fallback>
        </mc:AlternateContent>
      </w:r>
      <w:r w:rsidR="00CB75E3" w:rsidRPr="00CB75E3">
        <w:t>Summary</w:t>
      </w:r>
    </w:p>
    <w:p w14:paraId="3BDC92A8" w14:textId="52156351" w:rsidR="00D46A46" w:rsidRPr="00DD4DF2" w:rsidRDefault="00CB75E3" w:rsidP="00D46A46">
      <w:pPr>
        <w:spacing w:after="240" w:line="360" w:lineRule="auto"/>
        <w:rPr>
          <w:rFonts w:ascii="Arial" w:hAnsi="Arial"/>
          <w:lang w:val="en-US"/>
        </w:rPr>
      </w:pPr>
      <w:r w:rsidRPr="00CB75E3">
        <w:rPr>
          <w:rFonts w:ascii="Arial" w:hAnsi="Arial"/>
          <w:lang w:val="en-US"/>
        </w:rPr>
        <w:t xml:space="preserve">NICE </w:t>
      </w:r>
      <w:r w:rsidRPr="00DD4DF2">
        <w:rPr>
          <w:rFonts w:ascii="Arial" w:hAnsi="Arial"/>
          <w:lang w:val="en-US"/>
        </w:rPr>
        <w:t>has recommended</w:t>
      </w:r>
      <w:r w:rsidR="00BA345F" w:rsidRPr="00DD4DF2">
        <w:rPr>
          <w:rFonts w:ascii="Arial" w:hAnsi="Arial"/>
          <w:lang w:val="en-US"/>
        </w:rPr>
        <w:t xml:space="preserve"> </w:t>
      </w:r>
      <w:proofErr w:type="spellStart"/>
      <w:r w:rsidR="00F920BB" w:rsidRPr="00DD4DF2">
        <w:rPr>
          <w:rFonts w:ascii="Arial" w:hAnsi="Arial"/>
          <w:lang w:val="en-US"/>
        </w:rPr>
        <w:t>cabozantinib</w:t>
      </w:r>
      <w:proofErr w:type="spellEnd"/>
      <w:r w:rsidR="00F920BB" w:rsidRPr="00DD4DF2">
        <w:rPr>
          <w:rFonts w:ascii="Arial" w:hAnsi="Arial"/>
          <w:lang w:val="en-US"/>
        </w:rPr>
        <w:t xml:space="preserve"> </w:t>
      </w:r>
      <w:r w:rsidR="002E25EF" w:rsidRPr="00DD4DF2">
        <w:rPr>
          <w:rFonts w:ascii="Arial" w:hAnsi="Arial"/>
          <w:lang w:val="en-US"/>
        </w:rPr>
        <w:t>with</w:t>
      </w:r>
      <w:r w:rsidR="00F920BB" w:rsidRPr="00DD4DF2">
        <w:rPr>
          <w:rFonts w:ascii="Arial" w:hAnsi="Arial"/>
          <w:lang w:val="en-US"/>
        </w:rPr>
        <w:t xml:space="preserve"> nivolumab as an option for untreated advanced renal cell carcinoma in adults, only if:</w:t>
      </w:r>
    </w:p>
    <w:p w14:paraId="60756E4F" w14:textId="02A6D080" w:rsidR="00F920BB" w:rsidRPr="00DD4DF2" w:rsidRDefault="00D46A46" w:rsidP="00DD4DF2">
      <w:pPr>
        <w:spacing w:after="240" w:line="360" w:lineRule="auto"/>
        <w:ind w:left="720" w:hanging="720"/>
        <w:rPr>
          <w:rFonts w:ascii="Arial" w:hAnsi="Arial"/>
          <w:lang w:val="en-US"/>
        </w:rPr>
      </w:pPr>
      <w:r w:rsidRPr="00DD4DF2">
        <w:rPr>
          <w:rFonts w:ascii="Arial" w:hAnsi="Arial"/>
          <w:lang w:val="en-US"/>
        </w:rPr>
        <w:t>•</w:t>
      </w:r>
      <w:r w:rsidR="00DD4DF2" w:rsidRPr="00DD4DF2">
        <w:rPr>
          <w:rFonts w:ascii="Arial" w:hAnsi="Arial"/>
          <w:lang w:val="en-US"/>
        </w:rPr>
        <w:tab/>
      </w:r>
      <w:r w:rsidR="00F920BB" w:rsidRPr="00DD4DF2">
        <w:rPr>
          <w:rFonts w:ascii="Arial" w:hAnsi="Arial"/>
          <w:lang w:val="en-US"/>
        </w:rPr>
        <w:t>their disease is intermediate or poor risk as defined in the International Metastatic Renal Cell Carcinoma Database Consortium criteria, and</w:t>
      </w:r>
    </w:p>
    <w:p w14:paraId="1415BA79" w14:textId="7E941BF2" w:rsidR="00F920BB" w:rsidRPr="00DD4DF2" w:rsidRDefault="00F920BB" w:rsidP="00DD4DF2">
      <w:pPr>
        <w:spacing w:after="240" w:line="360" w:lineRule="auto"/>
        <w:ind w:left="720" w:hanging="720"/>
        <w:rPr>
          <w:rFonts w:ascii="Arial" w:hAnsi="Arial"/>
          <w:lang w:val="en-US"/>
        </w:rPr>
      </w:pPr>
      <w:r w:rsidRPr="00DD4DF2">
        <w:rPr>
          <w:rFonts w:ascii="Arial" w:hAnsi="Arial"/>
          <w:lang w:val="en-US"/>
        </w:rPr>
        <w:t>•</w:t>
      </w:r>
      <w:r w:rsidRPr="00DD4DF2">
        <w:rPr>
          <w:rFonts w:ascii="Arial" w:hAnsi="Arial"/>
          <w:lang w:val="en-US"/>
        </w:rPr>
        <w:tab/>
        <w:t xml:space="preserve">nivolumab </w:t>
      </w:r>
      <w:r w:rsidR="002E25EF" w:rsidRPr="00DD4DF2">
        <w:rPr>
          <w:rFonts w:ascii="Arial" w:hAnsi="Arial"/>
          <w:lang w:val="en-US"/>
        </w:rPr>
        <w:t xml:space="preserve">with </w:t>
      </w:r>
      <w:r w:rsidRPr="00DD4DF2">
        <w:rPr>
          <w:rFonts w:ascii="Arial" w:hAnsi="Arial"/>
          <w:lang w:val="en-US"/>
        </w:rPr>
        <w:t xml:space="preserve">ipilimumab or lenvatinib </w:t>
      </w:r>
      <w:r w:rsidR="002E25EF" w:rsidRPr="00DD4DF2">
        <w:rPr>
          <w:rFonts w:ascii="Arial" w:hAnsi="Arial"/>
          <w:lang w:val="en-US"/>
        </w:rPr>
        <w:t xml:space="preserve">with </w:t>
      </w:r>
      <w:r w:rsidRPr="00DD4DF2">
        <w:rPr>
          <w:rFonts w:ascii="Arial" w:hAnsi="Arial"/>
          <w:lang w:val="en-US"/>
        </w:rPr>
        <w:t>pembrolizumab would otherwise be offered, and</w:t>
      </w:r>
    </w:p>
    <w:p w14:paraId="43DAAEE1" w14:textId="77777777" w:rsidR="00F920BB" w:rsidRPr="00DD4DF2" w:rsidRDefault="00F920BB" w:rsidP="00DD4DF2">
      <w:pPr>
        <w:spacing w:after="240" w:line="360" w:lineRule="auto"/>
        <w:ind w:left="720" w:hanging="720"/>
        <w:rPr>
          <w:rFonts w:ascii="Arial" w:hAnsi="Arial"/>
          <w:lang w:val="en-US"/>
        </w:rPr>
      </w:pPr>
      <w:r w:rsidRPr="00DD4DF2">
        <w:rPr>
          <w:rFonts w:ascii="Arial" w:hAnsi="Arial"/>
          <w:lang w:val="en-US"/>
        </w:rPr>
        <w:t>•</w:t>
      </w:r>
      <w:r w:rsidRPr="00DD4DF2">
        <w:rPr>
          <w:rFonts w:ascii="Arial" w:hAnsi="Arial"/>
          <w:lang w:val="en-US"/>
        </w:rPr>
        <w:tab/>
        <w:t xml:space="preserve">the companies provide </w:t>
      </w:r>
      <w:proofErr w:type="spellStart"/>
      <w:r w:rsidRPr="00DD4DF2">
        <w:rPr>
          <w:rFonts w:ascii="Arial" w:hAnsi="Arial"/>
          <w:lang w:val="en-US"/>
        </w:rPr>
        <w:t>cabozantinib</w:t>
      </w:r>
      <w:proofErr w:type="spellEnd"/>
      <w:r w:rsidRPr="00DD4DF2">
        <w:rPr>
          <w:rFonts w:ascii="Arial" w:hAnsi="Arial"/>
          <w:lang w:val="en-US"/>
        </w:rPr>
        <w:t xml:space="preserve"> and nivolumab according to their commercial arrangements.</w:t>
      </w:r>
    </w:p>
    <w:p w14:paraId="01AB1A8B" w14:textId="5E8767B8" w:rsidR="00CB75E3" w:rsidRPr="00CB75E3" w:rsidRDefault="00CB75E3" w:rsidP="00F920BB">
      <w:pPr>
        <w:spacing w:after="240" w:line="360" w:lineRule="auto"/>
        <w:rPr>
          <w:rFonts w:ascii="Arial" w:hAnsi="Arial"/>
          <w:lang w:val="en-US"/>
        </w:rPr>
      </w:pPr>
      <w:r w:rsidRPr="00CB75E3">
        <w:rPr>
          <w:rFonts w:ascii="Arial" w:hAnsi="Arial"/>
          <w:lang w:val="en-US"/>
        </w:rPr>
        <w:t>We estimate</w:t>
      </w:r>
      <w:r w:rsidR="002E39EB">
        <w:rPr>
          <w:rFonts w:ascii="Arial" w:hAnsi="Arial"/>
          <w:lang w:val="en-US"/>
        </w:rPr>
        <w:t>, after adjusting for pop</w:t>
      </w:r>
      <w:r w:rsidR="00314E5E">
        <w:rPr>
          <w:rFonts w:ascii="Arial" w:hAnsi="Arial"/>
          <w:lang w:val="en-US"/>
        </w:rPr>
        <w:t>ulation growth, by 2028</w:t>
      </w:r>
      <w:r w:rsidR="00E5236A">
        <w:rPr>
          <w:rFonts w:ascii="Arial" w:hAnsi="Arial"/>
          <w:lang w:val="en-US"/>
        </w:rPr>
        <w:t>/29</w:t>
      </w:r>
      <w:r w:rsidR="00746A97">
        <w:rPr>
          <w:rFonts w:ascii="Arial" w:hAnsi="Arial"/>
          <w:lang w:val="en-US"/>
        </w:rPr>
        <w:t xml:space="preserve"> around</w:t>
      </w:r>
      <w:r w:rsidRPr="00CB75E3">
        <w:rPr>
          <w:rFonts w:ascii="Arial" w:hAnsi="Arial"/>
          <w:lang w:val="en-US"/>
        </w:rPr>
        <w:t>:</w:t>
      </w:r>
    </w:p>
    <w:p w14:paraId="793B4863" w14:textId="5F22EDC3" w:rsidR="00CB75E3" w:rsidRPr="00E5236A" w:rsidRDefault="00F920BB" w:rsidP="00E5236A">
      <w:pPr>
        <w:numPr>
          <w:ilvl w:val="0"/>
          <w:numId w:val="8"/>
        </w:numPr>
        <w:spacing w:after="240" w:line="360" w:lineRule="auto"/>
        <w:rPr>
          <w:rFonts w:ascii="Arial" w:hAnsi="Arial" w:cs="Arial"/>
          <w:lang w:val="en-US"/>
        </w:rPr>
      </w:pPr>
      <w:bookmarkStart w:id="0" w:name="_Hlk129943690"/>
      <w:bookmarkStart w:id="1" w:name="_Hlk146023532"/>
      <w:r w:rsidRPr="00E5236A">
        <w:rPr>
          <w:rFonts w:ascii="Arial" w:hAnsi="Arial"/>
          <w:lang w:val="en-US"/>
        </w:rPr>
        <w:t>1,1</w:t>
      </w:r>
      <w:r w:rsidR="00E87402">
        <w:rPr>
          <w:rFonts w:ascii="Arial" w:hAnsi="Arial"/>
          <w:lang w:val="en-US"/>
        </w:rPr>
        <w:t>5</w:t>
      </w:r>
      <w:r w:rsidR="0077176C">
        <w:rPr>
          <w:rFonts w:ascii="Arial" w:hAnsi="Arial"/>
          <w:lang w:val="en-US"/>
        </w:rPr>
        <w:t>4</w:t>
      </w:r>
      <w:r w:rsidR="007D66D2" w:rsidRPr="00E5236A">
        <w:rPr>
          <w:rFonts w:ascii="Arial" w:hAnsi="Arial"/>
          <w:lang w:val="en-US"/>
        </w:rPr>
        <w:t xml:space="preserve"> </w:t>
      </w:r>
      <w:r w:rsidR="00CB75E3" w:rsidRPr="00E5236A">
        <w:rPr>
          <w:rFonts w:ascii="Arial" w:hAnsi="Arial"/>
          <w:lang w:val="en-US"/>
        </w:rPr>
        <w:t xml:space="preserve">adults with </w:t>
      </w:r>
      <w:r w:rsidRPr="00E5236A">
        <w:rPr>
          <w:rFonts w:ascii="Arial" w:hAnsi="Arial"/>
          <w:lang w:val="en-US"/>
        </w:rPr>
        <w:t xml:space="preserve">untreated advanced renal cell carcinoma </w:t>
      </w:r>
      <w:r w:rsidR="00CB75E3" w:rsidRPr="00E5236A">
        <w:rPr>
          <w:rFonts w:ascii="Arial" w:hAnsi="Arial"/>
          <w:lang w:val="en-US"/>
        </w:rPr>
        <w:t xml:space="preserve">are eligible for treatment with </w:t>
      </w:r>
      <w:proofErr w:type="spellStart"/>
      <w:r w:rsidRPr="00E5236A">
        <w:rPr>
          <w:rFonts w:ascii="Arial" w:hAnsi="Arial"/>
          <w:lang w:val="en-US"/>
        </w:rPr>
        <w:t>cabozantinib</w:t>
      </w:r>
      <w:proofErr w:type="spellEnd"/>
      <w:r w:rsidRPr="00E5236A">
        <w:rPr>
          <w:rFonts w:ascii="Arial" w:hAnsi="Arial"/>
          <w:lang w:val="en-US"/>
        </w:rPr>
        <w:t xml:space="preserve"> </w:t>
      </w:r>
      <w:r w:rsidR="002E25EF" w:rsidRPr="00E5236A">
        <w:rPr>
          <w:rFonts w:ascii="Arial" w:hAnsi="Arial"/>
          <w:lang w:val="en-US"/>
        </w:rPr>
        <w:t>with</w:t>
      </w:r>
      <w:r w:rsidRPr="00E5236A">
        <w:rPr>
          <w:rFonts w:ascii="Arial" w:hAnsi="Arial"/>
          <w:lang w:val="en-US"/>
        </w:rPr>
        <w:t xml:space="preserve"> nivolumab</w:t>
      </w:r>
      <w:r w:rsidR="00E5236A">
        <w:rPr>
          <w:rFonts w:ascii="Arial" w:hAnsi="Arial"/>
          <w:lang w:val="en-US"/>
        </w:rPr>
        <w:t>.</w:t>
      </w:r>
      <w:r w:rsidR="00320063">
        <w:rPr>
          <w:rFonts w:ascii="Arial" w:hAnsi="Arial"/>
          <w:lang w:val="en-US"/>
        </w:rPr>
        <w:t xml:space="preserve"> </w:t>
      </w:r>
      <w:r w:rsidR="00885BEC">
        <w:rPr>
          <w:rFonts w:ascii="Arial" w:hAnsi="Arial" w:cs="Arial"/>
          <w:lang w:val="en-US"/>
        </w:rPr>
        <w:t>40</w:t>
      </w:r>
      <w:r w:rsidR="0077176C">
        <w:rPr>
          <w:rFonts w:ascii="Arial" w:hAnsi="Arial" w:cs="Arial"/>
          <w:lang w:val="en-US"/>
        </w:rPr>
        <w:t>4</w:t>
      </w:r>
      <w:r w:rsidR="00CB75E3" w:rsidRPr="00E5236A">
        <w:rPr>
          <w:rFonts w:ascii="Arial" w:hAnsi="Arial" w:cs="Arial"/>
          <w:lang w:val="en-US"/>
        </w:rPr>
        <w:t xml:space="preserve"> adults will </w:t>
      </w:r>
      <w:r w:rsidR="00DA6F3E" w:rsidRPr="00E5236A">
        <w:rPr>
          <w:rFonts w:ascii="Arial" w:hAnsi="Arial" w:cs="Arial"/>
          <w:lang w:val="en-US"/>
        </w:rPr>
        <w:t>start treatment with</w:t>
      </w:r>
      <w:r w:rsidR="00CB75E3" w:rsidRPr="00E5236A">
        <w:rPr>
          <w:rFonts w:ascii="Arial" w:hAnsi="Arial" w:cs="Arial"/>
          <w:lang w:val="en-US"/>
        </w:rPr>
        <w:t xml:space="preserve"> </w:t>
      </w:r>
      <w:proofErr w:type="spellStart"/>
      <w:r w:rsidR="00754E72" w:rsidRPr="00E5236A">
        <w:rPr>
          <w:rFonts w:ascii="Arial" w:hAnsi="Arial" w:cs="Arial"/>
          <w:lang w:val="en-US"/>
        </w:rPr>
        <w:t>cabozantinib</w:t>
      </w:r>
      <w:proofErr w:type="spellEnd"/>
      <w:r w:rsidR="00754E72" w:rsidRPr="00E5236A">
        <w:rPr>
          <w:rFonts w:ascii="Arial" w:hAnsi="Arial" w:cs="Arial"/>
          <w:lang w:val="en-US"/>
        </w:rPr>
        <w:t xml:space="preserve"> </w:t>
      </w:r>
      <w:r w:rsidR="002E25EF" w:rsidRPr="00E5236A">
        <w:rPr>
          <w:rFonts w:ascii="Arial" w:hAnsi="Arial" w:cs="Arial"/>
          <w:lang w:val="en-US"/>
        </w:rPr>
        <w:t xml:space="preserve">with </w:t>
      </w:r>
      <w:r w:rsidR="00754E72" w:rsidRPr="00E5236A">
        <w:rPr>
          <w:rFonts w:ascii="Arial" w:hAnsi="Arial" w:cs="Arial"/>
          <w:lang w:val="en-US"/>
        </w:rPr>
        <w:t>nivolumab</w:t>
      </w:r>
      <w:r w:rsidR="009327E2" w:rsidRPr="00E5236A">
        <w:rPr>
          <w:rFonts w:ascii="Arial" w:hAnsi="Arial" w:cs="Arial"/>
          <w:lang w:val="en-US"/>
        </w:rPr>
        <w:t xml:space="preserve"> </w:t>
      </w:r>
      <w:r w:rsidR="7187426D" w:rsidRPr="00E5236A">
        <w:rPr>
          <w:rFonts w:ascii="Arial" w:hAnsi="Arial" w:cs="Arial"/>
          <w:lang w:val="en-US"/>
        </w:rPr>
        <w:t>each year</w:t>
      </w:r>
      <w:r w:rsidR="00E5236A">
        <w:rPr>
          <w:rFonts w:ascii="Arial" w:hAnsi="Arial" w:cs="Arial"/>
          <w:lang w:val="en-US"/>
        </w:rPr>
        <w:t>.</w:t>
      </w:r>
      <w:r w:rsidR="00DA6F3E" w:rsidRPr="00E5236A">
        <w:rPr>
          <w:rFonts w:ascii="Arial" w:hAnsi="Arial" w:cs="Arial"/>
          <w:lang w:val="en-US"/>
        </w:rPr>
        <w:t xml:space="preserve"> This is</w:t>
      </w:r>
      <w:r w:rsidR="00EA6874" w:rsidRPr="00E5236A">
        <w:rPr>
          <w:rFonts w:ascii="Arial" w:hAnsi="Arial" w:cs="Arial"/>
          <w:lang w:val="en-US"/>
        </w:rPr>
        <w:t xml:space="preserve"> based on </w:t>
      </w:r>
      <w:r w:rsidR="00754E72" w:rsidRPr="00E5236A">
        <w:rPr>
          <w:rFonts w:ascii="Arial" w:hAnsi="Arial" w:cs="Arial"/>
          <w:lang w:val="en-US"/>
        </w:rPr>
        <w:t xml:space="preserve">consultant nephrologist </w:t>
      </w:r>
      <w:r w:rsidR="00BA345F" w:rsidRPr="00E5236A">
        <w:rPr>
          <w:rFonts w:ascii="Arial" w:hAnsi="Arial" w:cs="Arial"/>
          <w:lang w:val="en-US"/>
        </w:rPr>
        <w:t>opinion</w:t>
      </w:r>
      <w:r w:rsidR="74345DD9" w:rsidRPr="00E5236A">
        <w:rPr>
          <w:rFonts w:ascii="Arial" w:hAnsi="Arial" w:cs="Arial"/>
          <w:lang w:val="en-US"/>
        </w:rPr>
        <w:t>.</w:t>
      </w:r>
    </w:p>
    <w:bookmarkEnd w:id="0"/>
    <w:p w14:paraId="7254E4EA" w14:textId="56337E58" w:rsidR="00CB75E3" w:rsidRPr="00CB75E3" w:rsidRDefault="00CB75E3" w:rsidP="00CB75E3">
      <w:pPr>
        <w:keepNext/>
        <w:spacing w:before="240" w:after="60" w:line="360" w:lineRule="auto"/>
        <w:outlineLvl w:val="2"/>
        <w:rPr>
          <w:rFonts w:ascii="Arial" w:hAnsi="Arial" w:cs="Arial"/>
          <w:b/>
          <w:bCs/>
        </w:rPr>
      </w:pPr>
      <w:r w:rsidRPr="00CB75E3">
        <w:rPr>
          <w:rFonts w:ascii="Arial" w:hAnsi="Arial" w:cs="Arial"/>
          <w:b/>
          <w:bCs/>
        </w:rPr>
        <w:t xml:space="preserve">Table 1 Estimated number of people in England </w:t>
      </w:r>
      <w:r w:rsidR="00DA6F3E">
        <w:rPr>
          <w:rFonts w:ascii="Arial" w:hAnsi="Arial" w:cs="Arial"/>
          <w:b/>
          <w:bCs/>
        </w:rPr>
        <w:t>starting treatment with</w:t>
      </w:r>
      <w:r w:rsidRPr="00CB75E3">
        <w:rPr>
          <w:rFonts w:ascii="Arial" w:hAnsi="Arial" w:cs="Arial"/>
          <w:b/>
          <w:bCs/>
        </w:rPr>
        <w:t xml:space="preserve"> </w:t>
      </w:r>
      <w:proofErr w:type="spellStart"/>
      <w:r w:rsidR="00754E72" w:rsidRPr="00754E72">
        <w:rPr>
          <w:rFonts w:ascii="Arial" w:hAnsi="Arial" w:cs="Arial"/>
          <w:b/>
          <w:bCs/>
        </w:rPr>
        <w:t>cabozantinib</w:t>
      </w:r>
      <w:proofErr w:type="spellEnd"/>
      <w:r w:rsidR="00754E72" w:rsidRPr="00754E72">
        <w:rPr>
          <w:rFonts w:ascii="Arial" w:hAnsi="Arial" w:cs="Arial"/>
          <w:b/>
          <w:bCs/>
        </w:rPr>
        <w:t xml:space="preserve"> </w:t>
      </w:r>
      <w:r w:rsidR="002E25EF">
        <w:rPr>
          <w:rFonts w:ascii="Arial" w:hAnsi="Arial" w:cs="Arial"/>
          <w:b/>
          <w:bCs/>
        </w:rPr>
        <w:t>with</w:t>
      </w:r>
      <w:r w:rsidR="002E25EF" w:rsidRPr="00754E72">
        <w:rPr>
          <w:rFonts w:ascii="Arial" w:hAnsi="Arial" w:cs="Arial"/>
          <w:b/>
          <w:bCs/>
        </w:rPr>
        <w:t xml:space="preserve"> </w:t>
      </w:r>
      <w:r w:rsidR="00754E72" w:rsidRPr="00754E72">
        <w:rPr>
          <w:rFonts w:ascii="Arial" w:hAnsi="Arial" w:cs="Arial"/>
          <w:b/>
          <w:bCs/>
        </w:rPr>
        <w:t xml:space="preserve">nivolumab </w:t>
      </w:r>
      <w:r w:rsidR="00DA6F3E">
        <w:rPr>
          <w:rFonts w:ascii="Arial" w:hAnsi="Arial" w:cs="Arial"/>
          <w:b/>
          <w:bCs/>
        </w:rPr>
        <w:t xml:space="preserve">each </w:t>
      </w:r>
      <w:proofErr w:type="gramStart"/>
      <w:r w:rsidR="00DA6F3E">
        <w:rPr>
          <w:rFonts w:ascii="Arial" w:hAnsi="Arial" w:cs="Arial"/>
          <w:b/>
          <w:bCs/>
        </w:rPr>
        <w:t>year</w:t>
      </w:r>
      <w:proofErr w:type="gramEnd"/>
    </w:p>
    <w:tbl>
      <w:tblPr>
        <w:tblW w:w="85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134"/>
        <w:gridCol w:w="1162"/>
        <w:gridCol w:w="1106"/>
        <w:gridCol w:w="1134"/>
        <w:gridCol w:w="1191"/>
      </w:tblGrid>
      <w:tr w:rsidR="00E25A46" w:rsidRPr="00CB75E3" w14:paraId="4B0BD5F4" w14:textId="77777777" w:rsidTr="0077176C">
        <w:tc>
          <w:tcPr>
            <w:tcW w:w="2836" w:type="dxa"/>
            <w:shd w:val="clear" w:color="auto" w:fill="auto"/>
          </w:tcPr>
          <w:p w14:paraId="3DDED507" w14:textId="77777777" w:rsidR="00E25A46" w:rsidRPr="00CB75E3" w:rsidRDefault="00E25A46" w:rsidP="00E25A46">
            <w:pPr>
              <w:tabs>
                <w:tab w:val="left" w:pos="1134"/>
              </w:tabs>
              <w:spacing w:after="240" w:line="360" w:lineRule="auto"/>
              <w:rPr>
                <w:rFonts w:ascii="Arial" w:hAnsi="Arial"/>
                <w:b/>
                <w:sz w:val="22"/>
                <w:szCs w:val="22"/>
                <w:lang w:val="en-US"/>
              </w:rPr>
            </w:pPr>
            <w:bookmarkStart w:id="2" w:name="_Hlk146025073"/>
          </w:p>
        </w:tc>
        <w:tc>
          <w:tcPr>
            <w:tcW w:w="1134" w:type="dxa"/>
            <w:shd w:val="clear" w:color="auto" w:fill="auto"/>
          </w:tcPr>
          <w:p w14:paraId="289F364D" w14:textId="1D6D4CD3" w:rsidR="00E25A46" w:rsidRPr="00CB75E3" w:rsidRDefault="00E25A46" w:rsidP="00E25A46">
            <w:pPr>
              <w:keepNext/>
              <w:spacing w:after="60"/>
              <w:jc w:val="right"/>
              <w:rPr>
                <w:rFonts w:ascii="Arial" w:hAnsi="Arial"/>
                <w:b/>
                <w:bCs/>
                <w:sz w:val="22"/>
                <w:lang w:val="en-US"/>
              </w:rPr>
            </w:pPr>
            <w:r w:rsidRPr="00E25A46">
              <w:rPr>
                <w:rFonts w:ascii="Arial" w:hAnsi="Arial"/>
                <w:b/>
                <w:bCs/>
                <w:sz w:val="22"/>
                <w:lang w:val="en-US"/>
              </w:rPr>
              <w:t>2024/25</w:t>
            </w:r>
          </w:p>
        </w:tc>
        <w:tc>
          <w:tcPr>
            <w:tcW w:w="1162" w:type="dxa"/>
            <w:shd w:val="clear" w:color="auto" w:fill="auto"/>
          </w:tcPr>
          <w:p w14:paraId="7EF2E9C2" w14:textId="0E3E79EC" w:rsidR="00E25A46" w:rsidRPr="00CB75E3" w:rsidRDefault="00E25A46" w:rsidP="00E25A46">
            <w:pPr>
              <w:keepNext/>
              <w:spacing w:after="60"/>
              <w:jc w:val="right"/>
              <w:rPr>
                <w:rFonts w:ascii="Arial" w:hAnsi="Arial"/>
                <w:b/>
                <w:bCs/>
                <w:sz w:val="22"/>
                <w:lang w:val="en-US"/>
              </w:rPr>
            </w:pPr>
            <w:r w:rsidRPr="00E25A46">
              <w:rPr>
                <w:rFonts w:ascii="Arial" w:hAnsi="Arial"/>
                <w:b/>
                <w:bCs/>
                <w:sz w:val="22"/>
                <w:lang w:val="en-US"/>
              </w:rPr>
              <w:t>2025/26</w:t>
            </w:r>
          </w:p>
        </w:tc>
        <w:tc>
          <w:tcPr>
            <w:tcW w:w="1106" w:type="dxa"/>
            <w:shd w:val="clear" w:color="auto" w:fill="auto"/>
          </w:tcPr>
          <w:p w14:paraId="47FEA3BF" w14:textId="349E09D7" w:rsidR="00E25A46" w:rsidRPr="00CB75E3" w:rsidRDefault="00E25A46" w:rsidP="00E25A46">
            <w:pPr>
              <w:keepNext/>
              <w:spacing w:after="60"/>
              <w:jc w:val="right"/>
              <w:rPr>
                <w:rFonts w:ascii="Arial" w:hAnsi="Arial"/>
                <w:b/>
                <w:bCs/>
                <w:sz w:val="22"/>
                <w:lang w:val="en-US"/>
              </w:rPr>
            </w:pPr>
            <w:r w:rsidRPr="00E25A46">
              <w:rPr>
                <w:rFonts w:ascii="Arial" w:hAnsi="Arial"/>
                <w:b/>
                <w:bCs/>
                <w:sz w:val="22"/>
                <w:lang w:val="en-US"/>
              </w:rPr>
              <w:t>2026/27</w:t>
            </w:r>
          </w:p>
        </w:tc>
        <w:tc>
          <w:tcPr>
            <w:tcW w:w="1134" w:type="dxa"/>
            <w:shd w:val="clear" w:color="auto" w:fill="auto"/>
          </w:tcPr>
          <w:p w14:paraId="0EDCC25D" w14:textId="5DC21FBE" w:rsidR="00E25A46" w:rsidRPr="00CB75E3" w:rsidRDefault="00E25A46" w:rsidP="00E25A46">
            <w:pPr>
              <w:keepNext/>
              <w:spacing w:after="60"/>
              <w:jc w:val="right"/>
              <w:rPr>
                <w:rFonts w:ascii="Arial" w:hAnsi="Arial"/>
                <w:b/>
                <w:bCs/>
                <w:sz w:val="22"/>
                <w:lang w:val="en-US"/>
              </w:rPr>
            </w:pPr>
            <w:r w:rsidRPr="00E25A46">
              <w:rPr>
                <w:rFonts w:ascii="Arial" w:hAnsi="Arial"/>
                <w:b/>
                <w:bCs/>
                <w:sz w:val="22"/>
                <w:lang w:val="en-US"/>
              </w:rPr>
              <w:t>2027/28</w:t>
            </w:r>
          </w:p>
        </w:tc>
        <w:tc>
          <w:tcPr>
            <w:tcW w:w="1191" w:type="dxa"/>
            <w:shd w:val="clear" w:color="auto" w:fill="auto"/>
          </w:tcPr>
          <w:p w14:paraId="46191372" w14:textId="7E5C744E" w:rsidR="00E25A46" w:rsidRPr="00CB75E3" w:rsidRDefault="00E25A46" w:rsidP="00E25A46">
            <w:pPr>
              <w:keepNext/>
              <w:spacing w:after="60"/>
              <w:jc w:val="right"/>
              <w:rPr>
                <w:rFonts w:ascii="Arial" w:hAnsi="Arial"/>
                <w:b/>
                <w:bCs/>
                <w:sz w:val="22"/>
                <w:lang w:val="en-US"/>
              </w:rPr>
            </w:pPr>
            <w:r w:rsidRPr="00CB75E3">
              <w:rPr>
                <w:rFonts w:ascii="Arial" w:hAnsi="Arial"/>
                <w:b/>
                <w:bCs/>
                <w:sz w:val="22"/>
                <w:lang w:val="en-US"/>
              </w:rPr>
              <w:t>202</w:t>
            </w:r>
            <w:r>
              <w:rPr>
                <w:rFonts w:ascii="Arial" w:hAnsi="Arial"/>
                <w:b/>
                <w:bCs/>
                <w:sz w:val="22"/>
                <w:lang w:val="en-US"/>
              </w:rPr>
              <w:t>8</w:t>
            </w:r>
            <w:r w:rsidRPr="00CB75E3">
              <w:rPr>
                <w:rFonts w:ascii="Arial" w:hAnsi="Arial"/>
                <w:b/>
                <w:bCs/>
                <w:sz w:val="22"/>
                <w:lang w:val="en-US"/>
              </w:rPr>
              <w:t>/2</w:t>
            </w:r>
            <w:r>
              <w:rPr>
                <w:rFonts w:ascii="Arial" w:hAnsi="Arial"/>
                <w:b/>
                <w:bCs/>
                <w:sz w:val="22"/>
                <w:lang w:val="en-US"/>
              </w:rPr>
              <w:t>9</w:t>
            </w:r>
          </w:p>
        </w:tc>
      </w:tr>
      <w:tr w:rsidR="00CB75E3" w:rsidRPr="00CB75E3" w14:paraId="06481C0D" w14:textId="77777777" w:rsidTr="0077176C">
        <w:tc>
          <w:tcPr>
            <w:tcW w:w="2836" w:type="dxa"/>
            <w:shd w:val="clear" w:color="auto" w:fill="auto"/>
          </w:tcPr>
          <w:p w14:paraId="201BCDCE" w14:textId="77777777" w:rsidR="00CB75E3" w:rsidRPr="00CB75E3" w:rsidRDefault="00CB75E3" w:rsidP="00CB75E3">
            <w:pPr>
              <w:keepNext/>
              <w:spacing w:after="60"/>
              <w:rPr>
                <w:rFonts w:ascii="Arial" w:hAnsi="Arial"/>
                <w:sz w:val="22"/>
                <w:szCs w:val="22"/>
                <w:lang w:val="en-US"/>
              </w:rPr>
            </w:pPr>
            <w:r w:rsidRPr="00CB75E3">
              <w:rPr>
                <w:rFonts w:ascii="Arial" w:hAnsi="Arial"/>
                <w:sz w:val="22"/>
                <w:szCs w:val="22"/>
                <w:lang w:val="en-US"/>
              </w:rPr>
              <w:t>Uptake %</w:t>
            </w:r>
          </w:p>
        </w:tc>
        <w:tc>
          <w:tcPr>
            <w:tcW w:w="1134" w:type="dxa"/>
            <w:shd w:val="clear" w:color="auto" w:fill="auto"/>
          </w:tcPr>
          <w:p w14:paraId="65B31B58" w14:textId="2C73039C" w:rsidR="00CB75E3" w:rsidRPr="00CB75E3" w:rsidRDefault="00BE5D46" w:rsidP="00CB75E3">
            <w:pPr>
              <w:keepNext/>
              <w:spacing w:after="60"/>
              <w:jc w:val="right"/>
              <w:rPr>
                <w:rFonts w:ascii="Arial" w:hAnsi="Arial"/>
                <w:sz w:val="22"/>
                <w:szCs w:val="22"/>
                <w:lang w:val="en-US"/>
              </w:rPr>
            </w:pPr>
            <w:r>
              <w:rPr>
                <w:rFonts w:ascii="Arial" w:hAnsi="Arial"/>
                <w:sz w:val="22"/>
                <w:szCs w:val="22"/>
                <w:lang w:val="en-US"/>
              </w:rPr>
              <w:t>25</w:t>
            </w:r>
          </w:p>
        </w:tc>
        <w:tc>
          <w:tcPr>
            <w:tcW w:w="1162" w:type="dxa"/>
            <w:shd w:val="clear" w:color="auto" w:fill="auto"/>
          </w:tcPr>
          <w:p w14:paraId="232CF210" w14:textId="341F0912" w:rsidR="00CB75E3" w:rsidRPr="00CB75E3" w:rsidRDefault="00754E72" w:rsidP="00CB75E3">
            <w:pPr>
              <w:keepNext/>
              <w:spacing w:after="60"/>
              <w:jc w:val="right"/>
              <w:rPr>
                <w:rFonts w:ascii="Arial" w:hAnsi="Arial"/>
                <w:sz w:val="22"/>
                <w:szCs w:val="22"/>
                <w:lang w:val="en-US"/>
              </w:rPr>
            </w:pPr>
            <w:r>
              <w:rPr>
                <w:rFonts w:ascii="Arial" w:hAnsi="Arial"/>
                <w:sz w:val="22"/>
                <w:szCs w:val="22"/>
                <w:lang w:val="en-US"/>
              </w:rPr>
              <w:t>35</w:t>
            </w:r>
          </w:p>
        </w:tc>
        <w:tc>
          <w:tcPr>
            <w:tcW w:w="1106" w:type="dxa"/>
            <w:shd w:val="clear" w:color="auto" w:fill="auto"/>
          </w:tcPr>
          <w:p w14:paraId="0E4F034B" w14:textId="568A7209" w:rsidR="00CB75E3" w:rsidRPr="00CB75E3" w:rsidRDefault="00754E72" w:rsidP="00CB75E3">
            <w:pPr>
              <w:keepNext/>
              <w:spacing w:after="60"/>
              <w:jc w:val="right"/>
              <w:rPr>
                <w:rFonts w:ascii="Arial" w:hAnsi="Arial"/>
                <w:sz w:val="22"/>
                <w:szCs w:val="22"/>
                <w:lang w:val="en-US"/>
              </w:rPr>
            </w:pPr>
            <w:r>
              <w:rPr>
                <w:rFonts w:ascii="Arial" w:hAnsi="Arial"/>
                <w:sz w:val="22"/>
                <w:szCs w:val="22"/>
                <w:lang w:val="en-US"/>
              </w:rPr>
              <w:t>35</w:t>
            </w:r>
          </w:p>
        </w:tc>
        <w:tc>
          <w:tcPr>
            <w:tcW w:w="1134" w:type="dxa"/>
            <w:shd w:val="clear" w:color="auto" w:fill="auto"/>
          </w:tcPr>
          <w:p w14:paraId="083DFF8F" w14:textId="4E5205E4" w:rsidR="00CB75E3" w:rsidRPr="00CB75E3" w:rsidRDefault="00754E72" w:rsidP="00CB75E3">
            <w:pPr>
              <w:keepNext/>
              <w:spacing w:after="60"/>
              <w:jc w:val="right"/>
              <w:rPr>
                <w:rFonts w:ascii="Arial" w:hAnsi="Arial"/>
                <w:sz w:val="22"/>
                <w:szCs w:val="22"/>
                <w:lang w:val="en-US"/>
              </w:rPr>
            </w:pPr>
            <w:r>
              <w:rPr>
                <w:rFonts w:ascii="Arial" w:hAnsi="Arial"/>
                <w:sz w:val="22"/>
                <w:szCs w:val="22"/>
                <w:lang w:val="en-US"/>
              </w:rPr>
              <w:t>35</w:t>
            </w:r>
          </w:p>
        </w:tc>
        <w:tc>
          <w:tcPr>
            <w:tcW w:w="1191" w:type="dxa"/>
            <w:shd w:val="clear" w:color="auto" w:fill="auto"/>
          </w:tcPr>
          <w:p w14:paraId="4D81C3FA" w14:textId="7167AC3D" w:rsidR="009327E2" w:rsidRPr="00CB75E3" w:rsidRDefault="00754E72" w:rsidP="009327E2">
            <w:pPr>
              <w:tabs>
                <w:tab w:val="left" w:pos="1134"/>
              </w:tabs>
              <w:jc w:val="right"/>
              <w:rPr>
                <w:rFonts w:ascii="Arial" w:hAnsi="Arial"/>
                <w:sz w:val="22"/>
                <w:szCs w:val="22"/>
                <w:lang w:val="en-US"/>
              </w:rPr>
            </w:pPr>
            <w:r>
              <w:rPr>
                <w:rFonts w:ascii="Arial" w:hAnsi="Arial"/>
                <w:sz w:val="22"/>
                <w:szCs w:val="22"/>
                <w:lang w:val="en-US"/>
              </w:rPr>
              <w:t>35</w:t>
            </w:r>
          </w:p>
        </w:tc>
      </w:tr>
      <w:tr w:rsidR="0077176C" w:rsidRPr="00CB75E3" w14:paraId="151AE231" w14:textId="77777777" w:rsidTr="0077176C">
        <w:tc>
          <w:tcPr>
            <w:tcW w:w="2836" w:type="dxa"/>
            <w:shd w:val="clear" w:color="auto" w:fill="auto"/>
          </w:tcPr>
          <w:p w14:paraId="1768C41D" w14:textId="5027A1D2" w:rsidR="0077176C" w:rsidRPr="00CB75E3" w:rsidRDefault="0077176C" w:rsidP="0077176C">
            <w:pPr>
              <w:keepNext/>
              <w:spacing w:after="60"/>
              <w:rPr>
                <w:rFonts w:ascii="Arial" w:hAnsi="Arial"/>
                <w:sz w:val="22"/>
                <w:szCs w:val="22"/>
                <w:lang w:val="en-US"/>
              </w:rPr>
            </w:pPr>
            <w:r w:rsidRPr="00CB75E3">
              <w:rPr>
                <w:rFonts w:ascii="Arial" w:hAnsi="Arial"/>
                <w:sz w:val="22"/>
                <w:szCs w:val="22"/>
                <w:lang w:val="en-US"/>
              </w:rPr>
              <w:t xml:space="preserve">People </w:t>
            </w:r>
            <w:r>
              <w:rPr>
                <w:rFonts w:ascii="Arial" w:hAnsi="Arial"/>
                <w:sz w:val="22"/>
                <w:szCs w:val="22"/>
                <w:lang w:val="en-US"/>
              </w:rPr>
              <w:t>starting treatment with</w:t>
            </w:r>
            <w:r w:rsidRPr="00CB75E3">
              <w:rPr>
                <w:rFonts w:ascii="Arial" w:hAnsi="Arial"/>
                <w:sz w:val="22"/>
                <w:szCs w:val="22"/>
                <w:lang w:val="en-US"/>
              </w:rPr>
              <w:t xml:space="preserve"> </w:t>
            </w:r>
            <w:proofErr w:type="spellStart"/>
            <w:r w:rsidRPr="00754E72">
              <w:rPr>
                <w:rFonts w:ascii="Arial" w:hAnsi="Arial"/>
                <w:sz w:val="22"/>
                <w:szCs w:val="22"/>
                <w:lang w:val="en-US"/>
              </w:rPr>
              <w:t>cabozantinib</w:t>
            </w:r>
            <w:proofErr w:type="spellEnd"/>
            <w:r w:rsidRPr="00754E72">
              <w:rPr>
                <w:rFonts w:ascii="Arial" w:hAnsi="Arial"/>
                <w:sz w:val="22"/>
                <w:szCs w:val="22"/>
                <w:lang w:val="en-US"/>
              </w:rPr>
              <w:t xml:space="preserve"> </w:t>
            </w:r>
            <w:r>
              <w:rPr>
                <w:rFonts w:ascii="Arial" w:hAnsi="Arial"/>
                <w:sz w:val="22"/>
                <w:szCs w:val="22"/>
                <w:lang w:val="en-US"/>
              </w:rPr>
              <w:t>with</w:t>
            </w:r>
            <w:r w:rsidRPr="00754E72">
              <w:rPr>
                <w:rFonts w:ascii="Arial" w:hAnsi="Arial"/>
                <w:sz w:val="22"/>
                <w:szCs w:val="22"/>
                <w:lang w:val="en-US"/>
              </w:rPr>
              <w:t xml:space="preserve"> nivolumab </w:t>
            </w:r>
            <w:r>
              <w:rPr>
                <w:rFonts w:ascii="Arial" w:hAnsi="Arial"/>
                <w:sz w:val="22"/>
                <w:szCs w:val="22"/>
                <w:lang w:val="en-US"/>
              </w:rPr>
              <w:t>after adjusting for population growth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9385884" w14:textId="133629F4" w:rsidR="0077176C" w:rsidRPr="0077176C" w:rsidRDefault="0077176C" w:rsidP="0077176C">
            <w:pPr>
              <w:keepNext/>
              <w:spacing w:after="60"/>
              <w:jc w:val="right"/>
              <w:rPr>
                <w:rFonts w:ascii="Arial" w:hAnsi="Arial" w:cs="Arial"/>
                <w:sz w:val="22"/>
                <w:szCs w:val="22"/>
                <w:lang w:val="en-US"/>
              </w:rPr>
            </w:pPr>
            <w:r w:rsidRPr="0077176C">
              <w:rPr>
                <w:rFonts w:ascii="Arial" w:hAnsi="Arial" w:cs="Arial"/>
                <w:color w:val="000000"/>
                <w:sz w:val="22"/>
                <w:szCs w:val="22"/>
              </w:rPr>
              <w:t>278</w:t>
            </w:r>
          </w:p>
        </w:tc>
        <w:tc>
          <w:tcPr>
            <w:tcW w:w="1162" w:type="dxa"/>
            <w:tcBorders>
              <w:top w:val="single" w:sz="4" w:space="0" w:color="auto"/>
              <w:left w:val="nil"/>
              <w:bottom w:val="single" w:sz="4" w:space="0" w:color="auto"/>
              <w:right w:val="single" w:sz="4" w:space="0" w:color="auto"/>
            </w:tcBorders>
            <w:shd w:val="clear" w:color="auto" w:fill="auto"/>
            <w:vAlign w:val="bottom"/>
          </w:tcPr>
          <w:p w14:paraId="71A87A78" w14:textId="77C593F1" w:rsidR="0077176C" w:rsidRPr="0077176C" w:rsidRDefault="0077176C" w:rsidP="0077176C">
            <w:pPr>
              <w:keepNext/>
              <w:spacing w:after="60"/>
              <w:jc w:val="right"/>
              <w:rPr>
                <w:rFonts w:ascii="Arial" w:hAnsi="Arial" w:cs="Arial"/>
                <w:sz w:val="22"/>
                <w:szCs w:val="22"/>
                <w:lang w:val="en-US"/>
              </w:rPr>
            </w:pPr>
            <w:r w:rsidRPr="0077176C">
              <w:rPr>
                <w:rFonts w:ascii="Arial" w:hAnsi="Arial" w:cs="Arial"/>
                <w:color w:val="000000"/>
                <w:sz w:val="22"/>
                <w:szCs w:val="22"/>
              </w:rPr>
              <w:t>392</w:t>
            </w:r>
          </w:p>
        </w:tc>
        <w:tc>
          <w:tcPr>
            <w:tcW w:w="1106" w:type="dxa"/>
            <w:tcBorders>
              <w:top w:val="single" w:sz="4" w:space="0" w:color="auto"/>
              <w:left w:val="nil"/>
              <w:bottom w:val="single" w:sz="4" w:space="0" w:color="auto"/>
              <w:right w:val="single" w:sz="4" w:space="0" w:color="auto"/>
            </w:tcBorders>
            <w:shd w:val="clear" w:color="auto" w:fill="auto"/>
            <w:vAlign w:val="bottom"/>
          </w:tcPr>
          <w:p w14:paraId="676F4879" w14:textId="5B4CEDFB" w:rsidR="0077176C" w:rsidRPr="0077176C" w:rsidRDefault="0077176C" w:rsidP="0077176C">
            <w:pPr>
              <w:keepNext/>
              <w:spacing w:after="60"/>
              <w:jc w:val="right"/>
              <w:rPr>
                <w:rFonts w:ascii="Arial" w:hAnsi="Arial" w:cs="Arial"/>
                <w:sz w:val="22"/>
                <w:szCs w:val="22"/>
                <w:lang w:val="en-US"/>
              </w:rPr>
            </w:pPr>
            <w:r w:rsidRPr="0077176C">
              <w:rPr>
                <w:rFonts w:ascii="Arial" w:hAnsi="Arial" w:cs="Arial"/>
                <w:color w:val="000000"/>
                <w:sz w:val="22"/>
                <w:szCs w:val="22"/>
              </w:rPr>
              <w:t>396</w:t>
            </w:r>
          </w:p>
        </w:tc>
        <w:tc>
          <w:tcPr>
            <w:tcW w:w="1134" w:type="dxa"/>
            <w:tcBorders>
              <w:top w:val="single" w:sz="4" w:space="0" w:color="auto"/>
              <w:left w:val="nil"/>
              <w:bottom w:val="single" w:sz="4" w:space="0" w:color="auto"/>
              <w:right w:val="single" w:sz="4" w:space="0" w:color="auto"/>
            </w:tcBorders>
            <w:shd w:val="clear" w:color="auto" w:fill="auto"/>
            <w:vAlign w:val="bottom"/>
          </w:tcPr>
          <w:p w14:paraId="333C45F7" w14:textId="47214B37" w:rsidR="0077176C" w:rsidRPr="0077176C" w:rsidRDefault="0077176C" w:rsidP="0077176C">
            <w:pPr>
              <w:keepNext/>
              <w:spacing w:after="60"/>
              <w:jc w:val="right"/>
              <w:rPr>
                <w:rFonts w:ascii="Arial" w:hAnsi="Arial" w:cs="Arial"/>
                <w:sz w:val="22"/>
                <w:szCs w:val="22"/>
                <w:lang w:val="en-US"/>
              </w:rPr>
            </w:pPr>
            <w:r w:rsidRPr="0077176C">
              <w:rPr>
                <w:rFonts w:ascii="Arial" w:hAnsi="Arial" w:cs="Arial"/>
                <w:color w:val="000000"/>
                <w:sz w:val="22"/>
                <w:szCs w:val="22"/>
              </w:rPr>
              <w:t>400</w:t>
            </w:r>
          </w:p>
        </w:tc>
        <w:tc>
          <w:tcPr>
            <w:tcW w:w="1191" w:type="dxa"/>
            <w:tcBorders>
              <w:top w:val="single" w:sz="4" w:space="0" w:color="auto"/>
              <w:left w:val="nil"/>
              <w:bottom w:val="single" w:sz="4" w:space="0" w:color="auto"/>
              <w:right w:val="single" w:sz="4" w:space="0" w:color="auto"/>
            </w:tcBorders>
            <w:shd w:val="clear" w:color="auto" w:fill="auto"/>
            <w:vAlign w:val="bottom"/>
          </w:tcPr>
          <w:p w14:paraId="2A54DFCF" w14:textId="74809671" w:rsidR="0077176C" w:rsidRPr="0077176C" w:rsidRDefault="0077176C" w:rsidP="0077176C">
            <w:pPr>
              <w:keepNext/>
              <w:spacing w:after="60"/>
              <w:jc w:val="right"/>
              <w:rPr>
                <w:rFonts w:ascii="Arial" w:hAnsi="Arial" w:cs="Arial"/>
                <w:sz w:val="22"/>
                <w:szCs w:val="22"/>
                <w:lang w:val="en-US"/>
              </w:rPr>
            </w:pPr>
            <w:r w:rsidRPr="0077176C">
              <w:rPr>
                <w:rFonts w:ascii="Arial" w:hAnsi="Arial" w:cs="Arial"/>
                <w:color w:val="000000"/>
                <w:sz w:val="22"/>
                <w:szCs w:val="22"/>
              </w:rPr>
              <w:t>404</w:t>
            </w:r>
          </w:p>
        </w:tc>
      </w:tr>
      <w:tr w:rsidR="0077176C" w:rsidRPr="00CB75E3" w14:paraId="1CA38839" w14:textId="77777777" w:rsidTr="0077176C">
        <w:tc>
          <w:tcPr>
            <w:tcW w:w="2836" w:type="dxa"/>
            <w:shd w:val="clear" w:color="auto" w:fill="auto"/>
          </w:tcPr>
          <w:p w14:paraId="43642B0C" w14:textId="77777777" w:rsidR="0077176C" w:rsidRPr="00D46A46" w:rsidRDefault="0077176C" w:rsidP="0077176C">
            <w:pPr>
              <w:keepNext/>
              <w:spacing w:after="60"/>
              <w:rPr>
                <w:rFonts w:ascii="Arial" w:hAnsi="Arial" w:cs="Arial"/>
                <w:b/>
                <w:bCs/>
                <w:sz w:val="22"/>
                <w:szCs w:val="22"/>
                <w:lang w:val="en-US"/>
              </w:rPr>
            </w:pPr>
            <w:r w:rsidRPr="00D46A46">
              <w:rPr>
                <w:rFonts w:ascii="Arial" w:hAnsi="Arial" w:cs="Arial"/>
                <w:b/>
                <w:bCs/>
                <w:sz w:val="22"/>
                <w:szCs w:val="22"/>
                <w:lang w:val="en-US"/>
              </w:rPr>
              <w:t>Total number of people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4D43C81" w14:textId="0A8F0C21" w:rsidR="0077176C" w:rsidRPr="0077176C" w:rsidRDefault="0077176C" w:rsidP="0077176C">
            <w:pPr>
              <w:keepNext/>
              <w:spacing w:after="60"/>
              <w:jc w:val="right"/>
              <w:rPr>
                <w:rFonts w:ascii="Arial" w:hAnsi="Arial" w:cs="Arial"/>
                <w:b/>
                <w:bCs/>
                <w:sz w:val="22"/>
                <w:szCs w:val="22"/>
                <w:lang w:val="en-US"/>
              </w:rPr>
            </w:pPr>
            <w:r w:rsidRPr="0077176C">
              <w:rPr>
                <w:rFonts w:ascii="Arial" w:hAnsi="Arial" w:cs="Arial"/>
                <w:b/>
                <w:bCs/>
                <w:color w:val="000000"/>
                <w:sz w:val="22"/>
                <w:szCs w:val="22"/>
              </w:rPr>
              <w:t>278</w:t>
            </w:r>
          </w:p>
        </w:tc>
        <w:tc>
          <w:tcPr>
            <w:tcW w:w="1162" w:type="dxa"/>
            <w:tcBorders>
              <w:top w:val="single" w:sz="4" w:space="0" w:color="auto"/>
              <w:left w:val="nil"/>
              <w:bottom w:val="single" w:sz="4" w:space="0" w:color="auto"/>
              <w:right w:val="single" w:sz="4" w:space="0" w:color="auto"/>
            </w:tcBorders>
            <w:shd w:val="clear" w:color="auto" w:fill="auto"/>
            <w:vAlign w:val="bottom"/>
          </w:tcPr>
          <w:p w14:paraId="0D221634" w14:textId="683DAEE5" w:rsidR="0077176C" w:rsidRPr="0077176C" w:rsidRDefault="0077176C" w:rsidP="0077176C">
            <w:pPr>
              <w:keepNext/>
              <w:spacing w:after="60"/>
              <w:jc w:val="right"/>
              <w:rPr>
                <w:rFonts w:ascii="Arial" w:hAnsi="Arial" w:cs="Arial"/>
                <w:b/>
                <w:bCs/>
                <w:sz w:val="22"/>
                <w:szCs w:val="22"/>
                <w:lang w:val="en-US"/>
              </w:rPr>
            </w:pPr>
            <w:r w:rsidRPr="0077176C">
              <w:rPr>
                <w:rFonts w:ascii="Arial" w:hAnsi="Arial" w:cs="Arial"/>
                <w:b/>
                <w:bCs/>
                <w:color w:val="000000"/>
                <w:sz w:val="22"/>
                <w:szCs w:val="22"/>
              </w:rPr>
              <w:t>392</w:t>
            </w:r>
          </w:p>
        </w:tc>
        <w:tc>
          <w:tcPr>
            <w:tcW w:w="1106" w:type="dxa"/>
            <w:tcBorders>
              <w:top w:val="single" w:sz="4" w:space="0" w:color="auto"/>
              <w:left w:val="nil"/>
              <w:bottom w:val="single" w:sz="4" w:space="0" w:color="auto"/>
              <w:right w:val="single" w:sz="4" w:space="0" w:color="auto"/>
            </w:tcBorders>
            <w:shd w:val="clear" w:color="auto" w:fill="auto"/>
            <w:vAlign w:val="bottom"/>
          </w:tcPr>
          <w:p w14:paraId="6FBA8DBF" w14:textId="302599B1" w:rsidR="0077176C" w:rsidRPr="0077176C" w:rsidRDefault="0077176C" w:rsidP="0077176C">
            <w:pPr>
              <w:keepNext/>
              <w:spacing w:after="60"/>
              <w:jc w:val="right"/>
              <w:rPr>
                <w:rFonts w:ascii="Arial" w:hAnsi="Arial" w:cs="Arial"/>
                <w:b/>
                <w:bCs/>
                <w:color w:val="000000"/>
                <w:sz w:val="22"/>
                <w:szCs w:val="22"/>
              </w:rPr>
            </w:pPr>
            <w:r w:rsidRPr="0077176C">
              <w:rPr>
                <w:rFonts w:ascii="Arial" w:hAnsi="Arial" w:cs="Arial"/>
                <w:b/>
                <w:bCs/>
                <w:color w:val="000000"/>
                <w:sz w:val="22"/>
                <w:szCs w:val="22"/>
              </w:rPr>
              <w:t>396</w:t>
            </w:r>
          </w:p>
        </w:tc>
        <w:tc>
          <w:tcPr>
            <w:tcW w:w="1134" w:type="dxa"/>
            <w:tcBorders>
              <w:top w:val="single" w:sz="4" w:space="0" w:color="auto"/>
              <w:left w:val="nil"/>
              <w:bottom w:val="single" w:sz="4" w:space="0" w:color="auto"/>
              <w:right w:val="single" w:sz="4" w:space="0" w:color="auto"/>
            </w:tcBorders>
            <w:shd w:val="clear" w:color="auto" w:fill="auto"/>
            <w:vAlign w:val="bottom"/>
          </w:tcPr>
          <w:p w14:paraId="62DCD5D1" w14:textId="03DB7D21" w:rsidR="0077176C" w:rsidRPr="0077176C" w:rsidRDefault="0077176C" w:rsidP="0077176C">
            <w:pPr>
              <w:keepNext/>
              <w:spacing w:after="60"/>
              <w:jc w:val="right"/>
              <w:rPr>
                <w:rFonts w:ascii="Arial" w:hAnsi="Arial" w:cs="Arial"/>
                <w:b/>
                <w:bCs/>
                <w:color w:val="000000"/>
                <w:sz w:val="22"/>
                <w:szCs w:val="22"/>
              </w:rPr>
            </w:pPr>
            <w:r w:rsidRPr="0077176C">
              <w:rPr>
                <w:rFonts w:ascii="Arial" w:hAnsi="Arial" w:cs="Arial"/>
                <w:b/>
                <w:bCs/>
                <w:color w:val="000000"/>
                <w:sz w:val="22"/>
                <w:szCs w:val="22"/>
              </w:rPr>
              <w:t>400</w:t>
            </w:r>
          </w:p>
        </w:tc>
        <w:tc>
          <w:tcPr>
            <w:tcW w:w="1191" w:type="dxa"/>
            <w:tcBorders>
              <w:top w:val="single" w:sz="4" w:space="0" w:color="auto"/>
              <w:left w:val="nil"/>
              <w:bottom w:val="single" w:sz="4" w:space="0" w:color="auto"/>
              <w:right w:val="single" w:sz="4" w:space="0" w:color="auto"/>
            </w:tcBorders>
            <w:shd w:val="clear" w:color="auto" w:fill="auto"/>
            <w:vAlign w:val="bottom"/>
          </w:tcPr>
          <w:p w14:paraId="4D038F76" w14:textId="64D49AB4" w:rsidR="0077176C" w:rsidRPr="0077176C" w:rsidRDefault="0077176C" w:rsidP="0077176C">
            <w:pPr>
              <w:keepNext/>
              <w:spacing w:after="60"/>
              <w:jc w:val="right"/>
              <w:rPr>
                <w:rFonts w:ascii="Arial" w:hAnsi="Arial" w:cs="Arial"/>
                <w:b/>
                <w:bCs/>
                <w:sz w:val="22"/>
                <w:szCs w:val="22"/>
                <w:lang w:val="en-US"/>
              </w:rPr>
            </w:pPr>
            <w:r w:rsidRPr="0077176C">
              <w:rPr>
                <w:rFonts w:ascii="Arial" w:hAnsi="Arial" w:cs="Arial"/>
                <w:b/>
                <w:bCs/>
                <w:color w:val="000000"/>
                <w:sz w:val="22"/>
                <w:szCs w:val="22"/>
              </w:rPr>
              <w:t>404</w:t>
            </w:r>
          </w:p>
        </w:tc>
      </w:tr>
      <w:tr w:rsidR="00DD2CBA" w:rsidRPr="00CB75E3" w14:paraId="6D6A4477" w14:textId="77777777">
        <w:tc>
          <w:tcPr>
            <w:tcW w:w="8563" w:type="dxa"/>
            <w:gridSpan w:val="6"/>
            <w:shd w:val="clear" w:color="auto" w:fill="auto"/>
          </w:tcPr>
          <w:p w14:paraId="31C854CF" w14:textId="76DAE1A2" w:rsidR="00DD2CBA" w:rsidRPr="00CB75E3" w:rsidRDefault="00DD2CBA" w:rsidP="00DD2CBA">
            <w:pPr>
              <w:tabs>
                <w:tab w:val="left" w:pos="1134"/>
              </w:tabs>
              <w:rPr>
                <w:rFonts w:ascii="Arial" w:hAnsi="Arial"/>
                <w:b/>
                <w:bCs/>
                <w:lang w:val="en-US"/>
              </w:rPr>
            </w:pPr>
            <w:r w:rsidRPr="00DD2CBA">
              <w:rPr>
                <w:rFonts w:ascii="Arial" w:hAnsi="Arial"/>
                <w:sz w:val="20"/>
                <w:szCs w:val="20"/>
                <w:lang w:val="en-US"/>
              </w:rPr>
              <w:t xml:space="preserve">It is anticipated people continue treatment for </w:t>
            </w:r>
            <w:r w:rsidR="00754E72">
              <w:rPr>
                <w:rFonts w:ascii="Arial" w:hAnsi="Arial"/>
                <w:sz w:val="20"/>
                <w:szCs w:val="20"/>
                <w:lang w:val="en-US"/>
              </w:rPr>
              <w:t>16.6</w:t>
            </w:r>
            <w:r w:rsidR="007D66D2">
              <w:rPr>
                <w:rFonts w:ascii="Arial" w:hAnsi="Arial"/>
                <w:sz w:val="20"/>
                <w:szCs w:val="20"/>
                <w:lang w:val="en-US"/>
              </w:rPr>
              <w:t xml:space="preserve"> months</w:t>
            </w:r>
            <w:r w:rsidRPr="00DD2CBA">
              <w:rPr>
                <w:rFonts w:ascii="Arial" w:hAnsi="Arial"/>
                <w:sz w:val="20"/>
                <w:szCs w:val="20"/>
                <w:lang w:val="en-US"/>
              </w:rPr>
              <w:t xml:space="preserve"> on average and therefore there will also be people receiving treatment who started treatment in previous year</w:t>
            </w:r>
            <w:r w:rsidR="00AA1219">
              <w:rPr>
                <w:rFonts w:ascii="Arial" w:hAnsi="Arial"/>
                <w:sz w:val="20"/>
                <w:szCs w:val="20"/>
                <w:lang w:val="en-US"/>
              </w:rPr>
              <w:t>s</w:t>
            </w:r>
            <w:r w:rsidRPr="00DD2CBA">
              <w:rPr>
                <w:rFonts w:ascii="Arial" w:hAnsi="Arial"/>
                <w:b/>
                <w:bCs/>
                <w:lang w:val="en-US"/>
              </w:rPr>
              <w:t>.</w:t>
            </w:r>
          </w:p>
        </w:tc>
      </w:tr>
      <w:bookmarkEnd w:id="1"/>
      <w:bookmarkEnd w:id="2"/>
    </w:tbl>
    <w:p w14:paraId="3700CEE6" w14:textId="77777777" w:rsidR="004F7CFE" w:rsidRPr="00DD2CBA" w:rsidRDefault="004F7CFE" w:rsidP="00DD2CBA">
      <w:pPr>
        <w:rPr>
          <w:rFonts w:ascii="Arial" w:hAnsi="Arial"/>
          <w:sz w:val="20"/>
          <w:szCs w:val="20"/>
          <w:lang w:val="en-US"/>
        </w:rPr>
      </w:pPr>
    </w:p>
    <w:p w14:paraId="046048F6" w14:textId="552A2B58" w:rsidR="00762A52" w:rsidRDefault="27DAF303" w:rsidP="00CB75E3">
      <w:pPr>
        <w:spacing w:after="240" w:line="360" w:lineRule="auto"/>
        <w:rPr>
          <w:rFonts w:ascii="Arial" w:hAnsi="Arial"/>
          <w:lang w:val="en-US"/>
        </w:rPr>
      </w:pPr>
      <w:r w:rsidRPr="7793E275">
        <w:rPr>
          <w:rFonts w:ascii="Arial" w:hAnsi="Arial"/>
          <w:lang w:val="en-US"/>
        </w:rPr>
        <w:t>This report is supported by a local resource impact template</w:t>
      </w:r>
      <w:r w:rsidR="0ED026B8" w:rsidRPr="7793E275">
        <w:rPr>
          <w:rFonts w:ascii="Arial" w:hAnsi="Arial"/>
          <w:lang w:val="en-US"/>
        </w:rPr>
        <w:t xml:space="preserve">. </w:t>
      </w:r>
      <w:r w:rsidR="00DE4A13" w:rsidRPr="00DE4A13">
        <w:rPr>
          <w:rFonts w:ascii="Arial" w:hAnsi="Arial"/>
          <w:lang w:val="en-US"/>
        </w:rPr>
        <w:t xml:space="preserve">The </w:t>
      </w:r>
      <w:r w:rsidR="009F0E16">
        <w:rPr>
          <w:rFonts w:ascii="Arial" w:hAnsi="Arial"/>
          <w:lang w:val="en-US"/>
        </w:rPr>
        <w:t>companies</w:t>
      </w:r>
      <w:r w:rsidR="00DE4A13" w:rsidRPr="00DE4A13">
        <w:rPr>
          <w:rFonts w:ascii="Arial" w:hAnsi="Arial"/>
          <w:lang w:val="en-US"/>
        </w:rPr>
        <w:t xml:space="preserve"> have commercial arrangements. These make </w:t>
      </w:r>
      <w:proofErr w:type="spellStart"/>
      <w:r w:rsidR="00DE4A13" w:rsidRPr="00DE4A13">
        <w:rPr>
          <w:rFonts w:ascii="Arial" w:hAnsi="Arial"/>
          <w:lang w:val="en-US"/>
        </w:rPr>
        <w:t>cabozantinib</w:t>
      </w:r>
      <w:proofErr w:type="spellEnd"/>
      <w:r w:rsidR="00DE4A13" w:rsidRPr="00DE4A13">
        <w:rPr>
          <w:rFonts w:ascii="Arial" w:hAnsi="Arial"/>
          <w:lang w:val="en-US"/>
        </w:rPr>
        <w:t xml:space="preserve"> and nivolumab available to the NHS with discounts. The size of the discounts </w:t>
      </w:r>
      <w:proofErr w:type="gramStart"/>
      <w:r w:rsidR="00DE4A13" w:rsidRPr="00DE4A13">
        <w:rPr>
          <w:rFonts w:ascii="Arial" w:hAnsi="Arial"/>
          <w:lang w:val="en-US"/>
        </w:rPr>
        <w:t>are</w:t>
      </w:r>
      <w:proofErr w:type="gramEnd"/>
      <w:r w:rsidR="00DE4A13" w:rsidRPr="00DE4A13">
        <w:rPr>
          <w:rFonts w:ascii="Arial" w:hAnsi="Arial"/>
          <w:lang w:val="en-US"/>
        </w:rPr>
        <w:t xml:space="preserve"> commercial in confidence. It is the companies’ responsibility to let relevant NHS </w:t>
      </w:r>
      <w:proofErr w:type="spellStart"/>
      <w:r w:rsidR="00DE4A13" w:rsidRPr="00DE4A13">
        <w:rPr>
          <w:rFonts w:ascii="Arial" w:hAnsi="Arial"/>
          <w:lang w:val="en-US"/>
        </w:rPr>
        <w:t>organisations</w:t>
      </w:r>
      <w:proofErr w:type="spellEnd"/>
      <w:r w:rsidR="00DE4A13" w:rsidRPr="00DE4A13">
        <w:rPr>
          <w:rFonts w:ascii="Arial" w:hAnsi="Arial"/>
          <w:lang w:val="en-US"/>
        </w:rPr>
        <w:t xml:space="preserve"> know details of the discount.</w:t>
      </w:r>
    </w:p>
    <w:p w14:paraId="49682450" w14:textId="4DCDA715" w:rsidR="00343E53" w:rsidRPr="004B1875" w:rsidRDefault="0037419E" w:rsidP="00DD4DF2">
      <w:pPr>
        <w:spacing w:after="240" w:line="360" w:lineRule="auto"/>
        <w:sectPr w:rsidR="00343E53" w:rsidRPr="004B1875" w:rsidSect="006E419C">
          <w:type w:val="continuous"/>
          <w:pgSz w:w="11907" w:h="16840" w:code="9"/>
          <w:pgMar w:top="1440" w:right="1797" w:bottom="1440" w:left="1797" w:header="709" w:footer="709" w:gutter="0"/>
          <w:cols w:space="708"/>
          <w:docGrid w:linePitch="360"/>
        </w:sectPr>
      </w:pPr>
      <w:r>
        <w:rPr>
          <w:noProof/>
        </w:rPr>
        <w:lastRenderedPageBreak/>
        <mc:AlternateContent>
          <mc:Choice Requires="wps">
            <w:drawing>
              <wp:anchor distT="0" distB="0" distL="114300" distR="114300" simplePos="0" relativeHeight="251658242" behindDoc="1" locked="0" layoutInCell="1" allowOverlap="1" wp14:anchorId="4BE1E7CB" wp14:editId="46C636E2">
                <wp:simplePos x="0" y="0"/>
                <wp:positionH relativeFrom="margin">
                  <wp:align>center</wp:align>
                </wp:positionH>
                <wp:positionV relativeFrom="paragraph">
                  <wp:posOffset>-586114</wp:posOffset>
                </wp:positionV>
                <wp:extent cx="6048375" cy="1648590"/>
                <wp:effectExtent l="0" t="0" r="28575" b="27940"/>
                <wp:wrapNone/>
                <wp:docPr id="1126699026" name="Rectangle 1126699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648590"/>
                        </a:xfrm>
                        <a:prstGeom prst="rect">
                          <a:avLst/>
                        </a:prstGeom>
                        <a:noFill/>
                        <a:ln w="25400" cap="flat" cmpd="sng" algn="ctr">
                          <a:solidFill>
                            <a:srgbClr val="0046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00B41" id="Rectangle 1126699026" o:spid="_x0000_s1026" style="position:absolute;margin-left:0;margin-top:-46.15pt;width:476.25pt;height:129.8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" filled="f" strokecolor="#004650" strokeweight="2pt">
                <v:path arrowok="t"/>
                <w10:wrap anchorx="margin"/>
              </v:rect>
            </w:pict>
          </mc:Fallback>
        </mc:AlternateContent>
      </w:r>
      <w:r w:rsidR="00CB75E3" w:rsidRPr="00CB75E3">
        <w:rPr>
          <w:rFonts w:ascii="Arial" w:hAnsi="Arial"/>
          <w:lang w:val="en-US"/>
        </w:rPr>
        <w:t>This technology is commissioned by NHS England. Providers are NHS hospital trusts.</w:t>
      </w:r>
    </w:p>
    <w:p w14:paraId="11C8E9C9" w14:textId="38677A38" w:rsidR="00CB75E3" w:rsidRPr="00CB75E3" w:rsidRDefault="00754E72" w:rsidP="00CB75E3">
      <w:pPr>
        <w:pStyle w:val="Numberedheading1"/>
      </w:pPr>
      <w:proofErr w:type="spellStart"/>
      <w:r w:rsidRPr="00754E72">
        <w:lastRenderedPageBreak/>
        <w:t>Cabozantinib</w:t>
      </w:r>
      <w:proofErr w:type="spellEnd"/>
      <w:r w:rsidRPr="00754E72">
        <w:t xml:space="preserve"> with nivolumab for untreated advanced renal cell carcinoma</w:t>
      </w:r>
    </w:p>
    <w:p w14:paraId="366023A6" w14:textId="18C6138D" w:rsidR="007D5027" w:rsidRDefault="00754E72" w:rsidP="00760B3E">
      <w:pPr>
        <w:pStyle w:val="Numberedlevel2text"/>
      </w:pPr>
      <w:r w:rsidRPr="00754E72">
        <w:t xml:space="preserve">Untreated advanced renal cell carcinoma is treated based on risk status (favourable, intermediate and poor risk). For all risk statuses, treatment includes sunitinib, pazopanib or tivozanib. For intermediate- and poor-risk cancer, people may also be offered </w:t>
      </w:r>
      <w:proofErr w:type="spellStart"/>
      <w:r w:rsidRPr="00754E72">
        <w:t>cabozantinib</w:t>
      </w:r>
      <w:proofErr w:type="spellEnd"/>
      <w:r w:rsidRPr="00754E72">
        <w:t xml:space="preserve"> alone, nivolumab </w:t>
      </w:r>
      <w:r w:rsidR="002E25EF">
        <w:t>with</w:t>
      </w:r>
      <w:r w:rsidR="002E25EF" w:rsidRPr="00754E72">
        <w:t xml:space="preserve"> </w:t>
      </w:r>
      <w:r w:rsidRPr="00754E72">
        <w:t xml:space="preserve">ipilimumab, or lenvatinib </w:t>
      </w:r>
      <w:r w:rsidR="002E25EF">
        <w:t xml:space="preserve">with </w:t>
      </w:r>
      <w:r w:rsidRPr="00754E72">
        <w:t>pembrolizumab.</w:t>
      </w:r>
    </w:p>
    <w:p w14:paraId="1FD9ABF1" w14:textId="44B4FC0F" w:rsidR="00301650" w:rsidRDefault="00754E72" w:rsidP="00301650">
      <w:pPr>
        <w:pStyle w:val="Numberedlevel2text"/>
      </w:pPr>
      <w:r w:rsidRPr="00754E72">
        <w:t xml:space="preserve">An indirect comparison suggests that </w:t>
      </w:r>
      <w:proofErr w:type="spellStart"/>
      <w:r w:rsidRPr="00754E72">
        <w:t>cabozantinib</w:t>
      </w:r>
      <w:proofErr w:type="spellEnd"/>
      <w:r w:rsidRPr="00754E72">
        <w:t xml:space="preserve"> </w:t>
      </w:r>
      <w:r w:rsidR="002E25EF">
        <w:t>with</w:t>
      </w:r>
      <w:r w:rsidR="002E25EF" w:rsidRPr="00754E72">
        <w:t xml:space="preserve"> </w:t>
      </w:r>
      <w:r w:rsidRPr="00754E72">
        <w:t xml:space="preserve">nivolumab works as well as nivolumab </w:t>
      </w:r>
      <w:r w:rsidR="002E25EF">
        <w:t>with</w:t>
      </w:r>
      <w:r w:rsidR="002E25EF" w:rsidRPr="00754E72">
        <w:t xml:space="preserve"> </w:t>
      </w:r>
      <w:r w:rsidRPr="00754E72">
        <w:t xml:space="preserve">ipilimumab and lenvatinib </w:t>
      </w:r>
      <w:r w:rsidR="002E25EF">
        <w:t>with</w:t>
      </w:r>
      <w:r w:rsidR="002E25EF" w:rsidRPr="00754E72">
        <w:t xml:space="preserve"> </w:t>
      </w:r>
      <w:r w:rsidRPr="00754E72">
        <w:t>pembrolizumab. But these results are uncertain because of the evidence and methods used in the indirect comparison.</w:t>
      </w:r>
    </w:p>
    <w:p w14:paraId="2B4B543B" w14:textId="683358C5" w:rsidR="009314D9" w:rsidRDefault="00DE4A13" w:rsidP="009314D9">
      <w:pPr>
        <w:pStyle w:val="Numberedlevel2text"/>
      </w:pPr>
      <w:r w:rsidRPr="00DE4A13">
        <w:t>Patient experts explained that advanced renal cell carcinoma is life changing. It is difficult for people with renal cell carcinoma to continue with daily life even after successful treatment, because of the fear of recurrence. Patient experts said that people with advanced renal cell carcinoma are frequently hospitalised, may have to take early retirement and have uncertainty about the future.</w:t>
      </w:r>
    </w:p>
    <w:p w14:paraId="55FBB897" w14:textId="405BE5F8" w:rsidR="009314D9" w:rsidRDefault="00DB4CE9" w:rsidP="009314D9">
      <w:pPr>
        <w:pStyle w:val="Numberedlevel2text"/>
      </w:pPr>
      <w:r w:rsidRPr="00DB4CE9">
        <w:t xml:space="preserve">Clinical experts explained that </w:t>
      </w:r>
      <w:proofErr w:type="spellStart"/>
      <w:r w:rsidRPr="00DB4CE9">
        <w:t>cabozantinib</w:t>
      </w:r>
      <w:proofErr w:type="spellEnd"/>
      <w:r w:rsidRPr="00DB4CE9">
        <w:t xml:space="preserve"> </w:t>
      </w:r>
      <w:r w:rsidR="002E25EF">
        <w:t>with</w:t>
      </w:r>
      <w:r w:rsidRPr="00DB4CE9">
        <w:t xml:space="preserve"> nivolumab would likely displace nivolumab </w:t>
      </w:r>
      <w:r w:rsidR="002E25EF">
        <w:t>with</w:t>
      </w:r>
      <w:r w:rsidR="002E25EF" w:rsidRPr="00DB4CE9">
        <w:t xml:space="preserve"> </w:t>
      </w:r>
      <w:r w:rsidRPr="00DB4CE9">
        <w:t xml:space="preserve">ipilimumab and lenvatinib </w:t>
      </w:r>
      <w:r w:rsidR="002E25EF">
        <w:t>with</w:t>
      </w:r>
      <w:r w:rsidR="002E25EF" w:rsidRPr="00DB4CE9">
        <w:t xml:space="preserve"> </w:t>
      </w:r>
      <w:r w:rsidRPr="00DB4CE9">
        <w:t>pembrolizumab.</w:t>
      </w:r>
    </w:p>
    <w:p w14:paraId="561202CE" w14:textId="77777777" w:rsidR="00DB4CE9" w:rsidRDefault="00DB4CE9" w:rsidP="00DB4CE9">
      <w:pPr>
        <w:pStyle w:val="Numberedheading1"/>
        <w:numPr>
          <w:ilvl w:val="0"/>
          <w:numId w:val="0"/>
        </w:numPr>
        <w:ind w:left="1134"/>
      </w:pPr>
    </w:p>
    <w:p w14:paraId="134579D4" w14:textId="77777777" w:rsidR="00DB4CE9" w:rsidRDefault="00DB4CE9" w:rsidP="00DB4CE9">
      <w:pPr>
        <w:pStyle w:val="NICEnormal"/>
        <w:rPr>
          <w:lang w:val="en-GB"/>
        </w:rPr>
      </w:pPr>
    </w:p>
    <w:p w14:paraId="48E0F676" w14:textId="77777777" w:rsidR="00DB4CE9" w:rsidRDefault="00DB4CE9" w:rsidP="00DB4CE9">
      <w:pPr>
        <w:pStyle w:val="NICEnormal"/>
        <w:rPr>
          <w:lang w:val="en-GB"/>
        </w:rPr>
      </w:pPr>
    </w:p>
    <w:p w14:paraId="4E96E6CE" w14:textId="77777777" w:rsidR="00DB4CE9" w:rsidRPr="00DB4CE9" w:rsidRDefault="00DB4CE9" w:rsidP="00DB4CE9">
      <w:pPr>
        <w:pStyle w:val="NICEnormal"/>
        <w:rPr>
          <w:lang w:val="en-GB"/>
        </w:rPr>
      </w:pPr>
    </w:p>
    <w:p w14:paraId="283352A1" w14:textId="77777777" w:rsidR="00CE0C87" w:rsidRDefault="00CE0C87" w:rsidP="00CE0C87">
      <w:pPr>
        <w:pStyle w:val="Numberedheading1"/>
      </w:pPr>
      <w:r>
        <w:lastRenderedPageBreak/>
        <w:t>Resource impact of the guidance</w:t>
      </w:r>
    </w:p>
    <w:p w14:paraId="0AA9368A" w14:textId="2C2F0148" w:rsidR="00DB4CE9" w:rsidRPr="00DB4CE9" w:rsidRDefault="00DB4CE9" w:rsidP="00DB4CE9">
      <w:pPr>
        <w:pStyle w:val="Numberedlevel2text"/>
      </w:pPr>
      <w:r w:rsidRPr="00DB4CE9">
        <w:t xml:space="preserve">The current treatment uptake figures are based on approximations of current usage from NHS England. Future uptake figure assumptions are based on estimates by consultant </w:t>
      </w:r>
      <w:r>
        <w:t>nephrologists</w:t>
      </w:r>
      <w:r w:rsidRPr="00DB4CE9">
        <w:t xml:space="preserve"> and are shown in the resource impact template. </w:t>
      </w:r>
    </w:p>
    <w:p w14:paraId="3B914C96" w14:textId="1F05F4F0" w:rsidR="00B3024A" w:rsidRDefault="00DB4CE9" w:rsidP="00432620">
      <w:pPr>
        <w:pStyle w:val="Numberedlevel2text"/>
      </w:pPr>
      <w:r w:rsidRPr="00DB4CE9">
        <w:t xml:space="preserve">This report is supported by a local resource impact template. The companies have commercial arrangements. These make </w:t>
      </w:r>
      <w:proofErr w:type="spellStart"/>
      <w:r w:rsidRPr="00DB4CE9">
        <w:t>cabozantinib</w:t>
      </w:r>
      <w:proofErr w:type="spellEnd"/>
      <w:r w:rsidRPr="00DB4CE9">
        <w:t xml:space="preserve"> and nivolumab available to the NHS with discounts. The size of the discounts are commercial in confidence. It is the companies’ responsibility to let relevant NHS organisations know details of the discount.</w:t>
      </w:r>
    </w:p>
    <w:p w14:paraId="5511565D" w14:textId="3CD19E18" w:rsidR="000250E2" w:rsidRPr="000250E2" w:rsidRDefault="000250E2" w:rsidP="000250E2">
      <w:pPr>
        <w:pStyle w:val="Numberedheading1"/>
      </w:pPr>
      <w:bookmarkStart w:id="3" w:name="_Toc286916851"/>
      <w:r w:rsidRPr="000250E2">
        <w:t>Implications for commissioners and providers</w:t>
      </w:r>
    </w:p>
    <w:p w14:paraId="2242FC7B" w14:textId="3D4ACB01" w:rsidR="00491D53" w:rsidRDefault="003456F8" w:rsidP="00AD4C99">
      <w:pPr>
        <w:pStyle w:val="Numberedlevel2text"/>
      </w:pPr>
      <w:proofErr w:type="spellStart"/>
      <w:r>
        <w:t>C</w:t>
      </w:r>
      <w:r w:rsidRPr="003456F8">
        <w:t>abozantinib</w:t>
      </w:r>
      <w:proofErr w:type="spellEnd"/>
      <w:r w:rsidRPr="003456F8">
        <w:t xml:space="preserve"> </w:t>
      </w:r>
      <w:r>
        <w:t>with</w:t>
      </w:r>
      <w:r w:rsidRPr="003456F8">
        <w:t xml:space="preserve"> nivolumab </w:t>
      </w:r>
      <w:r w:rsidR="00491D53" w:rsidRPr="00491D53">
        <w:t>is commissioned by NHS England. Providers are NHS hospital trusts</w:t>
      </w:r>
      <w:r w:rsidR="00760B3E">
        <w:t>.</w:t>
      </w:r>
    </w:p>
    <w:p w14:paraId="0BBE4604" w14:textId="1D6B9022" w:rsidR="00AD4C99" w:rsidRDefault="003456F8">
      <w:pPr>
        <w:pStyle w:val="Numberedlevel2text"/>
      </w:pPr>
      <w:proofErr w:type="spellStart"/>
      <w:r w:rsidRPr="003456F8">
        <w:t>Cabozantinib</w:t>
      </w:r>
      <w:proofErr w:type="spellEnd"/>
      <w:r w:rsidRPr="003456F8">
        <w:t xml:space="preserve"> with nivolumab </w:t>
      </w:r>
      <w:r>
        <w:t xml:space="preserve">falls </w:t>
      </w:r>
      <w:r w:rsidR="00262377" w:rsidRPr="00262377">
        <w:t>within th</w:t>
      </w:r>
      <w:r w:rsidR="00262377">
        <w:t xml:space="preserve">e </w:t>
      </w:r>
      <w:r w:rsidR="00533AEE" w:rsidRPr="00533AEE">
        <w:t xml:space="preserve">programme </w:t>
      </w:r>
      <w:r w:rsidR="00FB592F">
        <w:t xml:space="preserve">budgeting category </w:t>
      </w:r>
      <w:r w:rsidR="00F16F65" w:rsidRPr="00F16F65">
        <w:t>02</w:t>
      </w:r>
      <w:r>
        <w:t>H</w:t>
      </w:r>
      <w:r w:rsidR="00F16F65" w:rsidRPr="00F16F65">
        <w:t xml:space="preserve"> cancer, </w:t>
      </w:r>
      <w:r>
        <w:t>Urological</w:t>
      </w:r>
      <w:r w:rsidR="00FB592F">
        <w:t>.</w:t>
      </w:r>
    </w:p>
    <w:p w14:paraId="2B1E90F1" w14:textId="37306920" w:rsidR="003456F8" w:rsidRDefault="003456F8">
      <w:pPr>
        <w:pStyle w:val="Numberedlevel2text"/>
      </w:pPr>
      <w:r>
        <w:t xml:space="preserve">There </w:t>
      </w:r>
      <w:r w:rsidR="007833D8">
        <w:t>may</w:t>
      </w:r>
      <w:r>
        <w:t xml:space="preserve"> be a capacity impact on chemotherapy units for people who receive </w:t>
      </w:r>
      <w:proofErr w:type="spellStart"/>
      <w:r>
        <w:t>c</w:t>
      </w:r>
      <w:r w:rsidRPr="003456F8">
        <w:t>abozantinib</w:t>
      </w:r>
      <w:proofErr w:type="spellEnd"/>
      <w:r w:rsidRPr="003456F8">
        <w:t xml:space="preserve"> with nivolumab</w:t>
      </w:r>
      <w:r>
        <w:t xml:space="preserve">. The resource impact template allows providers to assess </w:t>
      </w:r>
      <w:r w:rsidR="007833D8">
        <w:t>this impact.</w:t>
      </w:r>
    </w:p>
    <w:p w14:paraId="3304E268" w14:textId="645112D8" w:rsidR="000250E2" w:rsidRPr="000250E2" w:rsidRDefault="001D02D8">
      <w:pPr>
        <w:pStyle w:val="Numberedheading1"/>
      </w:pPr>
      <w:r>
        <w:t xml:space="preserve">How we estimated the </w:t>
      </w:r>
      <w:r w:rsidR="00356827">
        <w:t xml:space="preserve">resource </w:t>
      </w:r>
      <w:r>
        <w:t>impact</w:t>
      </w:r>
    </w:p>
    <w:p w14:paraId="573FED06" w14:textId="77777777" w:rsidR="008048F9" w:rsidRPr="00ED7225" w:rsidRDefault="00526504" w:rsidP="00412BA6">
      <w:pPr>
        <w:pStyle w:val="Heading2"/>
        <w:rPr>
          <w:lang w:val="en"/>
        </w:rPr>
      </w:pPr>
      <w:r>
        <w:t>The population</w:t>
      </w:r>
      <w:bookmarkEnd w:id="3"/>
    </w:p>
    <w:p w14:paraId="2E2DDB0A" w14:textId="2ED6DF64" w:rsidR="00864F88" w:rsidRDefault="003456F8" w:rsidP="003456F8">
      <w:pPr>
        <w:pStyle w:val="Numberedlevel2text"/>
      </w:pPr>
      <w:r>
        <w:t>In 2019, around 11,5</w:t>
      </w:r>
      <w:r w:rsidR="007833D8">
        <w:t>74</w:t>
      </w:r>
      <w:r>
        <w:t xml:space="preserve"> adults were diagnosed with kidney cancer in England </w:t>
      </w:r>
      <w:hyperlink r:id="rId12" w:history="1">
        <w:r w:rsidR="00864F88" w:rsidRPr="00864F88">
          <w:rPr>
            <w:rStyle w:val="Hyperlink"/>
          </w:rPr>
          <w:t>[Office for National Statistics 2021 - cancer registration statistics England 2019 data release].</w:t>
        </w:r>
      </w:hyperlink>
    </w:p>
    <w:p w14:paraId="3302A6FF" w14:textId="7F5D2CDF" w:rsidR="00864F88" w:rsidRDefault="003456F8" w:rsidP="003456F8">
      <w:pPr>
        <w:pStyle w:val="Numberedlevel2text"/>
      </w:pPr>
      <w:r>
        <w:t xml:space="preserve">Of these, </w:t>
      </w:r>
      <w:hyperlink r:id="rId13" w:history="1">
        <w:r w:rsidRPr="007833D8">
          <w:rPr>
            <w:rStyle w:val="Hyperlink"/>
          </w:rPr>
          <w:t>Cancer Research UK</w:t>
        </w:r>
      </w:hyperlink>
      <w:r>
        <w:t xml:space="preserve"> estimate around 80% have kidney cancer that is renal cell carcinoma and </w:t>
      </w:r>
      <w:r w:rsidR="00882771">
        <w:t xml:space="preserve">the </w:t>
      </w:r>
      <w:hyperlink r:id="rId14" w:history="1">
        <w:r w:rsidR="00882771" w:rsidRPr="00827CAB">
          <w:rPr>
            <w:rStyle w:val="Hyperlink"/>
          </w:rPr>
          <w:t xml:space="preserve">National disease </w:t>
        </w:r>
        <w:r w:rsidR="00882771" w:rsidRPr="00827CAB">
          <w:rPr>
            <w:rStyle w:val="Hyperlink"/>
          </w:rPr>
          <w:lastRenderedPageBreak/>
          <w:t>registration service</w:t>
        </w:r>
        <w:r w:rsidR="007937B5" w:rsidRPr="00827CAB">
          <w:rPr>
            <w:rStyle w:val="Hyperlink"/>
          </w:rPr>
          <w:t xml:space="preserve"> – stage at diagnosis</w:t>
        </w:r>
      </w:hyperlink>
      <w:r>
        <w:t xml:space="preserve"> estimate 42</w:t>
      </w:r>
      <w:r w:rsidR="00CD01BC">
        <w:t>.6</w:t>
      </w:r>
      <w:r>
        <w:t xml:space="preserve">% would be advanced or metastatic renal cell carcinoma. </w:t>
      </w:r>
    </w:p>
    <w:p w14:paraId="352EE3EC" w14:textId="7AF218D0" w:rsidR="00864F88" w:rsidRDefault="003456F8" w:rsidP="003456F8">
      <w:pPr>
        <w:pStyle w:val="Numberedlevel2text"/>
      </w:pPr>
      <w:r>
        <w:t>Using assumptions from</w:t>
      </w:r>
      <w:r w:rsidR="008F4A63">
        <w:t xml:space="preserve"> the company submission from</w:t>
      </w:r>
      <w:r>
        <w:t xml:space="preserve"> </w:t>
      </w:r>
      <w:r w:rsidR="00321693">
        <w:t>technology appraisal 780</w:t>
      </w:r>
      <w:r w:rsidR="003F2191">
        <w:t xml:space="preserve"> </w:t>
      </w:r>
      <w:r w:rsidR="00321693">
        <w:rPr>
          <w:rStyle w:val="Hyperlink"/>
          <w:color w:val="auto"/>
          <w:u w:val="none"/>
        </w:rPr>
        <w:t>where the</w:t>
      </w:r>
      <w:r w:rsidR="003F2191" w:rsidRPr="003F2191">
        <w:rPr>
          <w:rStyle w:val="Hyperlink"/>
          <w:color w:val="auto"/>
          <w:u w:val="none"/>
        </w:rPr>
        <w:t xml:space="preserve"> advisory board</w:t>
      </w:r>
      <w:r w:rsidR="00321693">
        <w:rPr>
          <w:rStyle w:val="Hyperlink"/>
          <w:color w:val="auto"/>
          <w:u w:val="none"/>
        </w:rPr>
        <w:t xml:space="preserve"> (January 2016)</w:t>
      </w:r>
      <w:r>
        <w:t xml:space="preserve"> estimated that 75% of these patients will receive first line systemic therapy. </w:t>
      </w:r>
      <w:hyperlink r:id="rId15" w:history="1">
        <w:r w:rsidRPr="00CD01BC">
          <w:rPr>
            <w:rStyle w:val="Hyperlink"/>
          </w:rPr>
          <w:t>Kidney Cancer UK</w:t>
        </w:r>
      </w:hyperlink>
      <w:r>
        <w:t xml:space="preserve"> estimates that 75% will have clear cell disease and </w:t>
      </w:r>
      <w:r w:rsidR="003F2191">
        <w:t>the</w:t>
      </w:r>
      <w:r>
        <w:t xml:space="preserve"> </w:t>
      </w:r>
      <w:hyperlink r:id="rId16" w:history="1">
        <w:r w:rsidR="003F2191" w:rsidRPr="003F2191">
          <w:rPr>
            <w:rStyle w:val="Hyperlink"/>
          </w:rPr>
          <w:t>Nivolumab plus Ipilimumab versus Sunitinib in Advanced Renal-Cell Carcinoma</w:t>
        </w:r>
      </w:hyperlink>
      <w:r w:rsidR="003F2191" w:rsidRPr="003F2191">
        <w:t xml:space="preserve"> </w:t>
      </w:r>
      <w:r w:rsidR="003F2191">
        <w:t>study estimates 7</w:t>
      </w:r>
      <w:r w:rsidR="000055DF">
        <w:t>5</w:t>
      </w:r>
      <w:r>
        <w:t xml:space="preserve">% will have disease that is intermediate or poor risk. </w:t>
      </w:r>
    </w:p>
    <w:p w14:paraId="3A16914B" w14:textId="52EF7B6A" w:rsidR="00CD01BC" w:rsidRDefault="00CD01BC" w:rsidP="003456F8">
      <w:pPr>
        <w:pStyle w:val="Numberedlevel2text"/>
      </w:pPr>
      <w:r w:rsidRPr="00CD01BC">
        <w:t>NHS</w:t>
      </w:r>
      <w:r w:rsidR="00A26685">
        <w:t xml:space="preserve"> </w:t>
      </w:r>
      <w:r w:rsidRPr="00CD01BC">
        <w:t>E</w:t>
      </w:r>
      <w:r w:rsidR="00A26685">
        <w:t>ngland</w:t>
      </w:r>
      <w:r w:rsidRPr="00CD01BC">
        <w:t xml:space="preserve"> clinical expert</w:t>
      </w:r>
      <w:r>
        <w:t xml:space="preserve"> estimated that </w:t>
      </w:r>
      <w:r w:rsidR="0017068E">
        <w:t>around 1,100</w:t>
      </w:r>
      <w:r>
        <w:t xml:space="preserve"> </w:t>
      </w:r>
      <w:r w:rsidR="0017068E">
        <w:t>people are</w:t>
      </w:r>
      <w:r>
        <w:t xml:space="preserve"> currently be offered </w:t>
      </w:r>
      <w:r w:rsidRPr="00CD01BC">
        <w:t xml:space="preserve">nivolumab </w:t>
      </w:r>
      <w:r w:rsidR="002E25EF">
        <w:t>with</w:t>
      </w:r>
      <w:r w:rsidR="002E25EF" w:rsidRPr="00CD01BC">
        <w:t xml:space="preserve"> </w:t>
      </w:r>
      <w:r w:rsidRPr="00CD01BC">
        <w:t xml:space="preserve">ipilimumab or lenvatinib </w:t>
      </w:r>
      <w:r w:rsidR="002E25EF">
        <w:t>with</w:t>
      </w:r>
      <w:r w:rsidR="002E25EF" w:rsidRPr="00CD01BC">
        <w:t xml:space="preserve"> </w:t>
      </w:r>
      <w:r w:rsidRPr="00CD01BC">
        <w:t>pembrolizumab</w:t>
      </w:r>
      <w:r>
        <w:t>.</w:t>
      </w:r>
    </w:p>
    <w:p w14:paraId="4A74EBC0" w14:textId="7D815C6C" w:rsidR="0045017F" w:rsidRDefault="00947482" w:rsidP="003456F8">
      <w:pPr>
        <w:pStyle w:val="Numberedlevel2text"/>
      </w:pPr>
      <w:r w:rsidRPr="00947482">
        <w:t xml:space="preserve">Table </w:t>
      </w:r>
      <w:r w:rsidR="00CB3D72">
        <w:t>2</w:t>
      </w:r>
      <w:r w:rsidRPr="00947482">
        <w:t xml:space="preserve"> shows the number of people eligible for treatment with</w:t>
      </w:r>
      <w:r w:rsidR="00B3024A">
        <w:t xml:space="preserve"> </w:t>
      </w:r>
      <w:proofErr w:type="spellStart"/>
      <w:r w:rsidR="00CD01BC" w:rsidRPr="00CD01BC">
        <w:t>cabozantinib</w:t>
      </w:r>
      <w:proofErr w:type="spellEnd"/>
      <w:r w:rsidR="00CD01BC" w:rsidRPr="00CD01BC">
        <w:t xml:space="preserve"> with nivolumab</w:t>
      </w:r>
      <w:r w:rsidRPr="00947482">
        <w:t>.</w:t>
      </w:r>
    </w:p>
    <w:p w14:paraId="444A0B77" w14:textId="10880EB3" w:rsidR="00155DBF" w:rsidRDefault="00155DBF" w:rsidP="00E426BC">
      <w:pPr>
        <w:pStyle w:val="Heading3"/>
        <w:rPr>
          <w:rFonts w:eastAsia="SimSun"/>
        </w:rPr>
      </w:pPr>
      <w:r w:rsidRPr="00155DBF">
        <w:rPr>
          <w:rFonts w:eastAsia="SimSun"/>
        </w:rPr>
        <w:lastRenderedPageBreak/>
        <w:t>Table </w:t>
      </w:r>
      <w:r w:rsidR="00CB3D72">
        <w:rPr>
          <w:rFonts w:eastAsia="SimSun"/>
        </w:rPr>
        <w:t>2</w:t>
      </w:r>
      <w:r w:rsidRPr="00155DBF">
        <w:rPr>
          <w:rFonts w:eastAsia="SimSun"/>
        </w:rPr>
        <w:t xml:space="preserve"> Number of people eligible for treatment </w:t>
      </w:r>
      <w:r>
        <w:rPr>
          <w:rFonts w:eastAsia="SimSun"/>
        </w:rPr>
        <w:t>in England</w:t>
      </w:r>
    </w:p>
    <w:tbl>
      <w:tblPr>
        <w:tblW w:w="7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1752"/>
        <w:gridCol w:w="2044"/>
      </w:tblGrid>
      <w:tr w:rsidR="00CD01BC" w:rsidRPr="00E426BC" w14:paraId="1A2F0923" w14:textId="77777777">
        <w:tc>
          <w:tcPr>
            <w:tcW w:w="4199" w:type="dxa"/>
            <w:shd w:val="clear" w:color="auto" w:fill="auto"/>
            <w:noWrap/>
            <w:vAlign w:val="center"/>
            <w:hideMark/>
          </w:tcPr>
          <w:p w14:paraId="699700BB" w14:textId="77777777" w:rsidR="00CD01BC" w:rsidRPr="00E426BC" w:rsidRDefault="00CD01BC">
            <w:pPr>
              <w:pStyle w:val="Tabletext"/>
              <w:rPr>
                <w:rFonts w:eastAsia="SimSun"/>
                <w:b/>
              </w:rPr>
            </w:pPr>
            <w:r w:rsidRPr="00E426BC">
              <w:rPr>
                <w:rFonts w:eastAsia="SimSun"/>
                <w:b/>
              </w:rPr>
              <w:t>Population</w:t>
            </w:r>
          </w:p>
        </w:tc>
        <w:tc>
          <w:tcPr>
            <w:tcW w:w="1752" w:type="dxa"/>
            <w:shd w:val="clear" w:color="auto" w:fill="auto"/>
            <w:noWrap/>
            <w:vAlign w:val="center"/>
            <w:hideMark/>
          </w:tcPr>
          <w:p w14:paraId="61040649" w14:textId="77777777" w:rsidR="00CD01BC" w:rsidRPr="00E426BC" w:rsidRDefault="00CD01BC">
            <w:pPr>
              <w:pStyle w:val="Tabletext"/>
              <w:jc w:val="right"/>
              <w:rPr>
                <w:rFonts w:eastAsia="SimSun"/>
                <w:b/>
              </w:rPr>
            </w:pPr>
            <w:r w:rsidRPr="00E426BC">
              <w:rPr>
                <w:rFonts w:eastAsia="SimSun"/>
                <w:b/>
              </w:rPr>
              <w:t>Proportion</w:t>
            </w:r>
            <w:r>
              <w:rPr>
                <w:rFonts w:eastAsia="SimSun"/>
                <w:b/>
              </w:rPr>
              <w:t xml:space="preserve"> of previous row (%)</w:t>
            </w:r>
          </w:p>
        </w:tc>
        <w:tc>
          <w:tcPr>
            <w:tcW w:w="2044" w:type="dxa"/>
            <w:shd w:val="clear" w:color="auto" w:fill="auto"/>
            <w:vAlign w:val="center"/>
            <w:hideMark/>
          </w:tcPr>
          <w:p w14:paraId="7271FE20" w14:textId="07381614" w:rsidR="00CD01BC" w:rsidRPr="00E426BC" w:rsidRDefault="00CD01BC">
            <w:pPr>
              <w:pStyle w:val="Tabletext"/>
              <w:jc w:val="center"/>
              <w:rPr>
                <w:rFonts w:eastAsia="SimSun"/>
                <w:b/>
              </w:rPr>
            </w:pPr>
            <w:r w:rsidRPr="00445CFE">
              <w:rPr>
                <w:rFonts w:eastAsia="SimSun"/>
                <w:b/>
              </w:rPr>
              <w:t>Number of people in 202</w:t>
            </w:r>
            <w:r w:rsidR="00E65646">
              <w:rPr>
                <w:rFonts w:eastAsia="SimSun"/>
                <w:b/>
              </w:rPr>
              <w:t>8/29</w:t>
            </w:r>
            <w:r>
              <w:rPr>
                <w:rFonts w:eastAsia="SimSun"/>
                <w:b/>
              </w:rPr>
              <w:t xml:space="preserve"> </w:t>
            </w:r>
          </w:p>
        </w:tc>
      </w:tr>
      <w:tr w:rsidR="00CD01BC" w:rsidRPr="00155DBF" w14:paraId="77D8E22C" w14:textId="77777777">
        <w:tc>
          <w:tcPr>
            <w:tcW w:w="4199" w:type="dxa"/>
            <w:tcBorders>
              <w:bottom w:val="single" w:sz="4" w:space="0" w:color="auto"/>
            </w:tcBorders>
            <w:shd w:val="clear" w:color="auto" w:fill="auto"/>
            <w:vAlign w:val="center"/>
          </w:tcPr>
          <w:p w14:paraId="197E52C4" w14:textId="77777777" w:rsidR="00CD01BC" w:rsidRPr="00356827" w:rsidRDefault="00CD01BC">
            <w:pPr>
              <w:pStyle w:val="Tabletext"/>
              <w:rPr>
                <w:rFonts w:eastAsia="SimSun"/>
              </w:rPr>
            </w:pPr>
            <w:r w:rsidRPr="00445CFE">
              <w:rPr>
                <w:rFonts w:eastAsia="SimSun"/>
              </w:rPr>
              <w:t>Adult population (adjusted for predicted growth each year)</w:t>
            </w:r>
          </w:p>
        </w:tc>
        <w:tc>
          <w:tcPr>
            <w:tcW w:w="1752" w:type="dxa"/>
            <w:shd w:val="clear" w:color="auto" w:fill="auto"/>
            <w:noWrap/>
            <w:vAlign w:val="center"/>
          </w:tcPr>
          <w:p w14:paraId="1E39F4E2" w14:textId="77777777" w:rsidR="00CD01BC" w:rsidRPr="008D75A4" w:rsidRDefault="00CD01BC">
            <w:pPr>
              <w:pStyle w:val="Tabletext"/>
              <w:jc w:val="right"/>
              <w:rPr>
                <w:rFonts w:eastAsia="SimSun"/>
                <w:highlight w:val="darkGray"/>
              </w:rPr>
            </w:pPr>
          </w:p>
        </w:tc>
        <w:tc>
          <w:tcPr>
            <w:tcW w:w="2044" w:type="dxa"/>
            <w:shd w:val="clear" w:color="auto" w:fill="auto"/>
            <w:noWrap/>
            <w:vAlign w:val="center"/>
          </w:tcPr>
          <w:p w14:paraId="3074471D" w14:textId="1F7552F5" w:rsidR="00CD01BC" w:rsidRPr="0077176C" w:rsidRDefault="0077176C">
            <w:pPr>
              <w:pStyle w:val="Tabletext"/>
              <w:jc w:val="right"/>
              <w:rPr>
                <w:rFonts w:eastAsia="SimSun"/>
              </w:rPr>
            </w:pPr>
            <w:r w:rsidRPr="0077176C">
              <w:rPr>
                <w:rFonts w:eastAsia="SimSun"/>
              </w:rPr>
              <w:t>48,417,016</w:t>
            </w:r>
          </w:p>
        </w:tc>
      </w:tr>
      <w:tr w:rsidR="0077176C" w:rsidRPr="00155DBF" w14:paraId="2AA1D105" w14:textId="77777777" w:rsidTr="0077176C">
        <w:tc>
          <w:tcPr>
            <w:tcW w:w="4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9AC7E" w14:textId="77777777" w:rsidR="0077176C" w:rsidRPr="00751AE1" w:rsidRDefault="0077176C" w:rsidP="0077176C">
            <w:pPr>
              <w:pStyle w:val="Tabletext"/>
              <w:rPr>
                <w:rFonts w:eastAsia="SimSun"/>
                <w:vertAlign w:val="superscript"/>
              </w:rPr>
            </w:pPr>
            <w:r>
              <w:rPr>
                <w:rFonts w:cs="Arial"/>
                <w:color w:val="000000"/>
                <w:szCs w:val="22"/>
              </w:rPr>
              <w:t>Incidence of kidney cancer in adults</w:t>
            </w:r>
            <w:r>
              <w:rPr>
                <w:rFonts w:cs="Arial"/>
                <w:color w:val="000000"/>
                <w:szCs w:val="22"/>
                <w:vertAlign w:val="superscript"/>
              </w:rPr>
              <w:t>1</w:t>
            </w:r>
          </w:p>
        </w:tc>
        <w:tc>
          <w:tcPr>
            <w:tcW w:w="1752" w:type="dxa"/>
            <w:tcBorders>
              <w:top w:val="nil"/>
              <w:left w:val="nil"/>
              <w:bottom w:val="single" w:sz="4" w:space="0" w:color="auto"/>
              <w:right w:val="single" w:sz="4" w:space="0" w:color="auto"/>
            </w:tcBorders>
            <w:shd w:val="clear" w:color="auto" w:fill="auto"/>
            <w:noWrap/>
            <w:vAlign w:val="bottom"/>
            <w:hideMark/>
          </w:tcPr>
          <w:p w14:paraId="2F0B3704" w14:textId="16D7F5E0" w:rsidR="0077176C" w:rsidRPr="004627C5" w:rsidRDefault="0077176C" w:rsidP="0077176C">
            <w:pPr>
              <w:pStyle w:val="Tabletext"/>
              <w:jc w:val="right"/>
              <w:rPr>
                <w:rFonts w:eastAsia="SimSun"/>
              </w:rPr>
            </w:pPr>
            <w:r w:rsidRPr="004627C5">
              <w:rPr>
                <w:rFonts w:cs="Arial"/>
                <w:color w:val="000000"/>
                <w:szCs w:val="22"/>
              </w:rPr>
              <w:t>0.0</w:t>
            </w:r>
            <w:r>
              <w:rPr>
                <w:rFonts w:cs="Arial"/>
                <w:color w:val="000000"/>
                <w:szCs w:val="22"/>
              </w:rPr>
              <w:t>3</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A54BD" w14:textId="78FD12B4" w:rsidR="0077176C" w:rsidRPr="0077176C" w:rsidRDefault="0077176C" w:rsidP="0077176C">
            <w:pPr>
              <w:pStyle w:val="Tabletext"/>
              <w:jc w:val="right"/>
              <w:rPr>
                <w:rFonts w:eastAsia="SimSun"/>
              </w:rPr>
            </w:pPr>
            <w:r w:rsidRPr="0077176C">
              <w:rPr>
                <w:rFonts w:eastAsia="SimSun"/>
              </w:rPr>
              <w:t>12,143</w:t>
            </w:r>
          </w:p>
        </w:tc>
      </w:tr>
      <w:tr w:rsidR="0077176C" w14:paraId="4707C8E6" w14:textId="77777777" w:rsidTr="0077176C">
        <w:tc>
          <w:tcPr>
            <w:tcW w:w="4199" w:type="dxa"/>
            <w:tcBorders>
              <w:top w:val="single" w:sz="4" w:space="0" w:color="auto"/>
              <w:left w:val="single" w:sz="4" w:space="0" w:color="auto"/>
              <w:bottom w:val="single" w:sz="4" w:space="0" w:color="auto"/>
              <w:right w:val="single" w:sz="4" w:space="0" w:color="auto"/>
            </w:tcBorders>
            <w:shd w:val="clear" w:color="auto" w:fill="auto"/>
          </w:tcPr>
          <w:p w14:paraId="1CDC780C" w14:textId="77777777" w:rsidR="0077176C" w:rsidRPr="0038481F" w:rsidRDefault="0077176C" w:rsidP="0077176C">
            <w:pPr>
              <w:pStyle w:val="Tabletext"/>
              <w:rPr>
                <w:vertAlign w:val="superscript"/>
              </w:rPr>
            </w:pPr>
            <w:r w:rsidRPr="0038481F">
              <w:t>Proportion of kidney cancer that is renal cell carcinoma</w:t>
            </w:r>
            <w:r>
              <w:rPr>
                <w:vertAlign w:val="superscript"/>
              </w:rPr>
              <w:t>2</w:t>
            </w:r>
          </w:p>
        </w:tc>
        <w:tc>
          <w:tcPr>
            <w:tcW w:w="1752" w:type="dxa"/>
            <w:tcBorders>
              <w:top w:val="nil"/>
              <w:left w:val="nil"/>
              <w:bottom w:val="single" w:sz="4" w:space="0" w:color="auto"/>
              <w:right w:val="single" w:sz="4" w:space="0" w:color="auto"/>
            </w:tcBorders>
            <w:shd w:val="clear" w:color="auto" w:fill="auto"/>
            <w:noWrap/>
            <w:vAlign w:val="bottom"/>
          </w:tcPr>
          <w:p w14:paraId="50F625EC" w14:textId="7600567C" w:rsidR="0077176C" w:rsidRPr="004627C5" w:rsidRDefault="0077176C" w:rsidP="0077176C">
            <w:pPr>
              <w:pStyle w:val="Tabletext"/>
              <w:jc w:val="right"/>
              <w:rPr>
                <w:rFonts w:cs="Arial"/>
                <w:color w:val="000000"/>
                <w:szCs w:val="22"/>
              </w:rPr>
            </w:pPr>
            <w:r w:rsidRPr="004627C5">
              <w:rPr>
                <w:rFonts w:cs="Arial"/>
                <w:color w:val="000000"/>
                <w:szCs w:val="22"/>
              </w:rPr>
              <w:t>80</w:t>
            </w:r>
          </w:p>
        </w:tc>
        <w:tc>
          <w:tcPr>
            <w:tcW w:w="2044" w:type="dxa"/>
            <w:tcBorders>
              <w:top w:val="nil"/>
              <w:left w:val="single" w:sz="4" w:space="0" w:color="auto"/>
              <w:bottom w:val="single" w:sz="4" w:space="0" w:color="auto"/>
              <w:right w:val="single" w:sz="4" w:space="0" w:color="auto"/>
            </w:tcBorders>
            <w:shd w:val="clear" w:color="auto" w:fill="auto"/>
            <w:noWrap/>
            <w:vAlign w:val="bottom"/>
          </w:tcPr>
          <w:p w14:paraId="09060558" w14:textId="2C14BF1A" w:rsidR="0077176C" w:rsidRPr="0077176C" w:rsidRDefault="0077176C" w:rsidP="0077176C">
            <w:pPr>
              <w:pStyle w:val="Tabletext"/>
              <w:jc w:val="right"/>
              <w:rPr>
                <w:rFonts w:eastAsia="SimSun"/>
              </w:rPr>
            </w:pPr>
            <w:r w:rsidRPr="0077176C">
              <w:rPr>
                <w:rFonts w:eastAsia="SimSun"/>
              </w:rPr>
              <w:t>9,714</w:t>
            </w:r>
          </w:p>
        </w:tc>
      </w:tr>
      <w:tr w:rsidR="0077176C" w:rsidRPr="00155DBF" w14:paraId="148B1401" w14:textId="77777777" w:rsidTr="0077176C">
        <w:trPr>
          <w:trHeight w:val="561"/>
        </w:trPr>
        <w:tc>
          <w:tcPr>
            <w:tcW w:w="4199" w:type="dxa"/>
            <w:tcBorders>
              <w:top w:val="single" w:sz="4" w:space="0" w:color="auto"/>
              <w:left w:val="single" w:sz="4" w:space="0" w:color="auto"/>
              <w:bottom w:val="single" w:sz="4" w:space="0" w:color="auto"/>
              <w:right w:val="single" w:sz="4" w:space="0" w:color="auto"/>
            </w:tcBorders>
            <w:shd w:val="clear" w:color="auto" w:fill="auto"/>
            <w:hideMark/>
          </w:tcPr>
          <w:p w14:paraId="10B307C8" w14:textId="77777777" w:rsidR="0077176C" w:rsidRPr="00751AE1" w:rsidRDefault="0077176C" w:rsidP="0077176C">
            <w:pPr>
              <w:pStyle w:val="Tabletext"/>
              <w:rPr>
                <w:rFonts w:eastAsia="SimSun"/>
                <w:vertAlign w:val="superscript"/>
              </w:rPr>
            </w:pPr>
            <w:r w:rsidRPr="00004DFF">
              <w:t>Proportion with advanced or metastatic renal cell carcinoma</w:t>
            </w:r>
            <w:r>
              <w:rPr>
                <w:vertAlign w:val="superscript"/>
              </w:rPr>
              <w:t>3</w:t>
            </w:r>
          </w:p>
        </w:tc>
        <w:tc>
          <w:tcPr>
            <w:tcW w:w="1752" w:type="dxa"/>
            <w:tcBorders>
              <w:top w:val="nil"/>
              <w:left w:val="nil"/>
              <w:bottom w:val="single" w:sz="4" w:space="0" w:color="auto"/>
              <w:right w:val="single" w:sz="4" w:space="0" w:color="auto"/>
            </w:tcBorders>
            <w:shd w:val="clear" w:color="auto" w:fill="auto"/>
            <w:noWrap/>
            <w:vAlign w:val="bottom"/>
            <w:hideMark/>
          </w:tcPr>
          <w:p w14:paraId="3F3E5088" w14:textId="0602C82A" w:rsidR="0077176C" w:rsidRPr="004627C5" w:rsidRDefault="0077176C" w:rsidP="0077176C">
            <w:pPr>
              <w:pStyle w:val="Tabletext"/>
              <w:jc w:val="right"/>
              <w:rPr>
                <w:rFonts w:eastAsia="SimSun"/>
              </w:rPr>
            </w:pPr>
            <w:r w:rsidRPr="004627C5">
              <w:rPr>
                <w:rFonts w:cs="Arial"/>
                <w:color w:val="000000"/>
                <w:szCs w:val="22"/>
              </w:rPr>
              <w:t>42</w:t>
            </w:r>
            <w:r>
              <w:rPr>
                <w:rFonts w:cs="Arial"/>
                <w:color w:val="000000"/>
                <w:szCs w:val="22"/>
              </w:rPr>
              <w:t>.6</w:t>
            </w:r>
          </w:p>
        </w:tc>
        <w:tc>
          <w:tcPr>
            <w:tcW w:w="2044" w:type="dxa"/>
            <w:tcBorders>
              <w:top w:val="nil"/>
              <w:left w:val="single" w:sz="4" w:space="0" w:color="auto"/>
              <w:bottom w:val="single" w:sz="4" w:space="0" w:color="auto"/>
              <w:right w:val="single" w:sz="4" w:space="0" w:color="auto"/>
            </w:tcBorders>
            <w:shd w:val="clear" w:color="auto" w:fill="auto"/>
            <w:noWrap/>
            <w:vAlign w:val="bottom"/>
            <w:hideMark/>
          </w:tcPr>
          <w:p w14:paraId="3FFE2981" w14:textId="56AF6BE9" w:rsidR="0077176C" w:rsidRPr="0077176C" w:rsidRDefault="0077176C" w:rsidP="0077176C">
            <w:pPr>
              <w:pStyle w:val="Tabletext"/>
              <w:jc w:val="right"/>
              <w:rPr>
                <w:rFonts w:eastAsia="SimSun"/>
              </w:rPr>
            </w:pPr>
            <w:r w:rsidRPr="0077176C">
              <w:rPr>
                <w:rFonts w:eastAsia="SimSun"/>
              </w:rPr>
              <w:t>4,138</w:t>
            </w:r>
          </w:p>
        </w:tc>
      </w:tr>
      <w:tr w:rsidR="0077176C" w:rsidRPr="004627C5" w14:paraId="3E866E45" w14:textId="77777777" w:rsidTr="0077176C">
        <w:tc>
          <w:tcPr>
            <w:tcW w:w="4199" w:type="dxa"/>
            <w:tcBorders>
              <w:top w:val="single" w:sz="4" w:space="0" w:color="auto"/>
              <w:left w:val="single" w:sz="4" w:space="0" w:color="auto"/>
              <w:bottom w:val="single" w:sz="4" w:space="0" w:color="auto"/>
              <w:right w:val="single" w:sz="4" w:space="0" w:color="auto"/>
            </w:tcBorders>
            <w:shd w:val="clear" w:color="auto" w:fill="auto"/>
          </w:tcPr>
          <w:p w14:paraId="368B318C" w14:textId="77777777" w:rsidR="0077176C" w:rsidRPr="00751AE1" w:rsidRDefault="0077176C" w:rsidP="0077176C">
            <w:pPr>
              <w:pStyle w:val="Tabletext"/>
              <w:rPr>
                <w:rFonts w:eastAsia="SimSun"/>
                <w:vertAlign w:val="superscript"/>
              </w:rPr>
            </w:pPr>
            <w:r w:rsidRPr="00004DFF">
              <w:t>Proportion of patients who will receive first line systemic therapy</w:t>
            </w:r>
            <w:r>
              <w:rPr>
                <w:vertAlign w:val="superscript"/>
              </w:rPr>
              <w:t>4</w:t>
            </w:r>
          </w:p>
        </w:tc>
        <w:tc>
          <w:tcPr>
            <w:tcW w:w="1752" w:type="dxa"/>
            <w:tcBorders>
              <w:top w:val="nil"/>
              <w:left w:val="nil"/>
              <w:bottom w:val="single" w:sz="4" w:space="0" w:color="auto"/>
              <w:right w:val="single" w:sz="4" w:space="0" w:color="auto"/>
            </w:tcBorders>
            <w:shd w:val="clear" w:color="auto" w:fill="auto"/>
            <w:noWrap/>
            <w:vAlign w:val="bottom"/>
          </w:tcPr>
          <w:p w14:paraId="14F890C4" w14:textId="33C5A323" w:rsidR="0077176C" w:rsidRPr="004627C5" w:rsidRDefault="0077176C" w:rsidP="0077176C">
            <w:pPr>
              <w:pStyle w:val="Tabletext"/>
              <w:jc w:val="right"/>
              <w:rPr>
                <w:rFonts w:eastAsia="SimSun"/>
              </w:rPr>
            </w:pPr>
            <w:r w:rsidRPr="004627C5">
              <w:rPr>
                <w:rFonts w:cs="Arial"/>
                <w:color w:val="000000"/>
                <w:szCs w:val="22"/>
              </w:rPr>
              <w:t>75</w:t>
            </w:r>
          </w:p>
        </w:tc>
        <w:tc>
          <w:tcPr>
            <w:tcW w:w="2044" w:type="dxa"/>
            <w:tcBorders>
              <w:top w:val="nil"/>
              <w:left w:val="single" w:sz="4" w:space="0" w:color="auto"/>
              <w:bottom w:val="single" w:sz="4" w:space="0" w:color="auto"/>
              <w:right w:val="single" w:sz="4" w:space="0" w:color="auto"/>
            </w:tcBorders>
            <w:shd w:val="clear" w:color="auto" w:fill="auto"/>
            <w:noWrap/>
            <w:vAlign w:val="bottom"/>
          </w:tcPr>
          <w:p w14:paraId="25D02E21" w14:textId="7CE65434" w:rsidR="0077176C" w:rsidRPr="0077176C" w:rsidRDefault="0077176C" w:rsidP="0077176C">
            <w:pPr>
              <w:pStyle w:val="Tabletext"/>
              <w:jc w:val="right"/>
              <w:rPr>
                <w:rFonts w:eastAsia="SimSun"/>
              </w:rPr>
            </w:pPr>
            <w:r w:rsidRPr="0077176C">
              <w:rPr>
                <w:rFonts w:eastAsia="SimSun"/>
              </w:rPr>
              <w:t>3,104</w:t>
            </w:r>
          </w:p>
        </w:tc>
      </w:tr>
      <w:tr w:rsidR="0077176C" w14:paraId="776E0DA2" w14:textId="77777777" w:rsidTr="0077176C">
        <w:trPr>
          <w:trHeight w:val="558"/>
        </w:trPr>
        <w:tc>
          <w:tcPr>
            <w:tcW w:w="4199" w:type="dxa"/>
            <w:tcBorders>
              <w:top w:val="single" w:sz="4" w:space="0" w:color="auto"/>
              <w:left w:val="single" w:sz="4" w:space="0" w:color="auto"/>
              <w:bottom w:val="single" w:sz="4" w:space="0" w:color="auto"/>
              <w:right w:val="single" w:sz="4" w:space="0" w:color="auto"/>
            </w:tcBorders>
            <w:shd w:val="clear" w:color="auto" w:fill="auto"/>
          </w:tcPr>
          <w:p w14:paraId="46413571" w14:textId="77777777" w:rsidR="0077176C" w:rsidRPr="008A104C" w:rsidRDefault="0077176C" w:rsidP="0077176C">
            <w:pPr>
              <w:pStyle w:val="Tabletext"/>
              <w:rPr>
                <w:vertAlign w:val="superscript"/>
              </w:rPr>
            </w:pPr>
            <w:r w:rsidRPr="008A104C">
              <w:t>Proportion with advanced renal cell carcinoma with clear cell diseas</w:t>
            </w:r>
            <w:r>
              <w:t>e</w:t>
            </w:r>
            <w:r>
              <w:rPr>
                <w:vertAlign w:val="superscript"/>
              </w:rPr>
              <w:t>5</w:t>
            </w:r>
          </w:p>
        </w:tc>
        <w:tc>
          <w:tcPr>
            <w:tcW w:w="1752" w:type="dxa"/>
            <w:tcBorders>
              <w:top w:val="nil"/>
              <w:left w:val="nil"/>
              <w:bottom w:val="single" w:sz="4" w:space="0" w:color="auto"/>
              <w:right w:val="single" w:sz="4" w:space="0" w:color="auto"/>
            </w:tcBorders>
            <w:shd w:val="clear" w:color="auto" w:fill="auto"/>
            <w:noWrap/>
          </w:tcPr>
          <w:p w14:paraId="4EAC0ADD" w14:textId="77777777" w:rsidR="0077176C" w:rsidRDefault="0077176C" w:rsidP="0077176C">
            <w:pPr>
              <w:pStyle w:val="Tabletext"/>
              <w:jc w:val="right"/>
            </w:pPr>
          </w:p>
          <w:p w14:paraId="39299FD2" w14:textId="4010522D" w:rsidR="0077176C" w:rsidRDefault="0077176C" w:rsidP="0077176C">
            <w:pPr>
              <w:pStyle w:val="Tabletext"/>
              <w:jc w:val="right"/>
              <w:rPr>
                <w:rFonts w:cs="Arial"/>
                <w:color w:val="000000"/>
                <w:szCs w:val="22"/>
              </w:rPr>
            </w:pPr>
            <w:r w:rsidRPr="00815DF7">
              <w:t>75</w:t>
            </w:r>
          </w:p>
        </w:tc>
        <w:tc>
          <w:tcPr>
            <w:tcW w:w="2044" w:type="dxa"/>
            <w:tcBorders>
              <w:top w:val="nil"/>
              <w:left w:val="single" w:sz="4" w:space="0" w:color="auto"/>
              <w:bottom w:val="single" w:sz="4" w:space="0" w:color="auto"/>
              <w:right w:val="single" w:sz="4" w:space="0" w:color="auto"/>
            </w:tcBorders>
            <w:shd w:val="clear" w:color="auto" w:fill="auto"/>
            <w:noWrap/>
            <w:vAlign w:val="bottom"/>
          </w:tcPr>
          <w:p w14:paraId="490F9FB0" w14:textId="4DC4DE42" w:rsidR="0077176C" w:rsidRPr="0077176C" w:rsidRDefault="0077176C" w:rsidP="0077176C">
            <w:pPr>
              <w:pStyle w:val="Tabletext"/>
              <w:jc w:val="right"/>
              <w:rPr>
                <w:rFonts w:eastAsia="SimSun"/>
              </w:rPr>
            </w:pPr>
            <w:r w:rsidRPr="0077176C">
              <w:rPr>
                <w:rFonts w:eastAsia="SimSun"/>
              </w:rPr>
              <w:t>2,328</w:t>
            </w:r>
          </w:p>
        </w:tc>
      </w:tr>
      <w:tr w:rsidR="0077176C" w:rsidRPr="00831E69" w14:paraId="36685E3E" w14:textId="77777777" w:rsidTr="0077176C">
        <w:trPr>
          <w:trHeight w:val="922"/>
        </w:trPr>
        <w:tc>
          <w:tcPr>
            <w:tcW w:w="4199" w:type="dxa"/>
            <w:tcBorders>
              <w:top w:val="single" w:sz="4" w:space="0" w:color="auto"/>
              <w:left w:val="single" w:sz="4" w:space="0" w:color="auto"/>
              <w:bottom w:val="single" w:sz="4" w:space="0" w:color="auto"/>
              <w:right w:val="single" w:sz="4" w:space="0" w:color="auto"/>
            </w:tcBorders>
            <w:shd w:val="clear" w:color="auto" w:fill="auto"/>
          </w:tcPr>
          <w:p w14:paraId="540DF2DE" w14:textId="0B0B0532" w:rsidR="0077176C" w:rsidRPr="004627C5" w:rsidRDefault="0077176C" w:rsidP="0077176C">
            <w:pPr>
              <w:pStyle w:val="Tabletext"/>
              <w:rPr>
                <w:rFonts w:cs="Arial"/>
                <w:color w:val="FFFFFF" w:themeColor="background1"/>
                <w:szCs w:val="22"/>
                <w:vertAlign w:val="superscript"/>
              </w:rPr>
            </w:pPr>
            <w:r w:rsidRPr="00004DFF">
              <w:t>Proportion with advanced renal cell carcinoma with clear cell disease who are intermediate or poor risk</w:t>
            </w:r>
            <w:r>
              <w:rPr>
                <w:vertAlign w:val="superscript"/>
              </w:rPr>
              <w:t>6</w:t>
            </w:r>
          </w:p>
        </w:tc>
        <w:tc>
          <w:tcPr>
            <w:tcW w:w="1752" w:type="dxa"/>
            <w:tcBorders>
              <w:top w:val="nil"/>
              <w:left w:val="nil"/>
              <w:bottom w:val="single" w:sz="4" w:space="0" w:color="auto"/>
              <w:right w:val="single" w:sz="4" w:space="0" w:color="auto"/>
            </w:tcBorders>
            <w:shd w:val="clear" w:color="auto" w:fill="auto"/>
            <w:noWrap/>
          </w:tcPr>
          <w:p w14:paraId="362B0198" w14:textId="77777777" w:rsidR="0077176C" w:rsidRDefault="0077176C" w:rsidP="0077176C">
            <w:pPr>
              <w:pStyle w:val="Tabletext"/>
              <w:jc w:val="right"/>
            </w:pPr>
          </w:p>
          <w:p w14:paraId="2AE900FB" w14:textId="77777777" w:rsidR="0077176C" w:rsidRDefault="0077176C" w:rsidP="0077176C">
            <w:pPr>
              <w:pStyle w:val="Tabletext"/>
              <w:jc w:val="right"/>
            </w:pPr>
          </w:p>
          <w:p w14:paraId="47D77214" w14:textId="74D62AE9" w:rsidR="0077176C" w:rsidRPr="004627C5" w:rsidRDefault="0077176C" w:rsidP="0077176C">
            <w:pPr>
              <w:pStyle w:val="Tabletext"/>
              <w:jc w:val="right"/>
            </w:pPr>
            <w:r w:rsidRPr="00815DF7">
              <w:t>7</w:t>
            </w:r>
            <w:r>
              <w:t>5</w:t>
            </w:r>
          </w:p>
        </w:tc>
        <w:tc>
          <w:tcPr>
            <w:tcW w:w="2044" w:type="dxa"/>
            <w:tcBorders>
              <w:top w:val="nil"/>
              <w:left w:val="single" w:sz="4" w:space="0" w:color="auto"/>
              <w:bottom w:val="single" w:sz="4" w:space="0" w:color="auto"/>
              <w:right w:val="single" w:sz="4" w:space="0" w:color="auto"/>
            </w:tcBorders>
            <w:shd w:val="clear" w:color="auto" w:fill="auto"/>
            <w:noWrap/>
            <w:vAlign w:val="bottom"/>
          </w:tcPr>
          <w:p w14:paraId="1AA49156" w14:textId="5F00178C" w:rsidR="0077176C" w:rsidRPr="0077176C" w:rsidRDefault="0077176C" w:rsidP="0077176C">
            <w:pPr>
              <w:pStyle w:val="Tabletext"/>
              <w:jc w:val="right"/>
              <w:rPr>
                <w:rFonts w:eastAsia="SimSun"/>
              </w:rPr>
            </w:pPr>
            <w:r w:rsidRPr="0077176C">
              <w:rPr>
                <w:rFonts w:eastAsia="SimSun"/>
              </w:rPr>
              <w:t>1,746</w:t>
            </w:r>
          </w:p>
        </w:tc>
      </w:tr>
      <w:tr w:rsidR="0077176C" w:rsidRPr="00831E69" w14:paraId="5E808464" w14:textId="77777777" w:rsidTr="0077176C">
        <w:trPr>
          <w:trHeight w:val="922"/>
        </w:trPr>
        <w:tc>
          <w:tcPr>
            <w:tcW w:w="4199" w:type="dxa"/>
            <w:tcBorders>
              <w:top w:val="single" w:sz="4" w:space="0" w:color="auto"/>
              <w:left w:val="single" w:sz="4" w:space="0" w:color="auto"/>
              <w:bottom w:val="single" w:sz="4" w:space="0" w:color="auto"/>
              <w:right w:val="single" w:sz="4" w:space="0" w:color="auto"/>
            </w:tcBorders>
            <w:shd w:val="clear" w:color="auto" w:fill="auto"/>
          </w:tcPr>
          <w:p w14:paraId="016132D7" w14:textId="09E0DBE7" w:rsidR="0077176C" w:rsidRPr="00004DFF" w:rsidRDefault="0077176C" w:rsidP="0077176C">
            <w:pPr>
              <w:pStyle w:val="Tabletext"/>
            </w:pPr>
            <w:r w:rsidRPr="00A26685">
              <w:t xml:space="preserve">Proportion where nivolumab </w:t>
            </w:r>
            <w:r>
              <w:t>with</w:t>
            </w:r>
            <w:r w:rsidRPr="00A26685">
              <w:t xml:space="preserve"> ipilimumab or lenvatinib </w:t>
            </w:r>
            <w:r>
              <w:t>with</w:t>
            </w:r>
            <w:r w:rsidRPr="00A26685">
              <w:t xml:space="preserve"> pembrolizumab would otherwise be offered</w:t>
            </w:r>
            <w:r>
              <w:rPr>
                <w:vertAlign w:val="superscript"/>
              </w:rPr>
              <w:t>7</w:t>
            </w:r>
            <w:r w:rsidRPr="00A26685">
              <w:tab/>
            </w:r>
          </w:p>
        </w:tc>
        <w:tc>
          <w:tcPr>
            <w:tcW w:w="1752" w:type="dxa"/>
            <w:tcBorders>
              <w:top w:val="nil"/>
              <w:left w:val="nil"/>
              <w:bottom w:val="single" w:sz="4" w:space="0" w:color="auto"/>
              <w:right w:val="single" w:sz="4" w:space="0" w:color="auto"/>
            </w:tcBorders>
            <w:shd w:val="clear" w:color="auto" w:fill="auto"/>
            <w:noWrap/>
          </w:tcPr>
          <w:p w14:paraId="78CF1A84" w14:textId="77777777" w:rsidR="0077176C" w:rsidRDefault="0077176C" w:rsidP="0077176C">
            <w:pPr>
              <w:pStyle w:val="Tabletext"/>
              <w:jc w:val="right"/>
            </w:pPr>
          </w:p>
          <w:p w14:paraId="7A8FE13D" w14:textId="77777777" w:rsidR="0077176C" w:rsidRDefault="0077176C" w:rsidP="0077176C">
            <w:pPr>
              <w:pStyle w:val="Tabletext"/>
              <w:jc w:val="right"/>
            </w:pPr>
          </w:p>
          <w:p w14:paraId="08E81223" w14:textId="090B9E0C" w:rsidR="0077176C" w:rsidRDefault="0077176C" w:rsidP="0077176C">
            <w:pPr>
              <w:pStyle w:val="Tabletext"/>
              <w:jc w:val="right"/>
            </w:pPr>
            <w:r>
              <w:t>66</w:t>
            </w:r>
          </w:p>
        </w:tc>
        <w:tc>
          <w:tcPr>
            <w:tcW w:w="2044" w:type="dxa"/>
            <w:tcBorders>
              <w:top w:val="nil"/>
              <w:left w:val="single" w:sz="4" w:space="0" w:color="auto"/>
              <w:bottom w:val="single" w:sz="4" w:space="0" w:color="auto"/>
              <w:right w:val="single" w:sz="4" w:space="0" w:color="auto"/>
            </w:tcBorders>
            <w:shd w:val="clear" w:color="auto" w:fill="auto"/>
            <w:noWrap/>
            <w:vAlign w:val="bottom"/>
          </w:tcPr>
          <w:p w14:paraId="4A0C8CC0" w14:textId="52015DA2" w:rsidR="0077176C" w:rsidRPr="0077176C" w:rsidRDefault="0077176C" w:rsidP="0077176C">
            <w:pPr>
              <w:pStyle w:val="Tabletext"/>
              <w:jc w:val="right"/>
              <w:rPr>
                <w:rFonts w:eastAsia="SimSun"/>
              </w:rPr>
            </w:pPr>
            <w:r w:rsidRPr="0077176C">
              <w:rPr>
                <w:rFonts w:eastAsia="SimSun"/>
              </w:rPr>
              <w:t>1,154</w:t>
            </w:r>
          </w:p>
        </w:tc>
      </w:tr>
      <w:tr w:rsidR="00CD01BC" w:rsidRPr="008A104C" w14:paraId="1D10A248" w14:textId="77777777">
        <w:trPr>
          <w:trHeight w:val="1942"/>
        </w:trPr>
        <w:tc>
          <w:tcPr>
            <w:tcW w:w="7995" w:type="dxa"/>
            <w:gridSpan w:val="3"/>
            <w:shd w:val="clear" w:color="auto" w:fill="auto"/>
            <w:vAlign w:val="center"/>
          </w:tcPr>
          <w:p w14:paraId="5CF44DBC" w14:textId="77777777" w:rsidR="00CD01BC" w:rsidRDefault="00CD01BC">
            <w:pPr>
              <w:pStyle w:val="Tabletext"/>
              <w:rPr>
                <w:rStyle w:val="Hyperlink"/>
                <w:rFonts w:eastAsia="SimSun"/>
                <w:color w:val="auto"/>
                <w:u w:val="none"/>
                <w:lang w:val="en-GB"/>
              </w:rPr>
            </w:pPr>
            <w:r w:rsidRPr="00412BA6">
              <w:rPr>
                <w:rFonts w:eastAsia="SimSun"/>
                <w:vertAlign w:val="superscript"/>
              </w:rPr>
              <w:t>1</w:t>
            </w:r>
            <w:r>
              <w:rPr>
                <w:rFonts w:eastAsia="SimSun"/>
              </w:rPr>
              <w:t xml:space="preserve"> </w:t>
            </w:r>
            <w:hyperlink r:id="rId17" w:history="1">
              <w:r w:rsidRPr="005B4B58">
                <w:rPr>
                  <w:rStyle w:val="Hyperlink"/>
                  <w:rFonts w:eastAsia="SimSun"/>
                  <w:lang w:val="en-GB"/>
                </w:rPr>
                <w:t>Office for National Statistics 2021 - cancer registration statistics England 2019 data release</w:t>
              </w:r>
            </w:hyperlink>
            <w:r w:rsidRPr="00AD5F2A">
              <w:rPr>
                <w:rStyle w:val="Hyperlink"/>
                <w:rFonts w:eastAsia="SimSun"/>
                <w:color w:val="auto"/>
                <w:u w:val="none"/>
                <w:lang w:val="en-GB"/>
              </w:rPr>
              <w:t xml:space="preserve"> (ICD code C</w:t>
            </w:r>
            <w:r>
              <w:rPr>
                <w:rStyle w:val="Hyperlink"/>
                <w:rFonts w:eastAsia="SimSun"/>
                <w:color w:val="auto"/>
                <w:u w:val="none"/>
                <w:lang w:val="en-GB"/>
              </w:rPr>
              <w:t>64-66</w:t>
            </w:r>
            <w:r w:rsidRPr="00AD5F2A">
              <w:rPr>
                <w:rStyle w:val="Hyperlink"/>
                <w:rFonts w:eastAsia="SimSun"/>
                <w:color w:val="auto"/>
                <w:u w:val="none"/>
                <w:lang w:val="en-GB"/>
              </w:rPr>
              <w:t>)</w:t>
            </w:r>
          </w:p>
          <w:p w14:paraId="2356FDA4" w14:textId="77777777" w:rsidR="00CD01BC" w:rsidRDefault="00CD01BC">
            <w:pPr>
              <w:pStyle w:val="Tabletext"/>
              <w:rPr>
                <w:rStyle w:val="Hyperlink"/>
              </w:rPr>
            </w:pPr>
            <w:r w:rsidRPr="00412BA6">
              <w:rPr>
                <w:rFonts w:eastAsia="SimSun"/>
                <w:vertAlign w:val="superscript"/>
              </w:rPr>
              <w:t>2</w:t>
            </w:r>
            <w:r>
              <w:rPr>
                <w:rFonts w:eastAsia="SimSun"/>
                <w:vertAlign w:val="superscript"/>
              </w:rPr>
              <w:t xml:space="preserve"> </w:t>
            </w:r>
            <w:hyperlink r:id="rId18" w:history="1">
              <w:r>
                <w:rPr>
                  <w:rStyle w:val="Hyperlink"/>
                </w:rPr>
                <w:t>C</w:t>
              </w:r>
              <w:r w:rsidRPr="00533AEE">
                <w:rPr>
                  <w:rStyle w:val="Hyperlink"/>
                </w:rPr>
                <w:t xml:space="preserve">ancer </w:t>
              </w:r>
              <w:r>
                <w:rPr>
                  <w:rStyle w:val="Hyperlink"/>
                </w:rPr>
                <w:t>R</w:t>
              </w:r>
              <w:r w:rsidRPr="00533AEE">
                <w:rPr>
                  <w:rStyle w:val="Hyperlink"/>
                </w:rPr>
                <w:t>esearch UK</w:t>
              </w:r>
            </w:hyperlink>
          </w:p>
          <w:p w14:paraId="5B4D35F9" w14:textId="04802BE9" w:rsidR="00CD01BC" w:rsidRDefault="00CD01BC">
            <w:pPr>
              <w:pStyle w:val="Tabletext"/>
              <w:rPr>
                <w:rFonts w:eastAsia="SimSun"/>
              </w:rPr>
            </w:pPr>
            <w:r>
              <w:rPr>
                <w:rFonts w:eastAsia="SimSun"/>
                <w:vertAlign w:val="superscript"/>
              </w:rPr>
              <w:t xml:space="preserve">3 </w:t>
            </w:r>
            <w:hyperlink r:id="rId19" w:history="1">
              <w:r w:rsidR="002E5C2F" w:rsidRPr="00827CAB">
                <w:rPr>
                  <w:rStyle w:val="Hyperlink"/>
                </w:rPr>
                <w:t>National disease registration service – stage at diagnosis</w:t>
              </w:r>
            </w:hyperlink>
          </w:p>
          <w:p w14:paraId="3C1C708B" w14:textId="56610FD2" w:rsidR="00CD01BC" w:rsidRDefault="00CD01BC">
            <w:pPr>
              <w:pStyle w:val="Tabletext"/>
              <w:rPr>
                <w:rStyle w:val="Hyperlink"/>
              </w:rPr>
            </w:pPr>
            <w:r>
              <w:rPr>
                <w:rFonts w:eastAsia="SimSun"/>
                <w:vertAlign w:val="superscript"/>
              </w:rPr>
              <w:t xml:space="preserve">4 </w:t>
            </w:r>
            <w:r w:rsidR="0061169F">
              <w:t>TA780 C</w:t>
            </w:r>
            <w:r w:rsidR="005C7923">
              <w:t xml:space="preserve">ompany </w:t>
            </w:r>
            <w:r w:rsidR="00E541DE">
              <w:t xml:space="preserve">advisory board </w:t>
            </w:r>
            <w:r w:rsidR="00321693">
              <w:t>(Jan 2016)</w:t>
            </w:r>
          </w:p>
          <w:p w14:paraId="2A164B3B" w14:textId="77777777" w:rsidR="00CD01BC" w:rsidRDefault="00CD01BC">
            <w:pPr>
              <w:pStyle w:val="Tabletext"/>
              <w:rPr>
                <w:rStyle w:val="Hyperlink"/>
                <w:rFonts w:cs="Arial"/>
                <w:szCs w:val="22"/>
              </w:rPr>
            </w:pPr>
            <w:r w:rsidRPr="008A104C">
              <w:rPr>
                <w:rFonts w:cs="Arial"/>
                <w:szCs w:val="22"/>
                <w:vertAlign w:val="superscript"/>
              </w:rPr>
              <w:t>5</w:t>
            </w:r>
            <w:r>
              <w:rPr>
                <w:rFonts w:cs="Arial"/>
                <w:szCs w:val="22"/>
                <w:vertAlign w:val="superscript"/>
              </w:rPr>
              <w:t xml:space="preserve"> </w:t>
            </w:r>
            <w:hyperlink r:id="rId20" w:history="1">
              <w:r w:rsidRPr="00682A43">
                <w:rPr>
                  <w:rStyle w:val="Hyperlink"/>
                  <w:rFonts w:cs="Arial"/>
                  <w:szCs w:val="22"/>
                </w:rPr>
                <w:t>Kidney Cancer UK What Is Kidney Cancer (kcuk.org.uk)</w:t>
              </w:r>
            </w:hyperlink>
          </w:p>
          <w:p w14:paraId="0718DCC6" w14:textId="3DAAA510" w:rsidR="005C7923" w:rsidRPr="005C7923" w:rsidRDefault="005C7923">
            <w:pPr>
              <w:pStyle w:val="Tabletext"/>
              <w:rPr>
                <w:rStyle w:val="Hyperlink"/>
                <w:rFonts w:cs="Arial"/>
                <w:color w:val="auto"/>
                <w:szCs w:val="22"/>
                <w:u w:val="none"/>
                <w:vertAlign w:val="superscript"/>
              </w:rPr>
            </w:pPr>
            <w:r w:rsidRPr="005C7923">
              <w:rPr>
                <w:rStyle w:val="Hyperlink"/>
                <w:rFonts w:cs="Arial"/>
                <w:color w:val="auto"/>
                <w:szCs w:val="22"/>
                <w:u w:val="none"/>
                <w:vertAlign w:val="superscript"/>
              </w:rPr>
              <w:t>6</w:t>
            </w:r>
            <w:r>
              <w:t xml:space="preserve"> </w:t>
            </w:r>
            <w:hyperlink r:id="rId21" w:history="1">
              <w:r w:rsidRPr="003F2191">
                <w:rPr>
                  <w:rStyle w:val="Hyperlink"/>
                </w:rPr>
                <w:t>Nivolumab plus Ipilimumab versus Sunitinib in Advanced Renal-Cell Carcinoma</w:t>
              </w:r>
            </w:hyperlink>
          </w:p>
          <w:p w14:paraId="3450DBE5" w14:textId="6F09FCB9" w:rsidR="00CD01BC" w:rsidRPr="00A26685" w:rsidRDefault="005C7923">
            <w:pPr>
              <w:pStyle w:val="Tabletext"/>
              <w:rPr>
                <w:rFonts w:cs="Arial"/>
                <w:color w:val="0000FF"/>
                <w:szCs w:val="22"/>
                <w:lang w:eastAsia="en-GB"/>
              </w:rPr>
            </w:pPr>
            <w:r>
              <w:rPr>
                <w:rFonts w:cs="Arial"/>
                <w:szCs w:val="22"/>
                <w:vertAlign w:val="superscript"/>
                <w:lang w:eastAsia="en-GB"/>
              </w:rPr>
              <w:t>7</w:t>
            </w:r>
            <w:r w:rsidR="00A26685" w:rsidRPr="00A26685">
              <w:rPr>
                <w:rFonts w:cs="Arial"/>
                <w:szCs w:val="22"/>
                <w:vertAlign w:val="superscript"/>
                <w:lang w:eastAsia="en-GB"/>
              </w:rPr>
              <w:t xml:space="preserve"> </w:t>
            </w:r>
            <w:r w:rsidR="00A26685" w:rsidRPr="00A26685">
              <w:rPr>
                <w:rFonts w:cs="Arial"/>
                <w:szCs w:val="22"/>
                <w:lang w:eastAsia="en-GB"/>
              </w:rPr>
              <w:t>NHSE clinical expert opinion</w:t>
            </w:r>
          </w:p>
        </w:tc>
      </w:tr>
    </w:tbl>
    <w:p w14:paraId="034426B1" w14:textId="77777777" w:rsidR="00CD01BC" w:rsidRDefault="00CD01BC" w:rsidP="00CD01BC">
      <w:pPr>
        <w:pStyle w:val="NICEnormal"/>
        <w:rPr>
          <w:rFonts w:eastAsia="SimSun"/>
          <w:lang w:val="en-GB"/>
        </w:rPr>
      </w:pPr>
    </w:p>
    <w:p w14:paraId="5EE1D165" w14:textId="77777777" w:rsidR="00A26685" w:rsidRDefault="00A26685" w:rsidP="00412BA6">
      <w:pPr>
        <w:pStyle w:val="Numberedlevel2text"/>
        <w:numPr>
          <w:ilvl w:val="0"/>
          <w:numId w:val="0"/>
        </w:numPr>
        <w:ind w:left="1134"/>
      </w:pPr>
    </w:p>
    <w:p w14:paraId="6733B639" w14:textId="77777777" w:rsidR="00A26685" w:rsidRDefault="00A26685" w:rsidP="00412BA6">
      <w:pPr>
        <w:pStyle w:val="Numberedlevel2text"/>
        <w:numPr>
          <w:ilvl w:val="0"/>
          <w:numId w:val="0"/>
        </w:numPr>
        <w:ind w:left="1134"/>
      </w:pPr>
    </w:p>
    <w:p w14:paraId="2026CA78" w14:textId="77777777" w:rsidR="00A26685" w:rsidRDefault="00A26685" w:rsidP="00412BA6">
      <w:pPr>
        <w:pStyle w:val="Numberedlevel2text"/>
        <w:numPr>
          <w:ilvl w:val="0"/>
          <w:numId w:val="0"/>
        </w:numPr>
        <w:ind w:left="1134"/>
      </w:pPr>
    </w:p>
    <w:p w14:paraId="1EAB2456" w14:textId="77777777" w:rsidR="00A26685" w:rsidRDefault="00A26685" w:rsidP="00412BA6">
      <w:pPr>
        <w:pStyle w:val="Numberedlevel2text"/>
        <w:numPr>
          <w:ilvl w:val="0"/>
          <w:numId w:val="0"/>
        </w:numPr>
        <w:ind w:left="1134"/>
      </w:pPr>
    </w:p>
    <w:p w14:paraId="0DC45751" w14:textId="77777777" w:rsidR="00A26685" w:rsidRDefault="00A26685" w:rsidP="00412BA6">
      <w:pPr>
        <w:pStyle w:val="Numberedlevel2text"/>
        <w:numPr>
          <w:ilvl w:val="0"/>
          <w:numId w:val="0"/>
        </w:numPr>
        <w:ind w:left="1134"/>
      </w:pPr>
    </w:p>
    <w:p w14:paraId="4E17AB34" w14:textId="77777777" w:rsidR="00A26685" w:rsidRDefault="00A26685" w:rsidP="00412BA6">
      <w:pPr>
        <w:pStyle w:val="Numberedlevel2text"/>
        <w:numPr>
          <w:ilvl w:val="0"/>
          <w:numId w:val="0"/>
        </w:numPr>
        <w:ind w:left="1134"/>
      </w:pPr>
    </w:p>
    <w:p w14:paraId="7DC1B5B9" w14:textId="4E6C4772" w:rsidR="00C00F82" w:rsidRDefault="001C48FA" w:rsidP="00C00F82">
      <w:pPr>
        <w:pStyle w:val="Heading2"/>
      </w:pPr>
      <w:r>
        <w:lastRenderedPageBreak/>
        <w:t xml:space="preserve">Assumptions </w:t>
      </w:r>
    </w:p>
    <w:p w14:paraId="7CB07997" w14:textId="0FFED2DC" w:rsidR="00965418" w:rsidRDefault="00965418" w:rsidP="00965418">
      <w:pPr>
        <w:pStyle w:val="Numberedlevel2text"/>
      </w:pPr>
      <w:r w:rsidRPr="00C070D9">
        <w:t xml:space="preserve">The </w:t>
      </w:r>
      <w:r>
        <w:t>resource impact template</w:t>
      </w:r>
      <w:r w:rsidRPr="00C070D9">
        <w:t xml:space="preserve"> </w:t>
      </w:r>
      <w:r>
        <w:t>assumes that</w:t>
      </w:r>
      <w:r w:rsidRPr="00F70CCE">
        <w:t>:</w:t>
      </w:r>
    </w:p>
    <w:p w14:paraId="3388B8C6" w14:textId="2B593FAC" w:rsidR="00A26685" w:rsidRDefault="00A26685">
      <w:pPr>
        <w:pStyle w:val="Bulletindent1"/>
      </w:pPr>
      <w:r>
        <w:t xml:space="preserve">The main comparators for this recommendation include </w:t>
      </w:r>
      <w:r w:rsidRPr="00A26685">
        <w:t xml:space="preserve">nivolumab </w:t>
      </w:r>
      <w:r w:rsidR="002E25EF">
        <w:t>with</w:t>
      </w:r>
      <w:r w:rsidR="002E25EF" w:rsidRPr="00A26685">
        <w:t xml:space="preserve"> </w:t>
      </w:r>
      <w:r w:rsidRPr="00A26685">
        <w:t xml:space="preserve">ipilimumab or lenvatinib </w:t>
      </w:r>
      <w:r w:rsidR="002E25EF">
        <w:t>with</w:t>
      </w:r>
      <w:r w:rsidR="002E25EF" w:rsidRPr="00A26685">
        <w:t xml:space="preserve"> </w:t>
      </w:r>
      <w:r w:rsidRPr="00A26685">
        <w:t>pembrolizumab</w:t>
      </w:r>
      <w:r>
        <w:t>.</w:t>
      </w:r>
    </w:p>
    <w:p w14:paraId="3A5E9B41" w14:textId="1CC0EB14" w:rsidR="00113BE7" w:rsidRDefault="00A20045">
      <w:pPr>
        <w:pStyle w:val="Bulletindent1"/>
      </w:pPr>
      <w:r w:rsidRPr="00A20045">
        <w:t xml:space="preserve">The median progression free survival (PFS) </w:t>
      </w:r>
      <w:r>
        <w:t xml:space="preserve">for </w:t>
      </w:r>
      <w:r w:rsidRPr="00A20045">
        <w:t xml:space="preserve">nivolumab </w:t>
      </w:r>
      <w:r w:rsidR="00F55616">
        <w:t>with</w:t>
      </w:r>
      <w:r w:rsidRPr="00A20045">
        <w:t xml:space="preserve"> </w:t>
      </w:r>
      <w:proofErr w:type="spellStart"/>
      <w:r w:rsidRPr="00A20045">
        <w:t>cabozantinib</w:t>
      </w:r>
      <w:proofErr w:type="spellEnd"/>
      <w:r>
        <w:t xml:space="preserve"> was 16.6 months.</w:t>
      </w:r>
    </w:p>
    <w:p w14:paraId="2F5FB69A" w14:textId="4BFE6F5D" w:rsidR="00E463DA" w:rsidRDefault="00C052CF">
      <w:pPr>
        <w:pStyle w:val="Bulletindent1"/>
      </w:pPr>
      <w:r>
        <w:t>The recommended dose</w:t>
      </w:r>
      <w:r w:rsidR="002F1C9B">
        <w:t xml:space="preserve"> of </w:t>
      </w:r>
      <w:proofErr w:type="spellStart"/>
      <w:r w:rsidR="00A20045">
        <w:t>cabozantinib</w:t>
      </w:r>
      <w:proofErr w:type="spellEnd"/>
      <w:r w:rsidR="00A20045">
        <w:t xml:space="preserve"> is 40 mg daily and nivolumab either 240 mg every 2 weeks over 30 minutes or 480 mg every 4 weeks over 60 minutes.</w:t>
      </w:r>
    </w:p>
    <w:p w14:paraId="24AD36D6" w14:textId="20ED08AD" w:rsidR="00946E4F" w:rsidRDefault="006E5EAD">
      <w:pPr>
        <w:pStyle w:val="Bulletindent1"/>
      </w:pPr>
      <w:r>
        <w:t xml:space="preserve">For nivolumab </w:t>
      </w:r>
      <w:r w:rsidR="007A3027">
        <w:t xml:space="preserve">the </w:t>
      </w:r>
      <w:r w:rsidR="007A3027" w:rsidRPr="007A3027">
        <w:t>480 mg every 4 weeks over 60 minutes</w:t>
      </w:r>
      <w:r w:rsidR="007A3027">
        <w:t xml:space="preserve"> dosage is used.</w:t>
      </w:r>
    </w:p>
    <w:p w14:paraId="3D84B4C5" w14:textId="77CCCA43" w:rsidR="00714093" w:rsidRPr="00714093" w:rsidRDefault="00714093" w:rsidP="00714093">
      <w:pPr>
        <w:pStyle w:val="Bulletindent1"/>
      </w:pPr>
      <w:r w:rsidRPr="00714093">
        <w:t xml:space="preserve">Compared with established clinical practice in England, </w:t>
      </w:r>
      <w:proofErr w:type="spellStart"/>
      <w:r w:rsidRPr="00714093">
        <w:t>cabozantinib</w:t>
      </w:r>
      <w:proofErr w:type="spellEnd"/>
      <w:r w:rsidRPr="00714093">
        <w:t xml:space="preserve"> with nivolumab will</w:t>
      </w:r>
      <w:r>
        <w:t xml:space="preserve"> not require any additional</w:t>
      </w:r>
      <w:r w:rsidRPr="00714093">
        <w:t xml:space="preserve"> monitoring.</w:t>
      </w:r>
    </w:p>
    <w:p w14:paraId="18F2DA5B" w14:textId="6024D50F" w:rsidR="00873852" w:rsidRPr="00441FE2" w:rsidRDefault="0019052F" w:rsidP="00873852">
      <w:pPr>
        <w:pStyle w:val="Bulletindent1"/>
        <w:rPr>
          <w:lang w:val="en-GB"/>
        </w:rPr>
      </w:pPr>
      <w:r>
        <w:t>Administration costs in clinic are based on</w:t>
      </w:r>
      <w:r w:rsidR="00873852">
        <w:t xml:space="preserve"> the</w:t>
      </w:r>
      <w:r>
        <w:t xml:space="preserve"> </w:t>
      </w:r>
      <w:hyperlink r:id="rId22">
        <w:r w:rsidR="00873852" w:rsidRPr="37F15970">
          <w:rPr>
            <w:rStyle w:val="Hyperlink"/>
            <w:lang w:val="en-GB"/>
          </w:rPr>
          <w:t>2023-25 NHS Payment Scheme, 2023/24 prices workbook</w:t>
        </w:r>
      </w:hyperlink>
      <w:r w:rsidR="00873852">
        <w:t>.</w:t>
      </w:r>
    </w:p>
    <w:p w14:paraId="06AB98CC" w14:textId="77777777" w:rsidR="00D6692E" w:rsidRPr="0012216C" w:rsidRDefault="00D6692E" w:rsidP="0012216C">
      <w:pPr>
        <w:pStyle w:val="NICEnormal"/>
        <w:rPr>
          <w:lang w:val="en-GB"/>
        </w:rPr>
      </w:pPr>
    </w:p>
    <w:p w14:paraId="74BE3E6D" w14:textId="77777777" w:rsidR="00113BE7" w:rsidRDefault="00113BE7" w:rsidP="004B4440">
      <w:pPr>
        <w:pStyle w:val="Heading1"/>
      </w:pPr>
    </w:p>
    <w:p w14:paraId="2BB07A96" w14:textId="77777777" w:rsidR="00113BE7" w:rsidRDefault="00113BE7" w:rsidP="004B4440">
      <w:pPr>
        <w:pStyle w:val="Heading1"/>
      </w:pPr>
    </w:p>
    <w:p w14:paraId="525F442E" w14:textId="77777777" w:rsidR="00113BE7" w:rsidRDefault="00113BE7" w:rsidP="004B4440">
      <w:pPr>
        <w:pStyle w:val="Heading1"/>
      </w:pPr>
    </w:p>
    <w:p w14:paraId="1F62674D" w14:textId="77777777" w:rsidR="00113BE7" w:rsidRDefault="00113BE7" w:rsidP="004B4440">
      <w:pPr>
        <w:pStyle w:val="Heading1"/>
      </w:pPr>
    </w:p>
    <w:p w14:paraId="7E045CC0" w14:textId="77777777" w:rsidR="00A26685" w:rsidRDefault="00A26685" w:rsidP="00A26685">
      <w:pPr>
        <w:pStyle w:val="NICEnormal"/>
        <w:rPr>
          <w:lang w:val="en-GB"/>
        </w:rPr>
      </w:pPr>
    </w:p>
    <w:p w14:paraId="2644989B" w14:textId="77777777" w:rsidR="001266E0" w:rsidRDefault="001266E0" w:rsidP="00A26685">
      <w:pPr>
        <w:pStyle w:val="NICEnormal"/>
        <w:rPr>
          <w:lang w:val="en-GB"/>
        </w:rPr>
      </w:pPr>
    </w:p>
    <w:p w14:paraId="3F491080" w14:textId="77777777" w:rsidR="001266E0" w:rsidRDefault="001266E0" w:rsidP="00A26685">
      <w:pPr>
        <w:pStyle w:val="NICEnormal"/>
        <w:rPr>
          <w:lang w:val="en-GB"/>
        </w:rPr>
      </w:pPr>
    </w:p>
    <w:p w14:paraId="4928871F" w14:textId="77777777" w:rsidR="001266E0" w:rsidRPr="00A26685" w:rsidRDefault="001266E0" w:rsidP="00A26685">
      <w:pPr>
        <w:pStyle w:val="NICEnormal"/>
        <w:rPr>
          <w:lang w:val="en-GB"/>
        </w:rPr>
      </w:pPr>
    </w:p>
    <w:p w14:paraId="289CC632" w14:textId="352B24CF" w:rsidR="004B4440" w:rsidRDefault="004B4440" w:rsidP="004B4440">
      <w:pPr>
        <w:pStyle w:val="Heading1"/>
      </w:pPr>
      <w:r>
        <w:lastRenderedPageBreak/>
        <w:t xml:space="preserve">About this resource impact </w:t>
      </w:r>
      <w:r w:rsidRPr="006C4C02">
        <w:t>report</w:t>
      </w:r>
    </w:p>
    <w:p w14:paraId="2DF52DE1" w14:textId="7003334D" w:rsidR="00370A18" w:rsidRPr="000122B5" w:rsidRDefault="00370A18" w:rsidP="00370A18">
      <w:pPr>
        <w:pStyle w:val="NICEnormalsinglespacing"/>
      </w:pPr>
      <w:r>
        <w:t>This resource impact</w:t>
      </w:r>
      <w:r w:rsidRPr="000122B5">
        <w:t xml:space="preserve"> </w:t>
      </w:r>
      <w:r>
        <w:t>report accompanies the NICE guidance</w:t>
      </w:r>
      <w:r w:rsidRPr="000122B5">
        <w:t xml:space="preserve"> on </w:t>
      </w:r>
      <w:hyperlink r:id="rId23" w:history="1">
        <w:proofErr w:type="spellStart"/>
        <w:r w:rsidR="00A26685">
          <w:rPr>
            <w:rStyle w:val="Hyperlink"/>
          </w:rPr>
          <w:t>Cabozantinib</w:t>
        </w:r>
        <w:proofErr w:type="spellEnd"/>
        <w:r w:rsidR="00A26685">
          <w:rPr>
            <w:rStyle w:val="Hyperlink"/>
          </w:rPr>
          <w:t xml:space="preserve"> with nivolumab for untreated advanced renal cell carcinoma </w:t>
        </w:r>
      </w:hyperlink>
      <w:r>
        <w:t xml:space="preserve"> </w:t>
      </w:r>
      <w:r w:rsidRPr="000122B5">
        <w:t xml:space="preserve">and should be read with it. See </w:t>
      </w:r>
      <w:hyperlink r:id="rId24" w:history="1">
        <w:r w:rsidRPr="000122B5">
          <w:rPr>
            <w:rStyle w:val="Hyperlink"/>
          </w:rPr>
          <w:t>terms and conditions</w:t>
        </w:r>
      </w:hyperlink>
      <w:r w:rsidRPr="000122B5">
        <w:t xml:space="preserve"> on the NICE website.</w:t>
      </w:r>
    </w:p>
    <w:p w14:paraId="31EDE15D" w14:textId="5E53570F" w:rsidR="00370A18" w:rsidRPr="00D459D6" w:rsidRDefault="00370A18" w:rsidP="00370A18">
      <w:pPr>
        <w:pStyle w:val="NICEnormalsinglespacing"/>
      </w:pPr>
      <w:r w:rsidRPr="000122B5">
        <w:t xml:space="preserve">© </w:t>
      </w:r>
      <w:r>
        <w:t>NICE 202</w:t>
      </w:r>
      <w:r w:rsidR="00F04496">
        <w:t>4</w:t>
      </w:r>
      <w:r w:rsidRPr="000122B5">
        <w:t xml:space="preserve">. All rights reserved. </w:t>
      </w:r>
      <w:r>
        <w:t xml:space="preserve">See </w:t>
      </w:r>
      <w:hyperlink r:id="rId25" w:history="1">
        <w:r w:rsidRPr="00574D9D">
          <w:rPr>
            <w:rStyle w:val="Hyperlink"/>
          </w:rPr>
          <w:t>Notice of rights</w:t>
        </w:r>
      </w:hyperlink>
      <w:r>
        <w:t>.</w:t>
      </w:r>
    </w:p>
    <w:p w14:paraId="4E6DD813" w14:textId="5763E280" w:rsidR="00B64B0F" w:rsidRPr="00D459D6" w:rsidRDefault="00B64B0F" w:rsidP="00370A18">
      <w:pPr>
        <w:pStyle w:val="NICEnormalsinglespacing"/>
      </w:pPr>
    </w:p>
    <w:sectPr w:rsidR="00B64B0F" w:rsidRPr="00D459D6" w:rsidSect="006E419C">
      <w:footerReference w:type="default" r:id="rId26"/>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4AB87" w14:textId="77777777" w:rsidR="006E419C" w:rsidRDefault="006E419C">
      <w:r>
        <w:separator/>
      </w:r>
    </w:p>
  </w:endnote>
  <w:endnote w:type="continuationSeparator" w:id="0">
    <w:p w14:paraId="748DA3A1" w14:textId="77777777" w:rsidR="006E419C" w:rsidRDefault="006E419C">
      <w:r>
        <w:continuationSeparator/>
      </w:r>
    </w:p>
  </w:endnote>
  <w:endnote w:type="continuationNotice" w:id="1">
    <w:p w14:paraId="2C742D1A" w14:textId="77777777" w:rsidR="006E419C" w:rsidRDefault="006E4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868A" w14:textId="4004F45B" w:rsidR="00CB4C88" w:rsidRDefault="00CB4C88">
    <w:pPr>
      <w:pStyle w:val="Footer"/>
    </w:pPr>
    <w:r>
      <w:t xml:space="preserve">Resource impact report: </w:t>
    </w:r>
    <w:r w:rsidR="00DB4CE9" w:rsidRPr="00DB4CE9">
      <w:t xml:space="preserve">Cabozantinib with nivolumab for untreated advanced renal cell carcinoma </w:t>
    </w:r>
    <w:r w:rsidR="00DE3051">
      <w:t>(</w:t>
    </w:r>
    <w:r w:rsidR="00DB4CE9">
      <w:t>April</w:t>
    </w:r>
    <w:r w:rsidR="00630973">
      <w:t xml:space="preserve"> </w:t>
    </w:r>
    <w:r w:rsidR="00DE3051">
      <w:t>20</w:t>
    </w:r>
    <w:r w:rsidR="00370A18">
      <w:t>2</w:t>
    </w:r>
    <w:r w:rsidR="001F2645">
      <w:t>4</w:t>
    </w:r>
    <w:r w:rsidR="00DE3051">
      <w:t>)</w:t>
    </w:r>
    <w:r>
      <w:t xml:space="preserve"> </w:t>
    </w:r>
    <w:r>
      <w:tab/>
    </w:r>
    <w:r>
      <w:tab/>
    </w:r>
    <w:r>
      <w:rPr>
        <w:rStyle w:val="PageNumber"/>
      </w:rPr>
      <w:fldChar w:fldCharType="begin"/>
    </w:r>
    <w:r>
      <w:rPr>
        <w:rStyle w:val="PageNumber"/>
      </w:rPr>
      <w:instrText xml:space="preserve"> PAGE </w:instrText>
    </w:r>
    <w:r>
      <w:rPr>
        <w:rStyle w:val="PageNumber"/>
      </w:rPr>
      <w:fldChar w:fldCharType="separate"/>
    </w:r>
    <w:r w:rsidR="008E4E71">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4E71">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087B" w14:textId="77777777" w:rsidR="006E419C" w:rsidRDefault="006E419C">
      <w:r>
        <w:separator/>
      </w:r>
    </w:p>
  </w:footnote>
  <w:footnote w:type="continuationSeparator" w:id="0">
    <w:p w14:paraId="551580E2" w14:textId="77777777" w:rsidR="006E419C" w:rsidRDefault="006E419C">
      <w:r>
        <w:continuationSeparator/>
      </w:r>
    </w:p>
  </w:footnote>
  <w:footnote w:type="continuationNotice" w:id="1">
    <w:p w14:paraId="189ADFE1" w14:textId="77777777" w:rsidR="006E419C" w:rsidRDefault="006E41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6F5"/>
    <w:multiLevelType w:val="hybridMultilevel"/>
    <w:tmpl w:val="691E3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6F5148"/>
    <w:multiLevelType w:val="hybridMultilevel"/>
    <w:tmpl w:val="0BA89CB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C22BA8"/>
    <w:multiLevelType w:val="hybridMultilevel"/>
    <w:tmpl w:val="C750E6EE"/>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CC3584"/>
    <w:multiLevelType w:val="multilevel"/>
    <w:tmpl w:val="6448A65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276"/>
        </w:tabs>
        <w:ind w:left="1276" w:hanging="1134"/>
      </w:pPr>
      <w:rPr>
        <w:rFonts w:hint="default"/>
        <w:b w:val="0"/>
        <w:i w:val="0"/>
      </w:rPr>
    </w:lvl>
    <w:lvl w:ilvl="2">
      <w:start w:val="1"/>
      <w:numFmt w:val="decimal"/>
      <w:pStyle w:val="Numberedlevel3text"/>
      <w:lvlText w:val="%1.%2.%3"/>
      <w:lvlJc w:val="left"/>
      <w:pPr>
        <w:tabs>
          <w:tab w:val="num" w:pos="1134"/>
        </w:tabs>
        <w:ind w:left="1134" w:hanging="1134"/>
      </w:pPr>
      <w:rPr>
        <w:rFonts w:hint="default"/>
        <w:b w:val="0"/>
        <w:i w:val="0"/>
        <w:sz w:val="24"/>
        <w:szCs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BD105E"/>
    <w:multiLevelType w:val="hybridMultilevel"/>
    <w:tmpl w:val="47001F08"/>
    <w:lvl w:ilvl="0" w:tplc="50AA0F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ED357AC"/>
    <w:multiLevelType w:val="hybridMultilevel"/>
    <w:tmpl w:val="B7AE1288"/>
    <w:lvl w:ilvl="0" w:tplc="4394D868">
      <w:start w:val="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904F6"/>
    <w:multiLevelType w:val="hybridMultilevel"/>
    <w:tmpl w:val="F6B063DA"/>
    <w:lvl w:ilvl="0" w:tplc="08090001">
      <w:start w:val="1"/>
      <w:numFmt w:val="bullet"/>
      <w:lvlText w:val=""/>
      <w:lvlJc w:val="left"/>
      <w:pPr>
        <w:ind w:left="1440" w:hanging="360"/>
      </w:pPr>
      <w:rPr>
        <w:rFonts w:ascii="Symbol" w:hAnsi="Symbol" w:hint="default"/>
      </w:rPr>
    </w:lvl>
    <w:lvl w:ilvl="1" w:tplc="0F0EE3A8">
      <w:numFmt w:val="bullet"/>
      <w:lvlText w:val="•"/>
      <w:lvlJc w:val="left"/>
      <w:pPr>
        <w:ind w:left="2160" w:hanging="36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D992738"/>
    <w:multiLevelType w:val="hybridMultilevel"/>
    <w:tmpl w:val="9104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A3F96"/>
    <w:multiLevelType w:val="hybridMultilevel"/>
    <w:tmpl w:val="44A27922"/>
    <w:lvl w:ilvl="0" w:tplc="D87233D4">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D3926"/>
    <w:multiLevelType w:val="hybridMultilevel"/>
    <w:tmpl w:val="B52A8A74"/>
    <w:lvl w:ilvl="0" w:tplc="A5B0CF92">
      <w:start w:val="1"/>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1557834">
    <w:abstractNumId w:val="2"/>
  </w:num>
  <w:num w:numId="2" w16cid:durableId="1005742015">
    <w:abstractNumId w:val="24"/>
  </w:num>
  <w:num w:numId="3" w16cid:durableId="1775977208">
    <w:abstractNumId w:val="16"/>
  </w:num>
  <w:num w:numId="4" w16cid:durableId="707535609">
    <w:abstractNumId w:val="17"/>
  </w:num>
  <w:num w:numId="5" w16cid:durableId="1681395567">
    <w:abstractNumId w:val="1"/>
  </w:num>
  <w:num w:numId="6" w16cid:durableId="897783447">
    <w:abstractNumId w:val="4"/>
  </w:num>
  <w:num w:numId="7" w16cid:durableId="125785322">
    <w:abstractNumId w:val="10"/>
  </w:num>
  <w:num w:numId="8" w16cid:durableId="192428478">
    <w:abstractNumId w:val="6"/>
  </w:num>
  <w:num w:numId="9" w16cid:durableId="1279605300">
    <w:abstractNumId w:val="8"/>
  </w:num>
  <w:num w:numId="10" w16cid:durableId="692003546">
    <w:abstractNumId w:val="12"/>
  </w:num>
  <w:num w:numId="11" w16cid:durableId="1985232683">
    <w:abstractNumId w:val="11"/>
  </w:num>
  <w:num w:numId="12" w16cid:durableId="1078016734">
    <w:abstractNumId w:val="13"/>
  </w:num>
  <w:num w:numId="13" w16cid:durableId="468132921">
    <w:abstractNumId w:val="20"/>
  </w:num>
  <w:num w:numId="14" w16cid:durableId="1173838249">
    <w:abstractNumId w:val="5"/>
  </w:num>
  <w:num w:numId="15" w16cid:durableId="317657456">
    <w:abstractNumId w:val="23"/>
  </w:num>
  <w:num w:numId="16" w16cid:durableId="541944369">
    <w:abstractNumId w:val="9"/>
  </w:num>
  <w:num w:numId="17" w16cid:durableId="2065331529">
    <w:abstractNumId w:val="18"/>
  </w:num>
  <w:num w:numId="18" w16cid:durableId="1620648385">
    <w:abstractNumId w:val="22"/>
  </w:num>
  <w:num w:numId="19" w16cid:durableId="201555022">
    <w:abstractNumId w:val="7"/>
  </w:num>
  <w:num w:numId="20" w16cid:durableId="501819864">
    <w:abstractNumId w:val="25"/>
  </w:num>
  <w:num w:numId="21" w16cid:durableId="2103986923">
    <w:abstractNumId w:val="10"/>
  </w:num>
  <w:num w:numId="22" w16cid:durableId="1592858040">
    <w:abstractNumId w:val="10"/>
  </w:num>
  <w:num w:numId="23" w16cid:durableId="1430547396">
    <w:abstractNumId w:val="10"/>
  </w:num>
  <w:num w:numId="24" w16cid:durableId="465977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7909606">
    <w:abstractNumId w:val="26"/>
  </w:num>
  <w:num w:numId="26" w16cid:durableId="1589341025">
    <w:abstractNumId w:val="10"/>
  </w:num>
  <w:num w:numId="27" w16cid:durableId="944266528">
    <w:abstractNumId w:val="10"/>
  </w:num>
  <w:num w:numId="28" w16cid:durableId="1514416170">
    <w:abstractNumId w:val="0"/>
  </w:num>
  <w:num w:numId="29" w16cid:durableId="250050265">
    <w:abstractNumId w:val="10"/>
  </w:num>
  <w:num w:numId="30" w16cid:durableId="1537697424">
    <w:abstractNumId w:val="10"/>
  </w:num>
  <w:num w:numId="31" w16cid:durableId="1602300790">
    <w:abstractNumId w:val="10"/>
  </w:num>
  <w:num w:numId="32" w16cid:durableId="1588071879">
    <w:abstractNumId w:val="10"/>
  </w:num>
  <w:num w:numId="33" w16cid:durableId="629635105">
    <w:abstractNumId w:val="10"/>
  </w:num>
  <w:num w:numId="34" w16cid:durableId="1611357881">
    <w:abstractNumId w:val="10"/>
  </w:num>
  <w:num w:numId="35" w16cid:durableId="2041777930">
    <w:abstractNumId w:val="10"/>
  </w:num>
  <w:num w:numId="36" w16cid:durableId="1725254297">
    <w:abstractNumId w:val="19"/>
  </w:num>
  <w:num w:numId="37" w16cid:durableId="1637489524">
    <w:abstractNumId w:val="10"/>
  </w:num>
  <w:num w:numId="38" w16cid:durableId="975529405">
    <w:abstractNumId w:val="10"/>
  </w:num>
  <w:num w:numId="39" w16cid:durableId="1461529685">
    <w:abstractNumId w:val="3"/>
  </w:num>
  <w:num w:numId="40" w16cid:durableId="1005405083">
    <w:abstractNumId w:val="14"/>
  </w:num>
  <w:num w:numId="41" w16cid:durableId="965963257">
    <w:abstractNumId w:val="15"/>
  </w:num>
  <w:num w:numId="42" w16cid:durableId="1531187001">
    <w:abstractNumId w:val="10"/>
  </w:num>
  <w:num w:numId="43" w16cid:durableId="1677344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30"/>
    <w:rsid w:val="0000011F"/>
    <w:rsid w:val="000006D3"/>
    <w:rsid w:val="00000C29"/>
    <w:rsid w:val="000054E0"/>
    <w:rsid w:val="000055DF"/>
    <w:rsid w:val="0000592A"/>
    <w:rsid w:val="00007D37"/>
    <w:rsid w:val="000119FB"/>
    <w:rsid w:val="00013DC0"/>
    <w:rsid w:val="00014EE4"/>
    <w:rsid w:val="00016175"/>
    <w:rsid w:val="0001632B"/>
    <w:rsid w:val="00016583"/>
    <w:rsid w:val="00017367"/>
    <w:rsid w:val="000229AA"/>
    <w:rsid w:val="000250E2"/>
    <w:rsid w:val="0002525A"/>
    <w:rsid w:val="00031B1A"/>
    <w:rsid w:val="00042423"/>
    <w:rsid w:val="00042772"/>
    <w:rsid w:val="0004442F"/>
    <w:rsid w:val="0004443C"/>
    <w:rsid w:val="00044C79"/>
    <w:rsid w:val="00050AD5"/>
    <w:rsid w:val="000512B2"/>
    <w:rsid w:val="000522FA"/>
    <w:rsid w:val="000544F9"/>
    <w:rsid w:val="00057014"/>
    <w:rsid w:val="000611F2"/>
    <w:rsid w:val="00065994"/>
    <w:rsid w:val="00073186"/>
    <w:rsid w:val="0007349D"/>
    <w:rsid w:val="000741EE"/>
    <w:rsid w:val="0007449C"/>
    <w:rsid w:val="00076F8D"/>
    <w:rsid w:val="00081B94"/>
    <w:rsid w:val="0008226E"/>
    <w:rsid w:val="00082505"/>
    <w:rsid w:val="00084B70"/>
    <w:rsid w:val="0008656C"/>
    <w:rsid w:val="0008679D"/>
    <w:rsid w:val="000869E8"/>
    <w:rsid w:val="000915DF"/>
    <w:rsid w:val="000946AA"/>
    <w:rsid w:val="000959DB"/>
    <w:rsid w:val="00096EBB"/>
    <w:rsid w:val="00097512"/>
    <w:rsid w:val="000A2A1E"/>
    <w:rsid w:val="000A3220"/>
    <w:rsid w:val="000A6126"/>
    <w:rsid w:val="000A7E1D"/>
    <w:rsid w:val="000B0A6F"/>
    <w:rsid w:val="000B13A8"/>
    <w:rsid w:val="000B3A22"/>
    <w:rsid w:val="000B5B7B"/>
    <w:rsid w:val="000B773E"/>
    <w:rsid w:val="000C0D6A"/>
    <w:rsid w:val="000C11FA"/>
    <w:rsid w:val="000C1792"/>
    <w:rsid w:val="000C1BB0"/>
    <w:rsid w:val="000D00FF"/>
    <w:rsid w:val="000D066E"/>
    <w:rsid w:val="000D0ED6"/>
    <w:rsid w:val="000D1037"/>
    <w:rsid w:val="000D3B9D"/>
    <w:rsid w:val="000D3C21"/>
    <w:rsid w:val="000D7D5F"/>
    <w:rsid w:val="000E2B39"/>
    <w:rsid w:val="000E344D"/>
    <w:rsid w:val="000E4242"/>
    <w:rsid w:val="000E53C1"/>
    <w:rsid w:val="000F24C6"/>
    <w:rsid w:val="000F44F0"/>
    <w:rsid w:val="000F7611"/>
    <w:rsid w:val="0010094B"/>
    <w:rsid w:val="00101F34"/>
    <w:rsid w:val="00102B3E"/>
    <w:rsid w:val="0011038E"/>
    <w:rsid w:val="001107C9"/>
    <w:rsid w:val="0011221B"/>
    <w:rsid w:val="001135B7"/>
    <w:rsid w:val="00113BE7"/>
    <w:rsid w:val="0011479E"/>
    <w:rsid w:val="00117403"/>
    <w:rsid w:val="00121777"/>
    <w:rsid w:val="0012216C"/>
    <w:rsid w:val="0012374F"/>
    <w:rsid w:val="001266E0"/>
    <w:rsid w:val="00127262"/>
    <w:rsid w:val="00130D71"/>
    <w:rsid w:val="001362EC"/>
    <w:rsid w:val="00140A3F"/>
    <w:rsid w:val="00143BCE"/>
    <w:rsid w:val="00147DF8"/>
    <w:rsid w:val="001535C0"/>
    <w:rsid w:val="00154341"/>
    <w:rsid w:val="0015443E"/>
    <w:rsid w:val="00155DBF"/>
    <w:rsid w:val="00156E2B"/>
    <w:rsid w:val="00161AA0"/>
    <w:rsid w:val="00162AD3"/>
    <w:rsid w:val="00164685"/>
    <w:rsid w:val="001674D7"/>
    <w:rsid w:val="001676B3"/>
    <w:rsid w:val="0017068E"/>
    <w:rsid w:val="00176F83"/>
    <w:rsid w:val="00180221"/>
    <w:rsid w:val="0019052F"/>
    <w:rsid w:val="00192B6D"/>
    <w:rsid w:val="001933DF"/>
    <w:rsid w:val="00195058"/>
    <w:rsid w:val="001956FC"/>
    <w:rsid w:val="001A41B0"/>
    <w:rsid w:val="001A4811"/>
    <w:rsid w:val="001A4E33"/>
    <w:rsid w:val="001A5B61"/>
    <w:rsid w:val="001A5CC4"/>
    <w:rsid w:val="001B0672"/>
    <w:rsid w:val="001B0DBB"/>
    <w:rsid w:val="001B1A00"/>
    <w:rsid w:val="001B1B31"/>
    <w:rsid w:val="001B20E8"/>
    <w:rsid w:val="001C1F33"/>
    <w:rsid w:val="001C3154"/>
    <w:rsid w:val="001C3761"/>
    <w:rsid w:val="001C3AFF"/>
    <w:rsid w:val="001C48FA"/>
    <w:rsid w:val="001C73A8"/>
    <w:rsid w:val="001D02D8"/>
    <w:rsid w:val="001D1BEC"/>
    <w:rsid w:val="001D3C74"/>
    <w:rsid w:val="001D79A3"/>
    <w:rsid w:val="001E3FB6"/>
    <w:rsid w:val="001F0284"/>
    <w:rsid w:val="001F0DDE"/>
    <w:rsid w:val="001F1074"/>
    <w:rsid w:val="001F2645"/>
    <w:rsid w:val="001F277A"/>
    <w:rsid w:val="001F2FA5"/>
    <w:rsid w:val="00200430"/>
    <w:rsid w:val="00200748"/>
    <w:rsid w:val="0020088F"/>
    <w:rsid w:val="00202A54"/>
    <w:rsid w:val="00202B25"/>
    <w:rsid w:val="00203341"/>
    <w:rsid w:val="0020395C"/>
    <w:rsid w:val="00205150"/>
    <w:rsid w:val="00205D95"/>
    <w:rsid w:val="002066EC"/>
    <w:rsid w:val="00211383"/>
    <w:rsid w:val="0021227E"/>
    <w:rsid w:val="00212788"/>
    <w:rsid w:val="00216814"/>
    <w:rsid w:val="002216AC"/>
    <w:rsid w:val="00222480"/>
    <w:rsid w:val="00223B9C"/>
    <w:rsid w:val="00223CE5"/>
    <w:rsid w:val="00224577"/>
    <w:rsid w:val="00227C70"/>
    <w:rsid w:val="00230026"/>
    <w:rsid w:val="00231433"/>
    <w:rsid w:val="00233D60"/>
    <w:rsid w:val="0023472E"/>
    <w:rsid w:val="00234D65"/>
    <w:rsid w:val="00234FC2"/>
    <w:rsid w:val="002351A5"/>
    <w:rsid w:val="002353D8"/>
    <w:rsid w:val="002355FA"/>
    <w:rsid w:val="00235C36"/>
    <w:rsid w:val="00235CAB"/>
    <w:rsid w:val="00237E82"/>
    <w:rsid w:val="00240515"/>
    <w:rsid w:val="002436B6"/>
    <w:rsid w:val="00244E6E"/>
    <w:rsid w:val="00246F53"/>
    <w:rsid w:val="00250E47"/>
    <w:rsid w:val="002531F7"/>
    <w:rsid w:val="00253A6C"/>
    <w:rsid w:val="0025534E"/>
    <w:rsid w:val="00257B8A"/>
    <w:rsid w:val="002614B9"/>
    <w:rsid w:val="00262377"/>
    <w:rsid w:val="00262BA0"/>
    <w:rsid w:val="00264AFD"/>
    <w:rsid w:val="00264B14"/>
    <w:rsid w:val="00271563"/>
    <w:rsid w:val="00271C3B"/>
    <w:rsid w:val="00272195"/>
    <w:rsid w:val="002724E1"/>
    <w:rsid w:val="00272C4F"/>
    <w:rsid w:val="00275EFC"/>
    <w:rsid w:val="00277963"/>
    <w:rsid w:val="00284530"/>
    <w:rsid w:val="00290B1A"/>
    <w:rsid w:val="002923F2"/>
    <w:rsid w:val="00295300"/>
    <w:rsid w:val="0029745A"/>
    <w:rsid w:val="002B42B1"/>
    <w:rsid w:val="002B7685"/>
    <w:rsid w:val="002D090C"/>
    <w:rsid w:val="002D2318"/>
    <w:rsid w:val="002D2F33"/>
    <w:rsid w:val="002D3A52"/>
    <w:rsid w:val="002D5880"/>
    <w:rsid w:val="002D692F"/>
    <w:rsid w:val="002E0D73"/>
    <w:rsid w:val="002E0DA7"/>
    <w:rsid w:val="002E25EF"/>
    <w:rsid w:val="002E30B8"/>
    <w:rsid w:val="002E39EB"/>
    <w:rsid w:val="002E4E87"/>
    <w:rsid w:val="002E5C2F"/>
    <w:rsid w:val="002E5F6D"/>
    <w:rsid w:val="002E63A2"/>
    <w:rsid w:val="002F037B"/>
    <w:rsid w:val="002F1C9B"/>
    <w:rsid w:val="002F279A"/>
    <w:rsid w:val="002F7C62"/>
    <w:rsid w:val="003006C6"/>
    <w:rsid w:val="00301650"/>
    <w:rsid w:val="00301C0E"/>
    <w:rsid w:val="003023CE"/>
    <w:rsid w:val="003050A1"/>
    <w:rsid w:val="003052E2"/>
    <w:rsid w:val="003056F3"/>
    <w:rsid w:val="00311281"/>
    <w:rsid w:val="00311FAA"/>
    <w:rsid w:val="00314E5E"/>
    <w:rsid w:val="0031664C"/>
    <w:rsid w:val="00320063"/>
    <w:rsid w:val="00321693"/>
    <w:rsid w:val="00321C6F"/>
    <w:rsid w:val="003232E6"/>
    <w:rsid w:val="00324CAD"/>
    <w:rsid w:val="00325B14"/>
    <w:rsid w:val="003268CE"/>
    <w:rsid w:val="00327206"/>
    <w:rsid w:val="00327A17"/>
    <w:rsid w:val="00332616"/>
    <w:rsid w:val="003330E6"/>
    <w:rsid w:val="003333BE"/>
    <w:rsid w:val="003339F6"/>
    <w:rsid w:val="003341CA"/>
    <w:rsid w:val="00337A5C"/>
    <w:rsid w:val="00337BE1"/>
    <w:rsid w:val="0034060C"/>
    <w:rsid w:val="00340887"/>
    <w:rsid w:val="00340F43"/>
    <w:rsid w:val="00342F9E"/>
    <w:rsid w:val="00343915"/>
    <w:rsid w:val="00343E53"/>
    <w:rsid w:val="003456F8"/>
    <w:rsid w:val="003507AB"/>
    <w:rsid w:val="00352392"/>
    <w:rsid w:val="00352621"/>
    <w:rsid w:val="00353669"/>
    <w:rsid w:val="00353DE5"/>
    <w:rsid w:val="00355955"/>
    <w:rsid w:val="003565A6"/>
    <w:rsid w:val="00356827"/>
    <w:rsid w:val="00356EB4"/>
    <w:rsid w:val="003601D9"/>
    <w:rsid w:val="00364195"/>
    <w:rsid w:val="0036596C"/>
    <w:rsid w:val="00365974"/>
    <w:rsid w:val="0036621F"/>
    <w:rsid w:val="00370A18"/>
    <w:rsid w:val="0037419E"/>
    <w:rsid w:val="00377AC7"/>
    <w:rsid w:val="00380332"/>
    <w:rsid w:val="00380637"/>
    <w:rsid w:val="00380AC8"/>
    <w:rsid w:val="00381A1B"/>
    <w:rsid w:val="003828E3"/>
    <w:rsid w:val="00383F93"/>
    <w:rsid w:val="0038481F"/>
    <w:rsid w:val="00385FAB"/>
    <w:rsid w:val="00387C51"/>
    <w:rsid w:val="00387E3F"/>
    <w:rsid w:val="00390D67"/>
    <w:rsid w:val="00391E85"/>
    <w:rsid w:val="00392046"/>
    <w:rsid w:val="00392693"/>
    <w:rsid w:val="0039672B"/>
    <w:rsid w:val="00396F31"/>
    <w:rsid w:val="00397364"/>
    <w:rsid w:val="00397FB2"/>
    <w:rsid w:val="003A26D8"/>
    <w:rsid w:val="003A3974"/>
    <w:rsid w:val="003A3BCF"/>
    <w:rsid w:val="003A46D6"/>
    <w:rsid w:val="003B12A4"/>
    <w:rsid w:val="003B57E0"/>
    <w:rsid w:val="003B58DB"/>
    <w:rsid w:val="003B639F"/>
    <w:rsid w:val="003C1A64"/>
    <w:rsid w:val="003C209B"/>
    <w:rsid w:val="003C22D1"/>
    <w:rsid w:val="003C305D"/>
    <w:rsid w:val="003C36AC"/>
    <w:rsid w:val="003C426E"/>
    <w:rsid w:val="003C4376"/>
    <w:rsid w:val="003C5D2A"/>
    <w:rsid w:val="003D7BE0"/>
    <w:rsid w:val="003E1C5E"/>
    <w:rsid w:val="003E305E"/>
    <w:rsid w:val="003E50EF"/>
    <w:rsid w:val="003E6326"/>
    <w:rsid w:val="003E6C53"/>
    <w:rsid w:val="003F1CAA"/>
    <w:rsid w:val="003F2191"/>
    <w:rsid w:val="003F32B2"/>
    <w:rsid w:val="003F54C2"/>
    <w:rsid w:val="003F63A7"/>
    <w:rsid w:val="003F77BD"/>
    <w:rsid w:val="003F7DA3"/>
    <w:rsid w:val="004000D6"/>
    <w:rsid w:val="004038E5"/>
    <w:rsid w:val="00406C5D"/>
    <w:rsid w:val="00411283"/>
    <w:rsid w:val="00411440"/>
    <w:rsid w:val="00412BA6"/>
    <w:rsid w:val="0041399F"/>
    <w:rsid w:val="00416C96"/>
    <w:rsid w:val="004243E4"/>
    <w:rsid w:val="00425D26"/>
    <w:rsid w:val="00432620"/>
    <w:rsid w:val="00435DEE"/>
    <w:rsid w:val="00436638"/>
    <w:rsid w:val="00437CF7"/>
    <w:rsid w:val="00437F21"/>
    <w:rsid w:val="004402BF"/>
    <w:rsid w:val="00441035"/>
    <w:rsid w:val="004416A0"/>
    <w:rsid w:val="00441A0E"/>
    <w:rsid w:val="00441FE2"/>
    <w:rsid w:val="00442F04"/>
    <w:rsid w:val="0044320C"/>
    <w:rsid w:val="00444CCD"/>
    <w:rsid w:val="00446E03"/>
    <w:rsid w:val="004471BE"/>
    <w:rsid w:val="0045017F"/>
    <w:rsid w:val="00452B61"/>
    <w:rsid w:val="00453F87"/>
    <w:rsid w:val="00454A86"/>
    <w:rsid w:val="004566BF"/>
    <w:rsid w:val="00457294"/>
    <w:rsid w:val="004600F8"/>
    <w:rsid w:val="004613CA"/>
    <w:rsid w:val="004627C5"/>
    <w:rsid w:val="00463B22"/>
    <w:rsid w:val="00464D59"/>
    <w:rsid w:val="00465954"/>
    <w:rsid w:val="00466791"/>
    <w:rsid w:val="00467F06"/>
    <w:rsid w:val="00471D64"/>
    <w:rsid w:val="0047440A"/>
    <w:rsid w:val="00474D44"/>
    <w:rsid w:val="00477916"/>
    <w:rsid w:val="004820E9"/>
    <w:rsid w:val="0048361F"/>
    <w:rsid w:val="0048596E"/>
    <w:rsid w:val="00490274"/>
    <w:rsid w:val="00491A3E"/>
    <w:rsid w:val="00491D53"/>
    <w:rsid w:val="00492EF0"/>
    <w:rsid w:val="00493301"/>
    <w:rsid w:val="00494159"/>
    <w:rsid w:val="00495260"/>
    <w:rsid w:val="00496E22"/>
    <w:rsid w:val="00497BC9"/>
    <w:rsid w:val="004A26EC"/>
    <w:rsid w:val="004A28B7"/>
    <w:rsid w:val="004A291D"/>
    <w:rsid w:val="004A4E41"/>
    <w:rsid w:val="004A5017"/>
    <w:rsid w:val="004A5757"/>
    <w:rsid w:val="004A5E21"/>
    <w:rsid w:val="004A7864"/>
    <w:rsid w:val="004A7A1E"/>
    <w:rsid w:val="004B05CA"/>
    <w:rsid w:val="004B0605"/>
    <w:rsid w:val="004B1875"/>
    <w:rsid w:val="004B4440"/>
    <w:rsid w:val="004B514C"/>
    <w:rsid w:val="004B5C4C"/>
    <w:rsid w:val="004B77CE"/>
    <w:rsid w:val="004C16BA"/>
    <w:rsid w:val="004C7F2B"/>
    <w:rsid w:val="004D6761"/>
    <w:rsid w:val="004E5848"/>
    <w:rsid w:val="004F0EE5"/>
    <w:rsid w:val="004F104C"/>
    <w:rsid w:val="004F1962"/>
    <w:rsid w:val="004F3757"/>
    <w:rsid w:val="004F38C3"/>
    <w:rsid w:val="004F4F80"/>
    <w:rsid w:val="004F76A6"/>
    <w:rsid w:val="004F7CFE"/>
    <w:rsid w:val="004F7D02"/>
    <w:rsid w:val="0050051D"/>
    <w:rsid w:val="005030E1"/>
    <w:rsid w:val="0050350C"/>
    <w:rsid w:val="00506D55"/>
    <w:rsid w:val="00507003"/>
    <w:rsid w:val="005113B3"/>
    <w:rsid w:val="0051176C"/>
    <w:rsid w:val="00511CDE"/>
    <w:rsid w:val="005170EA"/>
    <w:rsid w:val="0052025E"/>
    <w:rsid w:val="00521940"/>
    <w:rsid w:val="005254A6"/>
    <w:rsid w:val="00526504"/>
    <w:rsid w:val="00526C07"/>
    <w:rsid w:val="00527E41"/>
    <w:rsid w:val="00530D37"/>
    <w:rsid w:val="00530E29"/>
    <w:rsid w:val="0053387C"/>
    <w:rsid w:val="00533AEE"/>
    <w:rsid w:val="005368BA"/>
    <w:rsid w:val="0054168C"/>
    <w:rsid w:val="00543EB3"/>
    <w:rsid w:val="005459DD"/>
    <w:rsid w:val="00546F40"/>
    <w:rsid w:val="00546FDA"/>
    <w:rsid w:val="005510EE"/>
    <w:rsid w:val="0055177F"/>
    <w:rsid w:val="00555C69"/>
    <w:rsid w:val="005566E5"/>
    <w:rsid w:val="00556C98"/>
    <w:rsid w:val="005600D9"/>
    <w:rsid w:val="00561346"/>
    <w:rsid w:val="00561E27"/>
    <w:rsid w:val="005635A8"/>
    <w:rsid w:val="00563E03"/>
    <w:rsid w:val="00572AEB"/>
    <w:rsid w:val="00574D9D"/>
    <w:rsid w:val="00575014"/>
    <w:rsid w:val="00575590"/>
    <w:rsid w:val="00577F59"/>
    <w:rsid w:val="00582497"/>
    <w:rsid w:val="005830E2"/>
    <w:rsid w:val="0058374F"/>
    <w:rsid w:val="00585BD7"/>
    <w:rsid w:val="00586F8C"/>
    <w:rsid w:val="0059009B"/>
    <w:rsid w:val="00597B8F"/>
    <w:rsid w:val="005A1933"/>
    <w:rsid w:val="005A2664"/>
    <w:rsid w:val="005A3702"/>
    <w:rsid w:val="005A5354"/>
    <w:rsid w:val="005A62AE"/>
    <w:rsid w:val="005A76B8"/>
    <w:rsid w:val="005B283A"/>
    <w:rsid w:val="005B2D57"/>
    <w:rsid w:val="005B5AE1"/>
    <w:rsid w:val="005C051F"/>
    <w:rsid w:val="005C4707"/>
    <w:rsid w:val="005C54C1"/>
    <w:rsid w:val="005C6B19"/>
    <w:rsid w:val="005C762E"/>
    <w:rsid w:val="005C7923"/>
    <w:rsid w:val="005D098C"/>
    <w:rsid w:val="005D2697"/>
    <w:rsid w:val="005D271B"/>
    <w:rsid w:val="005D362B"/>
    <w:rsid w:val="005D45C5"/>
    <w:rsid w:val="005D5B9E"/>
    <w:rsid w:val="005E1599"/>
    <w:rsid w:val="005E522E"/>
    <w:rsid w:val="005E60FC"/>
    <w:rsid w:val="005E73C1"/>
    <w:rsid w:val="005F1CAF"/>
    <w:rsid w:val="005F2EAB"/>
    <w:rsid w:val="005F5D48"/>
    <w:rsid w:val="005F5EC0"/>
    <w:rsid w:val="005F75DF"/>
    <w:rsid w:val="00600EE3"/>
    <w:rsid w:val="00601AE7"/>
    <w:rsid w:val="006045D6"/>
    <w:rsid w:val="0060536A"/>
    <w:rsid w:val="00605F33"/>
    <w:rsid w:val="0060662A"/>
    <w:rsid w:val="00606AE3"/>
    <w:rsid w:val="0061169F"/>
    <w:rsid w:val="00612789"/>
    <w:rsid w:val="00613C4F"/>
    <w:rsid w:val="0061448C"/>
    <w:rsid w:val="00614BDA"/>
    <w:rsid w:val="00615F78"/>
    <w:rsid w:val="006166A2"/>
    <w:rsid w:val="00616924"/>
    <w:rsid w:val="0062266D"/>
    <w:rsid w:val="00622A3D"/>
    <w:rsid w:val="00624868"/>
    <w:rsid w:val="00627AAB"/>
    <w:rsid w:val="00627D3C"/>
    <w:rsid w:val="006305C8"/>
    <w:rsid w:val="00630973"/>
    <w:rsid w:val="006331B4"/>
    <w:rsid w:val="006343F3"/>
    <w:rsid w:val="00636427"/>
    <w:rsid w:val="00642906"/>
    <w:rsid w:val="006457EF"/>
    <w:rsid w:val="00646BB4"/>
    <w:rsid w:val="006518A0"/>
    <w:rsid w:val="00651E35"/>
    <w:rsid w:val="0065315C"/>
    <w:rsid w:val="006547A1"/>
    <w:rsid w:val="00655070"/>
    <w:rsid w:val="00661C45"/>
    <w:rsid w:val="00663A55"/>
    <w:rsid w:val="00663EC3"/>
    <w:rsid w:val="00665C16"/>
    <w:rsid w:val="00665FBB"/>
    <w:rsid w:val="0066780E"/>
    <w:rsid w:val="00667AE5"/>
    <w:rsid w:val="006757DF"/>
    <w:rsid w:val="006758E9"/>
    <w:rsid w:val="00677AA4"/>
    <w:rsid w:val="00677F9F"/>
    <w:rsid w:val="006803CA"/>
    <w:rsid w:val="00680CB2"/>
    <w:rsid w:val="00680E22"/>
    <w:rsid w:val="00682B75"/>
    <w:rsid w:val="006866A6"/>
    <w:rsid w:val="006901C1"/>
    <w:rsid w:val="0069038C"/>
    <w:rsid w:val="00690C94"/>
    <w:rsid w:val="00695071"/>
    <w:rsid w:val="006956CB"/>
    <w:rsid w:val="0069613E"/>
    <w:rsid w:val="006A104E"/>
    <w:rsid w:val="006A2A9F"/>
    <w:rsid w:val="006A318D"/>
    <w:rsid w:val="006A3860"/>
    <w:rsid w:val="006A455C"/>
    <w:rsid w:val="006A5FCD"/>
    <w:rsid w:val="006A721F"/>
    <w:rsid w:val="006B0B8B"/>
    <w:rsid w:val="006B49F3"/>
    <w:rsid w:val="006B4CA3"/>
    <w:rsid w:val="006B63FE"/>
    <w:rsid w:val="006C38E8"/>
    <w:rsid w:val="006C4EF6"/>
    <w:rsid w:val="006C6403"/>
    <w:rsid w:val="006C6499"/>
    <w:rsid w:val="006C649D"/>
    <w:rsid w:val="006D0F06"/>
    <w:rsid w:val="006D1E94"/>
    <w:rsid w:val="006D426F"/>
    <w:rsid w:val="006D4650"/>
    <w:rsid w:val="006D73F1"/>
    <w:rsid w:val="006E26CC"/>
    <w:rsid w:val="006E375E"/>
    <w:rsid w:val="006E419C"/>
    <w:rsid w:val="006E5EAD"/>
    <w:rsid w:val="006E6C13"/>
    <w:rsid w:val="006F35B9"/>
    <w:rsid w:val="006F5015"/>
    <w:rsid w:val="006F7F24"/>
    <w:rsid w:val="00704C13"/>
    <w:rsid w:val="0070591E"/>
    <w:rsid w:val="007072C8"/>
    <w:rsid w:val="00707467"/>
    <w:rsid w:val="00707F1F"/>
    <w:rsid w:val="00710EE5"/>
    <w:rsid w:val="00712627"/>
    <w:rsid w:val="00714093"/>
    <w:rsid w:val="0071473B"/>
    <w:rsid w:val="00714B16"/>
    <w:rsid w:val="007177B2"/>
    <w:rsid w:val="00722E41"/>
    <w:rsid w:val="00724694"/>
    <w:rsid w:val="007255DF"/>
    <w:rsid w:val="007309F7"/>
    <w:rsid w:val="00732519"/>
    <w:rsid w:val="00733CE2"/>
    <w:rsid w:val="00741A75"/>
    <w:rsid w:val="00742F78"/>
    <w:rsid w:val="0074474C"/>
    <w:rsid w:val="00746A97"/>
    <w:rsid w:val="0074744A"/>
    <w:rsid w:val="00750478"/>
    <w:rsid w:val="00751936"/>
    <w:rsid w:val="00751AE1"/>
    <w:rsid w:val="00752CA1"/>
    <w:rsid w:val="00752FE8"/>
    <w:rsid w:val="0075321A"/>
    <w:rsid w:val="00754E72"/>
    <w:rsid w:val="00756196"/>
    <w:rsid w:val="00760A66"/>
    <w:rsid w:val="00760B3E"/>
    <w:rsid w:val="00761733"/>
    <w:rsid w:val="00761D4F"/>
    <w:rsid w:val="0076278A"/>
    <w:rsid w:val="00762A52"/>
    <w:rsid w:val="00762D19"/>
    <w:rsid w:val="00765F7E"/>
    <w:rsid w:val="0077176C"/>
    <w:rsid w:val="00773895"/>
    <w:rsid w:val="00773C77"/>
    <w:rsid w:val="00774579"/>
    <w:rsid w:val="007754E1"/>
    <w:rsid w:val="007801C5"/>
    <w:rsid w:val="0078041C"/>
    <w:rsid w:val="007833D8"/>
    <w:rsid w:val="0078697C"/>
    <w:rsid w:val="0079012E"/>
    <w:rsid w:val="00792D52"/>
    <w:rsid w:val="007937B5"/>
    <w:rsid w:val="00797DDA"/>
    <w:rsid w:val="007A15E2"/>
    <w:rsid w:val="007A1DA8"/>
    <w:rsid w:val="007A2A8B"/>
    <w:rsid w:val="007A2BA5"/>
    <w:rsid w:val="007A2BF7"/>
    <w:rsid w:val="007A3027"/>
    <w:rsid w:val="007A37BC"/>
    <w:rsid w:val="007A4EEE"/>
    <w:rsid w:val="007B11E7"/>
    <w:rsid w:val="007B36FF"/>
    <w:rsid w:val="007B3C7B"/>
    <w:rsid w:val="007B6DB1"/>
    <w:rsid w:val="007B6E16"/>
    <w:rsid w:val="007B7F7D"/>
    <w:rsid w:val="007C24C6"/>
    <w:rsid w:val="007C2855"/>
    <w:rsid w:val="007C3DAB"/>
    <w:rsid w:val="007C4A9F"/>
    <w:rsid w:val="007C6719"/>
    <w:rsid w:val="007C6E88"/>
    <w:rsid w:val="007D04B8"/>
    <w:rsid w:val="007D5027"/>
    <w:rsid w:val="007D559F"/>
    <w:rsid w:val="007D66D2"/>
    <w:rsid w:val="007F4DE1"/>
    <w:rsid w:val="007F7B8D"/>
    <w:rsid w:val="008002E1"/>
    <w:rsid w:val="008005AC"/>
    <w:rsid w:val="00802323"/>
    <w:rsid w:val="00802BA4"/>
    <w:rsid w:val="00803709"/>
    <w:rsid w:val="00804624"/>
    <w:rsid w:val="008048F9"/>
    <w:rsid w:val="008065F5"/>
    <w:rsid w:val="008068B3"/>
    <w:rsid w:val="00806F9C"/>
    <w:rsid w:val="00811E31"/>
    <w:rsid w:val="00812FCF"/>
    <w:rsid w:val="0081319C"/>
    <w:rsid w:val="00813323"/>
    <w:rsid w:val="00815E69"/>
    <w:rsid w:val="00817C4A"/>
    <w:rsid w:val="00820DCC"/>
    <w:rsid w:val="0082139D"/>
    <w:rsid w:val="00825EAA"/>
    <w:rsid w:val="00827CAB"/>
    <w:rsid w:val="0083507D"/>
    <w:rsid w:val="00837A76"/>
    <w:rsid w:val="0084216C"/>
    <w:rsid w:val="00843F0B"/>
    <w:rsid w:val="008475B9"/>
    <w:rsid w:val="008505C3"/>
    <w:rsid w:val="00852344"/>
    <w:rsid w:val="008535C2"/>
    <w:rsid w:val="0085431A"/>
    <w:rsid w:val="00854CB0"/>
    <w:rsid w:val="00854FDB"/>
    <w:rsid w:val="00855792"/>
    <w:rsid w:val="008573D3"/>
    <w:rsid w:val="0086106B"/>
    <w:rsid w:val="008617AE"/>
    <w:rsid w:val="008620FF"/>
    <w:rsid w:val="0086406E"/>
    <w:rsid w:val="00864223"/>
    <w:rsid w:val="0086472B"/>
    <w:rsid w:val="00864E3E"/>
    <w:rsid w:val="00864F88"/>
    <w:rsid w:val="00865EAB"/>
    <w:rsid w:val="00866211"/>
    <w:rsid w:val="00870B7D"/>
    <w:rsid w:val="00870DFE"/>
    <w:rsid w:val="00873852"/>
    <w:rsid w:val="00873B34"/>
    <w:rsid w:val="008761B5"/>
    <w:rsid w:val="00876B2C"/>
    <w:rsid w:val="00877774"/>
    <w:rsid w:val="00877C35"/>
    <w:rsid w:val="00882469"/>
    <w:rsid w:val="00882771"/>
    <w:rsid w:val="00885AEC"/>
    <w:rsid w:val="00885BEC"/>
    <w:rsid w:val="0088739A"/>
    <w:rsid w:val="00887462"/>
    <w:rsid w:val="00890F2B"/>
    <w:rsid w:val="0089345E"/>
    <w:rsid w:val="008977A6"/>
    <w:rsid w:val="008A003B"/>
    <w:rsid w:val="008A1AF1"/>
    <w:rsid w:val="008A1E14"/>
    <w:rsid w:val="008A4A29"/>
    <w:rsid w:val="008B34E5"/>
    <w:rsid w:val="008B4B8E"/>
    <w:rsid w:val="008B4F85"/>
    <w:rsid w:val="008B6694"/>
    <w:rsid w:val="008B6FE2"/>
    <w:rsid w:val="008C16CB"/>
    <w:rsid w:val="008C35AF"/>
    <w:rsid w:val="008C38D1"/>
    <w:rsid w:val="008C5D51"/>
    <w:rsid w:val="008C640A"/>
    <w:rsid w:val="008D1C30"/>
    <w:rsid w:val="008D1DD1"/>
    <w:rsid w:val="008D4AD8"/>
    <w:rsid w:val="008D75A4"/>
    <w:rsid w:val="008E4648"/>
    <w:rsid w:val="008E4E71"/>
    <w:rsid w:val="008E5BCC"/>
    <w:rsid w:val="008E629A"/>
    <w:rsid w:val="008E7585"/>
    <w:rsid w:val="008F21CF"/>
    <w:rsid w:val="008F44D8"/>
    <w:rsid w:val="008F4A63"/>
    <w:rsid w:val="00901E23"/>
    <w:rsid w:val="009039B5"/>
    <w:rsid w:val="0090508A"/>
    <w:rsid w:val="00905C43"/>
    <w:rsid w:val="00911D41"/>
    <w:rsid w:val="00911F0A"/>
    <w:rsid w:val="0091438E"/>
    <w:rsid w:val="00923AEF"/>
    <w:rsid w:val="0092657D"/>
    <w:rsid w:val="009273A7"/>
    <w:rsid w:val="009314D9"/>
    <w:rsid w:val="0093179B"/>
    <w:rsid w:val="009327E2"/>
    <w:rsid w:val="00933040"/>
    <w:rsid w:val="00934122"/>
    <w:rsid w:val="00935AB2"/>
    <w:rsid w:val="009403B5"/>
    <w:rsid w:val="00942391"/>
    <w:rsid w:val="009427F1"/>
    <w:rsid w:val="0094366C"/>
    <w:rsid w:val="0094626E"/>
    <w:rsid w:val="00946E4F"/>
    <w:rsid w:val="00947482"/>
    <w:rsid w:val="00950421"/>
    <w:rsid w:val="00953ADF"/>
    <w:rsid w:val="0096147C"/>
    <w:rsid w:val="009621C2"/>
    <w:rsid w:val="009631D9"/>
    <w:rsid w:val="00963C81"/>
    <w:rsid w:val="00965418"/>
    <w:rsid w:val="00966487"/>
    <w:rsid w:val="00970226"/>
    <w:rsid w:val="00975C7B"/>
    <w:rsid w:val="009766B9"/>
    <w:rsid w:val="00976738"/>
    <w:rsid w:val="00976D57"/>
    <w:rsid w:val="00981BAD"/>
    <w:rsid w:val="00982190"/>
    <w:rsid w:val="009839F9"/>
    <w:rsid w:val="009842CB"/>
    <w:rsid w:val="009848D6"/>
    <w:rsid w:val="00986C4C"/>
    <w:rsid w:val="0099044D"/>
    <w:rsid w:val="009920E1"/>
    <w:rsid w:val="00994B70"/>
    <w:rsid w:val="00997755"/>
    <w:rsid w:val="009A063A"/>
    <w:rsid w:val="009A0F7E"/>
    <w:rsid w:val="009A15F5"/>
    <w:rsid w:val="009A2C85"/>
    <w:rsid w:val="009A5974"/>
    <w:rsid w:val="009B054B"/>
    <w:rsid w:val="009B39A1"/>
    <w:rsid w:val="009B3A6B"/>
    <w:rsid w:val="009B3F68"/>
    <w:rsid w:val="009B4544"/>
    <w:rsid w:val="009B621A"/>
    <w:rsid w:val="009C0A56"/>
    <w:rsid w:val="009C1B03"/>
    <w:rsid w:val="009C215B"/>
    <w:rsid w:val="009C45D9"/>
    <w:rsid w:val="009C5E88"/>
    <w:rsid w:val="009C6F32"/>
    <w:rsid w:val="009D0609"/>
    <w:rsid w:val="009E22C4"/>
    <w:rsid w:val="009E2D6D"/>
    <w:rsid w:val="009E2EAD"/>
    <w:rsid w:val="009E3CF1"/>
    <w:rsid w:val="009E4389"/>
    <w:rsid w:val="009E52D0"/>
    <w:rsid w:val="009E5829"/>
    <w:rsid w:val="009E6782"/>
    <w:rsid w:val="009E68C4"/>
    <w:rsid w:val="009F081F"/>
    <w:rsid w:val="009F0E16"/>
    <w:rsid w:val="009F2F4C"/>
    <w:rsid w:val="009F2FE5"/>
    <w:rsid w:val="009F3E54"/>
    <w:rsid w:val="009F4019"/>
    <w:rsid w:val="009F62EB"/>
    <w:rsid w:val="00A0161C"/>
    <w:rsid w:val="00A02D88"/>
    <w:rsid w:val="00A05035"/>
    <w:rsid w:val="00A06657"/>
    <w:rsid w:val="00A1111B"/>
    <w:rsid w:val="00A11248"/>
    <w:rsid w:val="00A134A1"/>
    <w:rsid w:val="00A1438B"/>
    <w:rsid w:val="00A15FA8"/>
    <w:rsid w:val="00A20045"/>
    <w:rsid w:val="00A262A1"/>
    <w:rsid w:val="00A26685"/>
    <w:rsid w:val="00A30B9B"/>
    <w:rsid w:val="00A336F2"/>
    <w:rsid w:val="00A33C63"/>
    <w:rsid w:val="00A37BF9"/>
    <w:rsid w:val="00A45B49"/>
    <w:rsid w:val="00A46206"/>
    <w:rsid w:val="00A61A95"/>
    <w:rsid w:val="00A63B30"/>
    <w:rsid w:val="00A64360"/>
    <w:rsid w:val="00A6449E"/>
    <w:rsid w:val="00A644BF"/>
    <w:rsid w:val="00A65070"/>
    <w:rsid w:val="00A65903"/>
    <w:rsid w:val="00A661C6"/>
    <w:rsid w:val="00A67DA3"/>
    <w:rsid w:val="00A711A7"/>
    <w:rsid w:val="00A71410"/>
    <w:rsid w:val="00A748B2"/>
    <w:rsid w:val="00A7549D"/>
    <w:rsid w:val="00A82F77"/>
    <w:rsid w:val="00A837FC"/>
    <w:rsid w:val="00A84F6D"/>
    <w:rsid w:val="00A86D3D"/>
    <w:rsid w:val="00A92CA7"/>
    <w:rsid w:val="00A9493F"/>
    <w:rsid w:val="00AA1219"/>
    <w:rsid w:val="00AA1809"/>
    <w:rsid w:val="00AA268C"/>
    <w:rsid w:val="00AA28AA"/>
    <w:rsid w:val="00AA7C6D"/>
    <w:rsid w:val="00AB26C3"/>
    <w:rsid w:val="00AB2948"/>
    <w:rsid w:val="00AB39FA"/>
    <w:rsid w:val="00AB6043"/>
    <w:rsid w:val="00AB7EA3"/>
    <w:rsid w:val="00AC21C1"/>
    <w:rsid w:val="00AC2DB6"/>
    <w:rsid w:val="00AC57FC"/>
    <w:rsid w:val="00AC5C23"/>
    <w:rsid w:val="00AD0AAB"/>
    <w:rsid w:val="00AD10DD"/>
    <w:rsid w:val="00AD1498"/>
    <w:rsid w:val="00AD4C99"/>
    <w:rsid w:val="00AD6933"/>
    <w:rsid w:val="00AD6B7B"/>
    <w:rsid w:val="00AD706E"/>
    <w:rsid w:val="00AE0545"/>
    <w:rsid w:val="00AE4C22"/>
    <w:rsid w:val="00AE5E7C"/>
    <w:rsid w:val="00AE6345"/>
    <w:rsid w:val="00AF251E"/>
    <w:rsid w:val="00AF384D"/>
    <w:rsid w:val="00AF3DB5"/>
    <w:rsid w:val="00AF67FE"/>
    <w:rsid w:val="00B00997"/>
    <w:rsid w:val="00B01589"/>
    <w:rsid w:val="00B0454E"/>
    <w:rsid w:val="00B0742D"/>
    <w:rsid w:val="00B111C3"/>
    <w:rsid w:val="00B149FE"/>
    <w:rsid w:val="00B14B9B"/>
    <w:rsid w:val="00B1706E"/>
    <w:rsid w:val="00B20A28"/>
    <w:rsid w:val="00B21AC8"/>
    <w:rsid w:val="00B21EB6"/>
    <w:rsid w:val="00B224C4"/>
    <w:rsid w:val="00B22BA0"/>
    <w:rsid w:val="00B22F54"/>
    <w:rsid w:val="00B265DA"/>
    <w:rsid w:val="00B3024A"/>
    <w:rsid w:val="00B32A62"/>
    <w:rsid w:val="00B3619D"/>
    <w:rsid w:val="00B37D57"/>
    <w:rsid w:val="00B40295"/>
    <w:rsid w:val="00B40B93"/>
    <w:rsid w:val="00B41156"/>
    <w:rsid w:val="00B427B1"/>
    <w:rsid w:val="00B42EA4"/>
    <w:rsid w:val="00B64310"/>
    <w:rsid w:val="00B64B0F"/>
    <w:rsid w:val="00B66350"/>
    <w:rsid w:val="00B66A36"/>
    <w:rsid w:val="00B70071"/>
    <w:rsid w:val="00B71248"/>
    <w:rsid w:val="00B75E23"/>
    <w:rsid w:val="00B75EE8"/>
    <w:rsid w:val="00B765CF"/>
    <w:rsid w:val="00B8105F"/>
    <w:rsid w:val="00B81A46"/>
    <w:rsid w:val="00B84C19"/>
    <w:rsid w:val="00B91037"/>
    <w:rsid w:val="00B91EB2"/>
    <w:rsid w:val="00B94DA1"/>
    <w:rsid w:val="00B95170"/>
    <w:rsid w:val="00B95B11"/>
    <w:rsid w:val="00B9680C"/>
    <w:rsid w:val="00B97436"/>
    <w:rsid w:val="00BA345F"/>
    <w:rsid w:val="00BA4B98"/>
    <w:rsid w:val="00BA5150"/>
    <w:rsid w:val="00BB047B"/>
    <w:rsid w:val="00BB1C9D"/>
    <w:rsid w:val="00BB230A"/>
    <w:rsid w:val="00BB6398"/>
    <w:rsid w:val="00BC3CD9"/>
    <w:rsid w:val="00BC4C4F"/>
    <w:rsid w:val="00BC5D92"/>
    <w:rsid w:val="00BD0372"/>
    <w:rsid w:val="00BD1671"/>
    <w:rsid w:val="00BD1AC3"/>
    <w:rsid w:val="00BD6978"/>
    <w:rsid w:val="00BD70DF"/>
    <w:rsid w:val="00BD7DDE"/>
    <w:rsid w:val="00BE209C"/>
    <w:rsid w:val="00BE5D46"/>
    <w:rsid w:val="00BE61B1"/>
    <w:rsid w:val="00BE66F1"/>
    <w:rsid w:val="00BF027C"/>
    <w:rsid w:val="00BF02A7"/>
    <w:rsid w:val="00BF15DC"/>
    <w:rsid w:val="00BF40B3"/>
    <w:rsid w:val="00BF4862"/>
    <w:rsid w:val="00BF5808"/>
    <w:rsid w:val="00BF5F18"/>
    <w:rsid w:val="00C00216"/>
    <w:rsid w:val="00C00F82"/>
    <w:rsid w:val="00C01490"/>
    <w:rsid w:val="00C016D5"/>
    <w:rsid w:val="00C04D5C"/>
    <w:rsid w:val="00C04ED2"/>
    <w:rsid w:val="00C052CF"/>
    <w:rsid w:val="00C070D9"/>
    <w:rsid w:val="00C072F7"/>
    <w:rsid w:val="00C110B7"/>
    <w:rsid w:val="00C11292"/>
    <w:rsid w:val="00C12467"/>
    <w:rsid w:val="00C139CA"/>
    <w:rsid w:val="00C151ED"/>
    <w:rsid w:val="00C17EE0"/>
    <w:rsid w:val="00C2004D"/>
    <w:rsid w:val="00C20D91"/>
    <w:rsid w:val="00C22A58"/>
    <w:rsid w:val="00C24051"/>
    <w:rsid w:val="00C2725A"/>
    <w:rsid w:val="00C304AB"/>
    <w:rsid w:val="00C3210D"/>
    <w:rsid w:val="00C32EF3"/>
    <w:rsid w:val="00C3444F"/>
    <w:rsid w:val="00C35118"/>
    <w:rsid w:val="00C36B38"/>
    <w:rsid w:val="00C37B9C"/>
    <w:rsid w:val="00C4211C"/>
    <w:rsid w:val="00C4509A"/>
    <w:rsid w:val="00C459A0"/>
    <w:rsid w:val="00C45FF1"/>
    <w:rsid w:val="00C47C48"/>
    <w:rsid w:val="00C51429"/>
    <w:rsid w:val="00C5484E"/>
    <w:rsid w:val="00C558F8"/>
    <w:rsid w:val="00C56A69"/>
    <w:rsid w:val="00C600CE"/>
    <w:rsid w:val="00C60ABC"/>
    <w:rsid w:val="00C60AEF"/>
    <w:rsid w:val="00C61083"/>
    <w:rsid w:val="00C62416"/>
    <w:rsid w:val="00C62632"/>
    <w:rsid w:val="00C65B98"/>
    <w:rsid w:val="00C66455"/>
    <w:rsid w:val="00C66661"/>
    <w:rsid w:val="00C677B3"/>
    <w:rsid w:val="00C70309"/>
    <w:rsid w:val="00C71885"/>
    <w:rsid w:val="00C71A70"/>
    <w:rsid w:val="00C71B45"/>
    <w:rsid w:val="00C74E50"/>
    <w:rsid w:val="00C75A6A"/>
    <w:rsid w:val="00C7623A"/>
    <w:rsid w:val="00C76DAE"/>
    <w:rsid w:val="00C804FC"/>
    <w:rsid w:val="00C84D04"/>
    <w:rsid w:val="00C856E1"/>
    <w:rsid w:val="00C863E4"/>
    <w:rsid w:val="00C864DB"/>
    <w:rsid w:val="00C86783"/>
    <w:rsid w:val="00C87525"/>
    <w:rsid w:val="00C875E7"/>
    <w:rsid w:val="00C875EF"/>
    <w:rsid w:val="00C87F99"/>
    <w:rsid w:val="00C90CD7"/>
    <w:rsid w:val="00C92E78"/>
    <w:rsid w:val="00C943AC"/>
    <w:rsid w:val="00C951CC"/>
    <w:rsid w:val="00C97AA2"/>
    <w:rsid w:val="00CA0A8C"/>
    <w:rsid w:val="00CA1B17"/>
    <w:rsid w:val="00CA7F58"/>
    <w:rsid w:val="00CB01AC"/>
    <w:rsid w:val="00CB1856"/>
    <w:rsid w:val="00CB345C"/>
    <w:rsid w:val="00CB3D72"/>
    <w:rsid w:val="00CB3E78"/>
    <w:rsid w:val="00CB4C88"/>
    <w:rsid w:val="00CB67D5"/>
    <w:rsid w:val="00CB75E3"/>
    <w:rsid w:val="00CC19E9"/>
    <w:rsid w:val="00CC60BE"/>
    <w:rsid w:val="00CC73C5"/>
    <w:rsid w:val="00CC748E"/>
    <w:rsid w:val="00CC74B4"/>
    <w:rsid w:val="00CD01BC"/>
    <w:rsid w:val="00CD0550"/>
    <w:rsid w:val="00CD09C4"/>
    <w:rsid w:val="00CD5DDD"/>
    <w:rsid w:val="00CD7303"/>
    <w:rsid w:val="00CD7BD3"/>
    <w:rsid w:val="00CE0C87"/>
    <w:rsid w:val="00CE1C47"/>
    <w:rsid w:val="00CE67AF"/>
    <w:rsid w:val="00CF2523"/>
    <w:rsid w:val="00CF30A3"/>
    <w:rsid w:val="00CF32C5"/>
    <w:rsid w:val="00CF4A6C"/>
    <w:rsid w:val="00CF51A7"/>
    <w:rsid w:val="00CF5D71"/>
    <w:rsid w:val="00CF6920"/>
    <w:rsid w:val="00CF7937"/>
    <w:rsid w:val="00D0064A"/>
    <w:rsid w:val="00D01BEB"/>
    <w:rsid w:val="00D01E35"/>
    <w:rsid w:val="00D03C09"/>
    <w:rsid w:val="00D053A3"/>
    <w:rsid w:val="00D07991"/>
    <w:rsid w:val="00D104BE"/>
    <w:rsid w:val="00D109B1"/>
    <w:rsid w:val="00D11742"/>
    <w:rsid w:val="00D14664"/>
    <w:rsid w:val="00D20F5D"/>
    <w:rsid w:val="00D246E3"/>
    <w:rsid w:val="00D27C81"/>
    <w:rsid w:val="00D31184"/>
    <w:rsid w:val="00D34A24"/>
    <w:rsid w:val="00D34A3A"/>
    <w:rsid w:val="00D3612A"/>
    <w:rsid w:val="00D36CE6"/>
    <w:rsid w:val="00D37703"/>
    <w:rsid w:val="00D37874"/>
    <w:rsid w:val="00D37C98"/>
    <w:rsid w:val="00D37F25"/>
    <w:rsid w:val="00D40D18"/>
    <w:rsid w:val="00D40E6E"/>
    <w:rsid w:val="00D4239B"/>
    <w:rsid w:val="00D43384"/>
    <w:rsid w:val="00D43AEA"/>
    <w:rsid w:val="00D459D6"/>
    <w:rsid w:val="00D465C6"/>
    <w:rsid w:val="00D46A46"/>
    <w:rsid w:val="00D47B30"/>
    <w:rsid w:val="00D53518"/>
    <w:rsid w:val="00D54F19"/>
    <w:rsid w:val="00D56184"/>
    <w:rsid w:val="00D5746F"/>
    <w:rsid w:val="00D57F11"/>
    <w:rsid w:val="00D617CA"/>
    <w:rsid w:val="00D6240F"/>
    <w:rsid w:val="00D62A61"/>
    <w:rsid w:val="00D65060"/>
    <w:rsid w:val="00D6560E"/>
    <w:rsid w:val="00D6692E"/>
    <w:rsid w:val="00D67643"/>
    <w:rsid w:val="00D7153D"/>
    <w:rsid w:val="00D72926"/>
    <w:rsid w:val="00D73D65"/>
    <w:rsid w:val="00D74F4E"/>
    <w:rsid w:val="00D815A2"/>
    <w:rsid w:val="00D83C28"/>
    <w:rsid w:val="00D84F74"/>
    <w:rsid w:val="00D8526A"/>
    <w:rsid w:val="00D85833"/>
    <w:rsid w:val="00D8675E"/>
    <w:rsid w:val="00D92F14"/>
    <w:rsid w:val="00D96AA3"/>
    <w:rsid w:val="00DA0D5B"/>
    <w:rsid w:val="00DA1B33"/>
    <w:rsid w:val="00DA57A2"/>
    <w:rsid w:val="00DA5E1E"/>
    <w:rsid w:val="00DA6F3E"/>
    <w:rsid w:val="00DB046D"/>
    <w:rsid w:val="00DB1875"/>
    <w:rsid w:val="00DB4696"/>
    <w:rsid w:val="00DB4CE9"/>
    <w:rsid w:val="00DB65B0"/>
    <w:rsid w:val="00DC0A1F"/>
    <w:rsid w:val="00DC5D2D"/>
    <w:rsid w:val="00DD2CBA"/>
    <w:rsid w:val="00DD4DF2"/>
    <w:rsid w:val="00DD6CA2"/>
    <w:rsid w:val="00DD7831"/>
    <w:rsid w:val="00DD7FC4"/>
    <w:rsid w:val="00DE01CA"/>
    <w:rsid w:val="00DE2422"/>
    <w:rsid w:val="00DE3051"/>
    <w:rsid w:val="00DE408E"/>
    <w:rsid w:val="00DE4A13"/>
    <w:rsid w:val="00DE566E"/>
    <w:rsid w:val="00DE5E4C"/>
    <w:rsid w:val="00DE643F"/>
    <w:rsid w:val="00DE7D7C"/>
    <w:rsid w:val="00DF154A"/>
    <w:rsid w:val="00DF180C"/>
    <w:rsid w:val="00DF476D"/>
    <w:rsid w:val="00DF47B3"/>
    <w:rsid w:val="00DF5662"/>
    <w:rsid w:val="00DF7363"/>
    <w:rsid w:val="00E00AE5"/>
    <w:rsid w:val="00E01CE3"/>
    <w:rsid w:val="00E03121"/>
    <w:rsid w:val="00E03AE5"/>
    <w:rsid w:val="00E04898"/>
    <w:rsid w:val="00E050E6"/>
    <w:rsid w:val="00E06274"/>
    <w:rsid w:val="00E06827"/>
    <w:rsid w:val="00E0748A"/>
    <w:rsid w:val="00E110B6"/>
    <w:rsid w:val="00E11987"/>
    <w:rsid w:val="00E13ACD"/>
    <w:rsid w:val="00E13FFB"/>
    <w:rsid w:val="00E15572"/>
    <w:rsid w:val="00E165AE"/>
    <w:rsid w:val="00E16B8F"/>
    <w:rsid w:val="00E20D81"/>
    <w:rsid w:val="00E227EC"/>
    <w:rsid w:val="00E2406B"/>
    <w:rsid w:val="00E25A46"/>
    <w:rsid w:val="00E25F64"/>
    <w:rsid w:val="00E27FFA"/>
    <w:rsid w:val="00E308C4"/>
    <w:rsid w:val="00E31426"/>
    <w:rsid w:val="00E320DC"/>
    <w:rsid w:val="00E3366F"/>
    <w:rsid w:val="00E41D7C"/>
    <w:rsid w:val="00E426BC"/>
    <w:rsid w:val="00E42BD2"/>
    <w:rsid w:val="00E449A2"/>
    <w:rsid w:val="00E4622C"/>
    <w:rsid w:val="00E463DA"/>
    <w:rsid w:val="00E47072"/>
    <w:rsid w:val="00E51FFB"/>
    <w:rsid w:val="00E5236A"/>
    <w:rsid w:val="00E532CF"/>
    <w:rsid w:val="00E536E8"/>
    <w:rsid w:val="00E541DE"/>
    <w:rsid w:val="00E551F7"/>
    <w:rsid w:val="00E573C0"/>
    <w:rsid w:val="00E57666"/>
    <w:rsid w:val="00E57C04"/>
    <w:rsid w:val="00E604D5"/>
    <w:rsid w:val="00E611D2"/>
    <w:rsid w:val="00E616F8"/>
    <w:rsid w:val="00E62BE3"/>
    <w:rsid w:val="00E63036"/>
    <w:rsid w:val="00E644A3"/>
    <w:rsid w:val="00E64B5D"/>
    <w:rsid w:val="00E64BF1"/>
    <w:rsid w:val="00E6556E"/>
    <w:rsid w:val="00E65646"/>
    <w:rsid w:val="00E6785E"/>
    <w:rsid w:val="00E679E5"/>
    <w:rsid w:val="00E70520"/>
    <w:rsid w:val="00E70DF5"/>
    <w:rsid w:val="00E71488"/>
    <w:rsid w:val="00E71EDC"/>
    <w:rsid w:val="00E72F21"/>
    <w:rsid w:val="00E73CE5"/>
    <w:rsid w:val="00E73E3B"/>
    <w:rsid w:val="00E77A31"/>
    <w:rsid w:val="00E77C26"/>
    <w:rsid w:val="00E8073D"/>
    <w:rsid w:val="00E81771"/>
    <w:rsid w:val="00E847F3"/>
    <w:rsid w:val="00E87402"/>
    <w:rsid w:val="00E87CD1"/>
    <w:rsid w:val="00E90F08"/>
    <w:rsid w:val="00E96F24"/>
    <w:rsid w:val="00EA1E01"/>
    <w:rsid w:val="00EA6196"/>
    <w:rsid w:val="00EA6874"/>
    <w:rsid w:val="00EA7168"/>
    <w:rsid w:val="00EB1674"/>
    <w:rsid w:val="00EB4D26"/>
    <w:rsid w:val="00EB540E"/>
    <w:rsid w:val="00EB6110"/>
    <w:rsid w:val="00EB7FAA"/>
    <w:rsid w:val="00EC4169"/>
    <w:rsid w:val="00EC42D4"/>
    <w:rsid w:val="00EC5DC0"/>
    <w:rsid w:val="00EC649D"/>
    <w:rsid w:val="00EC74E7"/>
    <w:rsid w:val="00EC7697"/>
    <w:rsid w:val="00ED0855"/>
    <w:rsid w:val="00ED12AB"/>
    <w:rsid w:val="00ED1870"/>
    <w:rsid w:val="00ED1FA4"/>
    <w:rsid w:val="00ED4E8E"/>
    <w:rsid w:val="00ED6284"/>
    <w:rsid w:val="00ED7225"/>
    <w:rsid w:val="00EE498C"/>
    <w:rsid w:val="00EE620D"/>
    <w:rsid w:val="00EE70CD"/>
    <w:rsid w:val="00EF04C1"/>
    <w:rsid w:val="00EF12A4"/>
    <w:rsid w:val="00EF17DC"/>
    <w:rsid w:val="00EF21FC"/>
    <w:rsid w:val="00EF273C"/>
    <w:rsid w:val="00EF4204"/>
    <w:rsid w:val="00EF5DFB"/>
    <w:rsid w:val="00EF66F0"/>
    <w:rsid w:val="00F02587"/>
    <w:rsid w:val="00F04192"/>
    <w:rsid w:val="00F04496"/>
    <w:rsid w:val="00F04BCC"/>
    <w:rsid w:val="00F107BA"/>
    <w:rsid w:val="00F12B2F"/>
    <w:rsid w:val="00F133E3"/>
    <w:rsid w:val="00F13C84"/>
    <w:rsid w:val="00F140F5"/>
    <w:rsid w:val="00F14621"/>
    <w:rsid w:val="00F16F65"/>
    <w:rsid w:val="00F204F9"/>
    <w:rsid w:val="00F230EB"/>
    <w:rsid w:val="00F25AB0"/>
    <w:rsid w:val="00F268BA"/>
    <w:rsid w:val="00F26A9F"/>
    <w:rsid w:val="00F34C74"/>
    <w:rsid w:val="00F40C75"/>
    <w:rsid w:val="00F45E60"/>
    <w:rsid w:val="00F468A5"/>
    <w:rsid w:val="00F538CC"/>
    <w:rsid w:val="00F55616"/>
    <w:rsid w:val="00F57A15"/>
    <w:rsid w:val="00F604DE"/>
    <w:rsid w:val="00F6737D"/>
    <w:rsid w:val="00F6762E"/>
    <w:rsid w:val="00F713C3"/>
    <w:rsid w:val="00F71CF1"/>
    <w:rsid w:val="00F756E2"/>
    <w:rsid w:val="00F76D7D"/>
    <w:rsid w:val="00F815B0"/>
    <w:rsid w:val="00F85470"/>
    <w:rsid w:val="00F85D3B"/>
    <w:rsid w:val="00F8679D"/>
    <w:rsid w:val="00F87F4F"/>
    <w:rsid w:val="00F920BB"/>
    <w:rsid w:val="00F93D45"/>
    <w:rsid w:val="00F95D45"/>
    <w:rsid w:val="00F95FB3"/>
    <w:rsid w:val="00F979CE"/>
    <w:rsid w:val="00FA18CA"/>
    <w:rsid w:val="00FA1B68"/>
    <w:rsid w:val="00FA450C"/>
    <w:rsid w:val="00FA5EED"/>
    <w:rsid w:val="00FA6931"/>
    <w:rsid w:val="00FA6D35"/>
    <w:rsid w:val="00FB27B0"/>
    <w:rsid w:val="00FB4B52"/>
    <w:rsid w:val="00FB540A"/>
    <w:rsid w:val="00FB592F"/>
    <w:rsid w:val="00FB5AFE"/>
    <w:rsid w:val="00FB5D7B"/>
    <w:rsid w:val="00FB5DAC"/>
    <w:rsid w:val="00FB6AFA"/>
    <w:rsid w:val="00FB781E"/>
    <w:rsid w:val="00FC2AD8"/>
    <w:rsid w:val="00FC4118"/>
    <w:rsid w:val="00FC597F"/>
    <w:rsid w:val="00FC752A"/>
    <w:rsid w:val="00FD075E"/>
    <w:rsid w:val="00FD2DE9"/>
    <w:rsid w:val="00FD4AF0"/>
    <w:rsid w:val="00FD507D"/>
    <w:rsid w:val="00FD71A0"/>
    <w:rsid w:val="00FE2418"/>
    <w:rsid w:val="00FE5F35"/>
    <w:rsid w:val="00FF19CB"/>
    <w:rsid w:val="00FF2F1C"/>
    <w:rsid w:val="00FF4A3D"/>
    <w:rsid w:val="00FF5831"/>
    <w:rsid w:val="0ED026B8"/>
    <w:rsid w:val="15E11E65"/>
    <w:rsid w:val="27DAF303"/>
    <w:rsid w:val="2B041939"/>
    <w:rsid w:val="2E5F1698"/>
    <w:rsid w:val="37F15970"/>
    <w:rsid w:val="3803B258"/>
    <w:rsid w:val="3A8A5374"/>
    <w:rsid w:val="46ACAC10"/>
    <w:rsid w:val="69FE056E"/>
    <w:rsid w:val="7187426D"/>
    <w:rsid w:val="72B1212B"/>
    <w:rsid w:val="74345DD9"/>
    <w:rsid w:val="7793E2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39625699"/>
  <w15:docId w15:val="{5388BB2B-D287-4731-A2CA-3FC19247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Strong" w:locked="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1C2"/>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94366C"/>
    <w:pPr>
      <w:spacing w:after="240" w:line="360" w:lineRule="auto"/>
    </w:pPr>
    <w:rPr>
      <w:rFonts w:ascii="Arial" w:hAnsi="Arial"/>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Numberedheading1">
    <w:name w:val="Numbered heading 1"/>
    <w:basedOn w:val="Heading1"/>
    <w:next w:val="NICEnormal"/>
    <w:link w:val="Numberedheading1CharChar"/>
    <w:rsid w:val="00C51429"/>
    <w:pPr>
      <w:numPr>
        <w:numId w:val="7"/>
      </w:numPr>
    </w:pPr>
    <w:rPr>
      <w:szCs w:val="24"/>
    </w:rPr>
  </w:style>
  <w:style w:type="paragraph" w:customStyle="1" w:styleId="Numberedlevel3text">
    <w:name w:val="Numbered level 3 text"/>
    <w:basedOn w:val="Normal"/>
    <w:rsid w:val="00FA450C"/>
    <w:pPr>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ormal"/>
    <w:link w:val="Numberedlevel2textChar"/>
    <w:rsid w:val="00FA450C"/>
    <w:pPr>
      <w:numPr>
        <w:ilvl w:val="1"/>
        <w:numId w:val="7"/>
      </w:numPr>
      <w:spacing w:after="240" w:line="360" w:lineRule="auto"/>
      <w:outlineLvl w:val="1"/>
    </w:pPr>
    <w:rPr>
      <w:rFonts w:ascii="Arial" w:hAnsi="Arial" w:cs="Arial"/>
      <w:bCs/>
      <w:iCs/>
      <w:szCs w:val="28"/>
    </w:rPr>
  </w:style>
  <w:style w:type="paragraph" w:customStyle="1" w:styleId="Bulletleft1last">
    <w:name w:val="Bullet left 1 last"/>
    <w:basedOn w:val="NICEnormal"/>
    <w:rsid w:val="00953ADF"/>
    <w:pPr>
      <w:numPr>
        <w:numId w:val="8"/>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table" w:styleId="TableGrid">
    <w:name w:val="Table Grid"/>
    <w:basedOn w:val="TableNormal"/>
    <w:locked/>
    <w:rsid w:val="009F0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20DCC"/>
    <w:rPr>
      <w:color w:val="0000FF"/>
      <w:u w:val="single"/>
    </w:rPr>
  </w:style>
  <w:style w:type="paragraph" w:styleId="TOC1">
    <w:name w:val="toc 1"/>
    <w:basedOn w:val="Normal"/>
    <w:next w:val="Normal"/>
    <w:autoRedefine/>
    <w:uiPriority w:val="39"/>
    <w:rsid w:val="00820DCC"/>
    <w:pPr>
      <w:spacing w:line="360" w:lineRule="auto"/>
    </w:pPr>
    <w:rPr>
      <w:rFonts w:ascii="Arial" w:hAnsi="Arial"/>
    </w:rPr>
  </w:style>
  <w:style w:type="paragraph" w:styleId="TOC2">
    <w:name w:val="toc 2"/>
    <w:basedOn w:val="Normal"/>
    <w:next w:val="Normal"/>
    <w:autoRedefine/>
    <w:uiPriority w:val="39"/>
    <w:rsid w:val="00820DCC"/>
    <w:pPr>
      <w:spacing w:line="360" w:lineRule="auto"/>
      <w:ind w:left="567"/>
    </w:pPr>
    <w:rPr>
      <w:rFonts w:ascii="Arial" w:hAnsi="Arial"/>
      <w:i/>
    </w:rPr>
  </w:style>
  <w:style w:type="character" w:styleId="CommentReference">
    <w:name w:val="annotation reference"/>
    <w:locked/>
    <w:rsid w:val="00DA5E1E"/>
    <w:rPr>
      <w:sz w:val="16"/>
      <w:szCs w:val="16"/>
    </w:rPr>
  </w:style>
  <w:style w:type="paragraph" w:styleId="CommentText">
    <w:name w:val="annotation text"/>
    <w:basedOn w:val="Normal"/>
    <w:link w:val="CommentTextChar"/>
    <w:rsid w:val="00DA5E1E"/>
    <w:rPr>
      <w:sz w:val="20"/>
      <w:szCs w:val="20"/>
    </w:rPr>
  </w:style>
  <w:style w:type="paragraph" w:styleId="CommentSubject">
    <w:name w:val="annotation subject"/>
    <w:basedOn w:val="CommentText"/>
    <w:next w:val="CommentText"/>
    <w:semiHidden/>
    <w:locked/>
    <w:rsid w:val="00DA5E1E"/>
    <w:rPr>
      <w:b/>
      <w:bCs/>
    </w:rPr>
  </w:style>
  <w:style w:type="paragraph" w:styleId="BalloonText">
    <w:name w:val="Balloon Text"/>
    <w:basedOn w:val="Normal"/>
    <w:semiHidden/>
    <w:rsid w:val="00DA5E1E"/>
    <w:rPr>
      <w:rFonts w:ascii="Tahoma" w:hAnsi="Tahoma" w:cs="Tahoma"/>
      <w:sz w:val="16"/>
      <w:szCs w:val="16"/>
    </w:rPr>
  </w:style>
  <w:style w:type="paragraph" w:customStyle="1" w:styleId="Frontpagetitle">
    <w:name w:val="Front page title"/>
    <w:basedOn w:val="NICEnormalsinglespacing"/>
    <w:rsid w:val="00EF04C1"/>
    <w:pPr>
      <w:jc w:val="center"/>
    </w:pPr>
    <w:rPr>
      <w:rFonts w:cs="Arial"/>
      <w:sz w:val="48"/>
      <w:szCs w:val="48"/>
    </w:rPr>
  </w:style>
  <w:style w:type="paragraph" w:customStyle="1" w:styleId="Frontpagedate">
    <w:name w:val="Front page date"/>
    <w:basedOn w:val="NICEnormalsinglespacing"/>
    <w:rsid w:val="00EF04C1"/>
    <w:rPr>
      <w:rFonts w:cs="Arial"/>
      <w:sz w:val="32"/>
      <w:szCs w:val="32"/>
    </w:rPr>
  </w:style>
  <w:style w:type="paragraph" w:customStyle="1" w:styleId="Frontpageguidelinenumber">
    <w:name w:val="Front page guideline number"/>
    <w:basedOn w:val="NICEnormalsinglespacing"/>
    <w:rsid w:val="00EF04C1"/>
    <w:rPr>
      <w:rFonts w:cs="Arial"/>
      <w:color w:val="FFFFFF"/>
      <w:sz w:val="32"/>
      <w:szCs w:val="32"/>
    </w:rPr>
  </w:style>
  <w:style w:type="character" w:customStyle="1" w:styleId="NICEnormalChar">
    <w:name w:val="NICE normal Char"/>
    <w:link w:val="NICEnormal"/>
    <w:rsid w:val="0021227E"/>
    <w:rPr>
      <w:rFonts w:ascii="Arial" w:hAnsi="Arial"/>
      <w:sz w:val="24"/>
      <w:szCs w:val="24"/>
      <w:lang w:val="en-US" w:eastAsia="en-US" w:bidi="ar-SA"/>
    </w:rPr>
  </w:style>
  <w:style w:type="paragraph" w:styleId="FootnoteText">
    <w:name w:val="footnote text"/>
    <w:basedOn w:val="Normal"/>
    <w:link w:val="FootnoteTextChar"/>
    <w:rsid w:val="0069613E"/>
    <w:rPr>
      <w:sz w:val="20"/>
      <w:szCs w:val="20"/>
    </w:rPr>
  </w:style>
  <w:style w:type="character" w:customStyle="1" w:styleId="FootnoteTextChar">
    <w:name w:val="Footnote Text Char"/>
    <w:link w:val="FootnoteText"/>
    <w:rsid w:val="0069613E"/>
    <w:rPr>
      <w:lang w:eastAsia="en-US"/>
    </w:rPr>
  </w:style>
  <w:style w:type="character" w:styleId="FootnoteReference">
    <w:name w:val="footnote reference"/>
    <w:locked/>
    <w:rsid w:val="0069613E"/>
    <w:rPr>
      <w:vertAlign w:val="superscript"/>
    </w:rPr>
  </w:style>
  <w:style w:type="character" w:styleId="FollowedHyperlink">
    <w:name w:val="FollowedHyperlink"/>
    <w:rsid w:val="006A5FCD"/>
    <w:rPr>
      <w:color w:val="800080"/>
      <w:u w:val="single"/>
    </w:rPr>
  </w:style>
  <w:style w:type="character" w:customStyle="1" w:styleId="Numberedlevel2textChar">
    <w:name w:val="Numbered level 2 text Char"/>
    <w:link w:val="Numberedlevel2text"/>
    <w:rsid w:val="009621C2"/>
    <w:rPr>
      <w:rFonts w:ascii="Arial" w:hAnsi="Arial" w:cs="Arial"/>
      <w:bCs/>
      <w:iCs/>
      <w:sz w:val="24"/>
      <w:szCs w:val="28"/>
      <w:lang w:eastAsia="en-US"/>
    </w:rPr>
  </w:style>
  <w:style w:type="character" w:customStyle="1" w:styleId="CommentTextChar">
    <w:name w:val="Comment Text Char"/>
    <w:link w:val="CommentText"/>
    <w:rsid w:val="009621C2"/>
    <w:rPr>
      <w:lang w:eastAsia="en-US"/>
    </w:rPr>
  </w:style>
  <w:style w:type="table" w:customStyle="1" w:styleId="TableGrid1">
    <w:name w:val="Table Grid1"/>
    <w:basedOn w:val="TableNormal"/>
    <w:next w:val="TableGrid"/>
    <w:rsid w:val="00155DB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11E7"/>
    <w:rPr>
      <w:sz w:val="24"/>
      <w:szCs w:val="24"/>
      <w:lang w:eastAsia="en-US"/>
    </w:rPr>
  </w:style>
  <w:style w:type="paragraph" w:customStyle="1" w:styleId="Tabletitle">
    <w:name w:val="Table title"/>
    <w:basedOn w:val="NICEnormal"/>
    <w:next w:val="NICEnormal"/>
    <w:rsid w:val="00885AEC"/>
    <w:pPr>
      <w:keepNext/>
      <w:spacing w:after="60" w:line="240" w:lineRule="auto"/>
    </w:pPr>
    <w:rPr>
      <w:b/>
    </w:rPr>
  </w:style>
  <w:style w:type="paragraph" w:customStyle="1" w:styleId="Proofingtabletext">
    <w:name w:val="Proofing table text"/>
    <w:basedOn w:val="Normal"/>
    <w:rsid w:val="00885AEC"/>
    <w:pPr>
      <w:framePr w:hSpace="180" w:wrap="around" w:vAnchor="text" w:hAnchor="margin" w:y="-52"/>
      <w:spacing w:before="60" w:after="60" w:line="288" w:lineRule="auto"/>
    </w:pPr>
    <w:rPr>
      <w:rFonts w:ascii="Arial" w:hAnsi="Arial"/>
      <w:sz w:val="18"/>
      <w:szCs w:val="20"/>
      <w:lang w:eastAsia="en-GB"/>
    </w:rPr>
  </w:style>
  <w:style w:type="paragraph" w:customStyle="1" w:styleId="Instructionstext">
    <w:name w:val="Instructions text"/>
    <w:basedOn w:val="Normal"/>
    <w:rsid w:val="00885AEC"/>
    <w:pPr>
      <w:pBdr>
        <w:top w:val="single" w:sz="4" w:space="1" w:color="auto"/>
        <w:left w:val="single" w:sz="4" w:space="4" w:color="auto"/>
        <w:bottom w:val="single" w:sz="4" w:space="1" w:color="auto"/>
        <w:right w:val="single" w:sz="4" w:space="4" w:color="auto"/>
      </w:pBdr>
      <w:shd w:val="clear" w:color="auto" w:fill="FDE9D9"/>
      <w:spacing w:before="240" w:after="240" w:line="288" w:lineRule="auto"/>
    </w:pPr>
    <w:rPr>
      <w:rFonts w:ascii="Arial" w:hAnsi="Arial"/>
      <w:kern w:val="32"/>
      <w:sz w:val="20"/>
      <w:szCs w:val="20"/>
    </w:rPr>
  </w:style>
  <w:style w:type="paragraph" w:customStyle="1" w:styleId="Instructionsheading">
    <w:name w:val="Instructions heading"/>
    <w:basedOn w:val="Normal"/>
    <w:rsid w:val="00885AEC"/>
    <w:pPr>
      <w:pBdr>
        <w:top w:val="single" w:sz="4" w:space="1" w:color="auto"/>
        <w:left w:val="single" w:sz="4" w:space="4" w:color="auto"/>
        <w:bottom w:val="single" w:sz="4" w:space="1" w:color="auto"/>
        <w:right w:val="single" w:sz="4" w:space="4" w:color="auto"/>
      </w:pBdr>
      <w:shd w:val="clear" w:color="auto" w:fill="FDE9D9"/>
      <w:spacing w:before="240" w:after="120" w:line="288" w:lineRule="auto"/>
      <w:outlineLvl w:val="1"/>
    </w:pPr>
    <w:rPr>
      <w:rFonts w:ascii="Arial" w:hAnsi="Arial"/>
      <w:i/>
      <w:iCs/>
      <w:color w:val="0070C0"/>
      <w:kern w:val="32"/>
      <w:szCs w:val="20"/>
    </w:rPr>
  </w:style>
  <w:style w:type="character" w:styleId="UnresolvedMention">
    <w:name w:val="Unresolved Mention"/>
    <w:basedOn w:val="DefaultParagraphFont"/>
    <w:uiPriority w:val="99"/>
    <w:semiHidden/>
    <w:unhideWhenUsed/>
    <w:rsid w:val="00965418"/>
    <w:rPr>
      <w:color w:val="605E5C"/>
      <w:shd w:val="clear" w:color="auto" w:fill="E1DFDD"/>
    </w:rPr>
  </w:style>
  <w:style w:type="paragraph" w:styleId="ListParagraph">
    <w:name w:val="List Paragraph"/>
    <w:basedOn w:val="Normal"/>
    <w:uiPriority w:val="34"/>
    <w:qFormat/>
    <w:rsid w:val="009403B5"/>
    <w:pPr>
      <w:ind w:left="720"/>
      <w:contextualSpacing/>
    </w:pPr>
  </w:style>
  <w:style w:type="table" w:styleId="TableGridLight">
    <w:name w:val="Grid Table Light"/>
    <w:basedOn w:val="TableNormal"/>
    <w:uiPriority w:val="40"/>
    <w:rsid w:val="00F16F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673">
      <w:bodyDiv w:val="1"/>
      <w:marLeft w:val="0"/>
      <w:marRight w:val="0"/>
      <w:marTop w:val="0"/>
      <w:marBottom w:val="0"/>
      <w:divBdr>
        <w:top w:val="none" w:sz="0" w:space="0" w:color="auto"/>
        <w:left w:val="none" w:sz="0" w:space="0" w:color="auto"/>
        <w:bottom w:val="none" w:sz="0" w:space="0" w:color="auto"/>
        <w:right w:val="none" w:sz="0" w:space="0" w:color="auto"/>
      </w:divBdr>
    </w:div>
    <w:div w:id="173541011">
      <w:bodyDiv w:val="1"/>
      <w:marLeft w:val="0"/>
      <w:marRight w:val="0"/>
      <w:marTop w:val="0"/>
      <w:marBottom w:val="0"/>
      <w:divBdr>
        <w:top w:val="none" w:sz="0" w:space="0" w:color="auto"/>
        <w:left w:val="none" w:sz="0" w:space="0" w:color="auto"/>
        <w:bottom w:val="none" w:sz="0" w:space="0" w:color="auto"/>
        <w:right w:val="none" w:sz="0" w:space="0" w:color="auto"/>
      </w:divBdr>
    </w:div>
    <w:div w:id="233593236">
      <w:bodyDiv w:val="1"/>
      <w:marLeft w:val="0"/>
      <w:marRight w:val="0"/>
      <w:marTop w:val="0"/>
      <w:marBottom w:val="0"/>
      <w:divBdr>
        <w:top w:val="none" w:sz="0" w:space="0" w:color="auto"/>
        <w:left w:val="none" w:sz="0" w:space="0" w:color="auto"/>
        <w:bottom w:val="none" w:sz="0" w:space="0" w:color="auto"/>
        <w:right w:val="none" w:sz="0" w:space="0" w:color="auto"/>
      </w:divBdr>
    </w:div>
    <w:div w:id="392656195">
      <w:bodyDiv w:val="1"/>
      <w:marLeft w:val="0"/>
      <w:marRight w:val="0"/>
      <w:marTop w:val="0"/>
      <w:marBottom w:val="0"/>
      <w:divBdr>
        <w:top w:val="none" w:sz="0" w:space="0" w:color="auto"/>
        <w:left w:val="none" w:sz="0" w:space="0" w:color="auto"/>
        <w:bottom w:val="none" w:sz="0" w:space="0" w:color="auto"/>
        <w:right w:val="none" w:sz="0" w:space="0" w:color="auto"/>
      </w:divBdr>
    </w:div>
    <w:div w:id="455681908">
      <w:bodyDiv w:val="1"/>
      <w:marLeft w:val="0"/>
      <w:marRight w:val="0"/>
      <w:marTop w:val="0"/>
      <w:marBottom w:val="0"/>
      <w:divBdr>
        <w:top w:val="none" w:sz="0" w:space="0" w:color="auto"/>
        <w:left w:val="none" w:sz="0" w:space="0" w:color="auto"/>
        <w:bottom w:val="none" w:sz="0" w:space="0" w:color="auto"/>
        <w:right w:val="none" w:sz="0" w:space="0" w:color="auto"/>
      </w:divBdr>
    </w:div>
    <w:div w:id="494078288">
      <w:bodyDiv w:val="1"/>
      <w:marLeft w:val="0"/>
      <w:marRight w:val="0"/>
      <w:marTop w:val="0"/>
      <w:marBottom w:val="0"/>
      <w:divBdr>
        <w:top w:val="none" w:sz="0" w:space="0" w:color="auto"/>
        <w:left w:val="none" w:sz="0" w:space="0" w:color="auto"/>
        <w:bottom w:val="none" w:sz="0" w:space="0" w:color="auto"/>
        <w:right w:val="none" w:sz="0" w:space="0" w:color="auto"/>
      </w:divBdr>
    </w:div>
    <w:div w:id="594754002">
      <w:bodyDiv w:val="1"/>
      <w:marLeft w:val="0"/>
      <w:marRight w:val="0"/>
      <w:marTop w:val="0"/>
      <w:marBottom w:val="0"/>
      <w:divBdr>
        <w:top w:val="none" w:sz="0" w:space="0" w:color="auto"/>
        <w:left w:val="none" w:sz="0" w:space="0" w:color="auto"/>
        <w:bottom w:val="none" w:sz="0" w:space="0" w:color="auto"/>
        <w:right w:val="none" w:sz="0" w:space="0" w:color="auto"/>
      </w:divBdr>
    </w:div>
    <w:div w:id="704716663">
      <w:bodyDiv w:val="1"/>
      <w:marLeft w:val="0"/>
      <w:marRight w:val="0"/>
      <w:marTop w:val="0"/>
      <w:marBottom w:val="0"/>
      <w:divBdr>
        <w:top w:val="none" w:sz="0" w:space="0" w:color="auto"/>
        <w:left w:val="none" w:sz="0" w:space="0" w:color="auto"/>
        <w:bottom w:val="none" w:sz="0" w:space="0" w:color="auto"/>
        <w:right w:val="none" w:sz="0" w:space="0" w:color="auto"/>
      </w:divBdr>
    </w:div>
    <w:div w:id="798258205">
      <w:bodyDiv w:val="1"/>
      <w:marLeft w:val="0"/>
      <w:marRight w:val="0"/>
      <w:marTop w:val="0"/>
      <w:marBottom w:val="0"/>
      <w:divBdr>
        <w:top w:val="none" w:sz="0" w:space="0" w:color="auto"/>
        <w:left w:val="none" w:sz="0" w:space="0" w:color="auto"/>
        <w:bottom w:val="none" w:sz="0" w:space="0" w:color="auto"/>
        <w:right w:val="none" w:sz="0" w:space="0" w:color="auto"/>
      </w:divBdr>
    </w:div>
    <w:div w:id="834995268">
      <w:bodyDiv w:val="1"/>
      <w:marLeft w:val="0"/>
      <w:marRight w:val="0"/>
      <w:marTop w:val="0"/>
      <w:marBottom w:val="0"/>
      <w:divBdr>
        <w:top w:val="none" w:sz="0" w:space="0" w:color="auto"/>
        <w:left w:val="none" w:sz="0" w:space="0" w:color="auto"/>
        <w:bottom w:val="none" w:sz="0" w:space="0" w:color="auto"/>
        <w:right w:val="none" w:sz="0" w:space="0" w:color="auto"/>
      </w:divBdr>
    </w:div>
    <w:div w:id="1172917377">
      <w:bodyDiv w:val="1"/>
      <w:marLeft w:val="0"/>
      <w:marRight w:val="0"/>
      <w:marTop w:val="0"/>
      <w:marBottom w:val="0"/>
      <w:divBdr>
        <w:top w:val="none" w:sz="0" w:space="0" w:color="auto"/>
        <w:left w:val="none" w:sz="0" w:space="0" w:color="auto"/>
        <w:bottom w:val="none" w:sz="0" w:space="0" w:color="auto"/>
        <w:right w:val="none" w:sz="0" w:space="0" w:color="auto"/>
      </w:divBdr>
    </w:div>
    <w:div w:id="1207986846">
      <w:bodyDiv w:val="1"/>
      <w:marLeft w:val="0"/>
      <w:marRight w:val="0"/>
      <w:marTop w:val="0"/>
      <w:marBottom w:val="0"/>
      <w:divBdr>
        <w:top w:val="none" w:sz="0" w:space="0" w:color="auto"/>
        <w:left w:val="none" w:sz="0" w:space="0" w:color="auto"/>
        <w:bottom w:val="none" w:sz="0" w:space="0" w:color="auto"/>
        <w:right w:val="none" w:sz="0" w:space="0" w:color="auto"/>
      </w:divBdr>
    </w:div>
    <w:div w:id="1336301149">
      <w:bodyDiv w:val="1"/>
      <w:marLeft w:val="0"/>
      <w:marRight w:val="0"/>
      <w:marTop w:val="0"/>
      <w:marBottom w:val="0"/>
      <w:divBdr>
        <w:top w:val="none" w:sz="0" w:space="0" w:color="auto"/>
        <w:left w:val="none" w:sz="0" w:space="0" w:color="auto"/>
        <w:bottom w:val="none" w:sz="0" w:space="0" w:color="auto"/>
        <w:right w:val="none" w:sz="0" w:space="0" w:color="auto"/>
      </w:divBdr>
    </w:div>
    <w:div w:id="1387221591">
      <w:bodyDiv w:val="1"/>
      <w:marLeft w:val="0"/>
      <w:marRight w:val="0"/>
      <w:marTop w:val="0"/>
      <w:marBottom w:val="0"/>
      <w:divBdr>
        <w:top w:val="none" w:sz="0" w:space="0" w:color="auto"/>
        <w:left w:val="none" w:sz="0" w:space="0" w:color="auto"/>
        <w:bottom w:val="none" w:sz="0" w:space="0" w:color="auto"/>
        <w:right w:val="none" w:sz="0" w:space="0" w:color="auto"/>
      </w:divBdr>
    </w:div>
    <w:div w:id="1736663234">
      <w:bodyDiv w:val="1"/>
      <w:marLeft w:val="0"/>
      <w:marRight w:val="0"/>
      <w:marTop w:val="0"/>
      <w:marBottom w:val="0"/>
      <w:divBdr>
        <w:top w:val="none" w:sz="0" w:space="0" w:color="auto"/>
        <w:left w:val="none" w:sz="0" w:space="0" w:color="auto"/>
        <w:bottom w:val="none" w:sz="0" w:space="0" w:color="auto"/>
        <w:right w:val="none" w:sz="0" w:space="0" w:color="auto"/>
      </w:divBdr>
    </w:div>
    <w:div w:id="1774789705">
      <w:bodyDiv w:val="1"/>
      <w:marLeft w:val="0"/>
      <w:marRight w:val="0"/>
      <w:marTop w:val="0"/>
      <w:marBottom w:val="0"/>
      <w:divBdr>
        <w:top w:val="none" w:sz="0" w:space="0" w:color="auto"/>
        <w:left w:val="none" w:sz="0" w:space="0" w:color="auto"/>
        <w:bottom w:val="none" w:sz="0" w:space="0" w:color="auto"/>
        <w:right w:val="none" w:sz="0" w:space="0" w:color="auto"/>
      </w:divBdr>
    </w:div>
    <w:div w:id="1855919015">
      <w:bodyDiv w:val="1"/>
      <w:marLeft w:val="0"/>
      <w:marRight w:val="0"/>
      <w:marTop w:val="0"/>
      <w:marBottom w:val="0"/>
      <w:divBdr>
        <w:top w:val="none" w:sz="0" w:space="0" w:color="auto"/>
        <w:left w:val="none" w:sz="0" w:space="0" w:color="auto"/>
        <w:bottom w:val="none" w:sz="0" w:space="0" w:color="auto"/>
        <w:right w:val="none" w:sz="0" w:space="0" w:color="auto"/>
      </w:divBdr>
    </w:div>
    <w:div w:id="2041004496">
      <w:bodyDiv w:val="1"/>
      <w:marLeft w:val="0"/>
      <w:marRight w:val="0"/>
      <w:marTop w:val="0"/>
      <w:marBottom w:val="0"/>
      <w:divBdr>
        <w:top w:val="none" w:sz="0" w:space="0" w:color="auto"/>
        <w:left w:val="none" w:sz="0" w:space="0" w:color="auto"/>
        <w:bottom w:val="none" w:sz="0" w:space="0" w:color="auto"/>
        <w:right w:val="none" w:sz="0" w:space="0" w:color="auto"/>
      </w:divBdr>
    </w:div>
    <w:div w:id="2082242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researchuk.org/about-cancer/kidney-cancer/stages-types-grades/types-grades" TargetMode="External"/><Relationship Id="rId18" Type="http://schemas.openxmlformats.org/officeDocument/2006/relationships/hyperlink" Target="https://www.cancerresearchuk.org/about-cancer/kidney-cancer/stages-types-grades/types-grad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ejm.org/doi/full/10.1056/NEJMoa1712126" TargetMode="External"/><Relationship Id="rId7" Type="http://schemas.openxmlformats.org/officeDocument/2006/relationships/settings" Target="settings.xml"/><Relationship Id="rId12" Type="http://schemas.openxmlformats.org/officeDocument/2006/relationships/hyperlink" Target="https://digital.nhs.uk/data-and-information/publications/statistical/cancer-registration-statistics/england-2019" TargetMode="External"/><Relationship Id="rId17" Type="http://schemas.openxmlformats.org/officeDocument/2006/relationships/hyperlink" Target="https://digital.nhs.uk/data-and-information/publications/statistical/cancer-registration-statistics/england-2019" TargetMode="External"/><Relationship Id="rId25" Type="http://schemas.openxmlformats.org/officeDocument/2006/relationships/hyperlink" Target="https://www.nice.org.uk/terms-and-conditions" TargetMode="External"/><Relationship Id="rId2" Type="http://schemas.openxmlformats.org/officeDocument/2006/relationships/customXml" Target="../customXml/item2.xml"/><Relationship Id="rId16" Type="http://schemas.openxmlformats.org/officeDocument/2006/relationships/hyperlink" Target="https://www.nejm.org/doi/full/10.1056/NEJMoa1712126" TargetMode="External"/><Relationship Id="rId20" Type="http://schemas.openxmlformats.org/officeDocument/2006/relationships/hyperlink" Target="https://www.kcuk.org.uk/kidneycancer/what-is-kidney-canc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ice.org.uk/terms-and-conditions" TargetMode="External"/><Relationship Id="rId5" Type="http://schemas.openxmlformats.org/officeDocument/2006/relationships/numbering" Target="numbering.xml"/><Relationship Id="rId15" Type="http://schemas.openxmlformats.org/officeDocument/2006/relationships/hyperlink" Target="https://www.kcuk.org.uk/kidneycancer/what-is-kidney-cancer/" TargetMode="External"/><Relationship Id="rId23" Type="http://schemas.openxmlformats.org/officeDocument/2006/relationships/hyperlink" Target="https://www.nice.org.uk/guidance/ta96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gital.nhs.uk/ndrs/data/data-outputs/cancer-data-hub/cancer-stage-at-diagnos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ndrs/data/data-outputs/cancer-data-hub/cancer-stage-at-diagnosis" TargetMode="External"/><Relationship Id="rId22" Type="http://schemas.openxmlformats.org/officeDocument/2006/relationships/hyperlink" Target="https://www.england.nhs.uk/publication/2023-25-nhs-payment-schem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9456BF0FC3654992BB01F701E3BF13" ma:contentTypeVersion="16" ma:contentTypeDescription="Create a new document." ma:contentTypeScope="" ma:versionID="9c122098d4e003b4384c4da8d0c27443">
  <xsd:schema xmlns:xsd="http://www.w3.org/2001/XMLSchema" xmlns:xs="http://www.w3.org/2001/XMLSchema" xmlns:p="http://schemas.microsoft.com/office/2006/metadata/properties" xmlns:ns2="acaf4567-dc07-471f-892c-2bcb86ef35ae" xmlns:ns3="c1f338ac-e338-414f-952c-f74dcc6d59e1" xmlns:ns4="0eb656aa-4e79-4e95-9076-bc119a23e0cc" targetNamespace="http://schemas.microsoft.com/office/2006/metadata/properties" ma:root="true" ma:fieldsID="d886e9f0196ab673da6bef6c2dfa2844" ns2:_="" ns3:_="" ns4:_="">
    <xsd:import namespace="acaf4567-dc07-471f-892c-2bcb86ef35ae"/>
    <xsd:import namespace="c1f338ac-e338-414f-952c-f74dcc6d59e1"/>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geb11f8ce9d940728585fae6d5409a45" minOccurs="0"/>
                <xsd:element ref="ns4:TaxCatchAll"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f4567-dc07-471f-892c-2bcb86ef3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geb11f8ce9d940728585fae6d5409a45" ma:index="18" nillable="true" ma:taxonomy="true" ma:internalName="geb11f8ce9d940728585fae6d5409a45" ma:taxonomyFieldName="Display_x0020_Status" ma:displayName="Display Status" ma:default="" ma:fieldId="{0eb11f8c-e9d9-4072-8585-fae6d5409a45}" ma:taxonomyMulti="true" ma:sspId="9abb4586-6e39-4769-a9e9-e64cee0e77fc" ma:termSetId="a3edbbf6-09fc-44dd-a9a2-ad1f41badab5" ma:anchorId="00000000-0000-0000-0000-000000000000" ma:open="fals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f338ac-e338-414f-952c-f74dcc6d59e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e1930f-003b-4c79-bb18-414e791589f1}" ma:internalName="TaxCatchAll" ma:showField="CatchAllData" ma:web="c1f338ac-e338-414f-952c-f74dcc6d5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b11f8ce9d940728585fae6d5409a45 xmlns="acaf4567-dc07-471f-892c-2bcb86ef35ae">
      <Terms xmlns="http://schemas.microsoft.com/office/infopath/2007/PartnerControls"/>
    </geb11f8ce9d940728585fae6d5409a45>
    <TaxCatchAll xmlns="0eb656aa-4e79-4e95-9076-bc119a23e0cc" xsi:nil="true"/>
    <lcf76f155ced4ddcb4097134ff3c332f xmlns="acaf4567-dc07-471f-892c-2bcb86ef35a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FD8E7-FF9C-4E94-B63F-DA42CFD76351}">
  <ds:schemaRefs>
    <ds:schemaRef ds:uri="http://schemas.openxmlformats.org/officeDocument/2006/bibliography"/>
  </ds:schemaRefs>
</ds:datastoreItem>
</file>

<file path=customXml/itemProps2.xml><?xml version="1.0" encoding="utf-8"?>
<ds:datastoreItem xmlns:ds="http://schemas.openxmlformats.org/officeDocument/2006/customXml" ds:itemID="{02AE3F4F-909A-40D2-9D47-A936E4F29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f4567-dc07-471f-892c-2bcb86ef35ae"/>
    <ds:schemaRef ds:uri="c1f338ac-e338-414f-952c-f74dcc6d59e1"/>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DFC01-C3B5-4158-8F4D-7D8BE425F437}">
  <ds:schemaRefs>
    <ds:schemaRef ds:uri="acaf4567-dc07-471f-892c-2bcb86ef35ae"/>
    <ds:schemaRef ds:uri="http://purl.org/dc/terms/"/>
    <ds:schemaRef ds:uri="http://schemas.microsoft.com/office/infopath/2007/PartnerControls"/>
    <ds:schemaRef ds:uri="http://schemas.openxmlformats.org/package/2006/metadata/core-properties"/>
    <ds:schemaRef ds:uri="0eb656aa-4e79-4e95-9076-bc119a23e0cc"/>
    <ds:schemaRef ds:uri="http://schemas.microsoft.com/office/2006/metadata/properties"/>
    <ds:schemaRef ds:uri="http://schemas.microsoft.com/office/2006/documentManagement/types"/>
    <ds:schemaRef ds:uri="c1f338ac-e338-414f-952c-f74dcc6d59e1"/>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186EF9AA-075D-4A7D-B6C2-CD9E45258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8613</CharactersWithSpaces>
  <SharedDoc>false</SharedDoc>
  <HLinks>
    <vt:vector size="84" baseType="variant">
      <vt:variant>
        <vt:i4>1245255</vt:i4>
      </vt:variant>
      <vt:variant>
        <vt:i4>39</vt:i4>
      </vt:variant>
      <vt:variant>
        <vt:i4>0</vt:i4>
      </vt:variant>
      <vt:variant>
        <vt:i4>5</vt:i4>
      </vt:variant>
      <vt:variant>
        <vt:lpwstr>https://www.nice.org.uk/terms-and-conditions</vt:lpwstr>
      </vt:variant>
      <vt:variant>
        <vt:lpwstr/>
      </vt:variant>
      <vt:variant>
        <vt:i4>2883704</vt:i4>
      </vt:variant>
      <vt:variant>
        <vt:i4>36</vt:i4>
      </vt:variant>
      <vt:variant>
        <vt:i4>0</vt:i4>
      </vt:variant>
      <vt:variant>
        <vt:i4>5</vt:i4>
      </vt:variant>
      <vt:variant>
        <vt:lpwstr>http://www.nice.org.uk/terms-and-conditions</vt:lpwstr>
      </vt:variant>
      <vt:variant>
        <vt:lpwstr/>
      </vt:variant>
      <vt:variant>
        <vt:i4>3473531</vt:i4>
      </vt:variant>
      <vt:variant>
        <vt:i4>33</vt:i4>
      </vt:variant>
      <vt:variant>
        <vt:i4>0</vt:i4>
      </vt:variant>
      <vt:variant>
        <vt:i4>5</vt:i4>
      </vt:variant>
      <vt:variant>
        <vt:lpwstr>https://www.nice.org.uk/guidance/indevelopment/gid-ta11158</vt:lpwstr>
      </vt:variant>
      <vt:variant>
        <vt:lpwstr/>
      </vt:variant>
      <vt:variant>
        <vt:i4>8257595</vt:i4>
      </vt:variant>
      <vt:variant>
        <vt:i4>30</vt:i4>
      </vt:variant>
      <vt:variant>
        <vt:i4>0</vt:i4>
      </vt:variant>
      <vt:variant>
        <vt:i4>5</vt:i4>
      </vt:variant>
      <vt:variant>
        <vt:lpwstr>https://www.england.nhs.uk/publication/2023-25-nhs-payment-scheme/</vt:lpwstr>
      </vt:variant>
      <vt:variant>
        <vt:lpwstr/>
      </vt:variant>
      <vt:variant>
        <vt:i4>2424877</vt:i4>
      </vt:variant>
      <vt:variant>
        <vt:i4>27</vt:i4>
      </vt:variant>
      <vt:variant>
        <vt:i4>0</vt:i4>
      </vt:variant>
      <vt:variant>
        <vt:i4>5</vt:i4>
      </vt:variant>
      <vt:variant>
        <vt:lpwstr>https://www.nejm.org/doi/full/10.1056/NEJMoa1712126</vt:lpwstr>
      </vt:variant>
      <vt:variant>
        <vt:lpwstr/>
      </vt:variant>
      <vt:variant>
        <vt:i4>6488100</vt:i4>
      </vt:variant>
      <vt:variant>
        <vt:i4>24</vt:i4>
      </vt:variant>
      <vt:variant>
        <vt:i4>0</vt:i4>
      </vt:variant>
      <vt:variant>
        <vt:i4>5</vt:i4>
      </vt:variant>
      <vt:variant>
        <vt:lpwstr>https://www.kcuk.org.uk/kidneycancer/what-is-kidney-cancer/</vt:lpwstr>
      </vt:variant>
      <vt:variant>
        <vt:lpwstr/>
      </vt:variant>
      <vt:variant>
        <vt:i4>3145760</vt:i4>
      </vt:variant>
      <vt:variant>
        <vt:i4>21</vt:i4>
      </vt:variant>
      <vt:variant>
        <vt:i4>0</vt:i4>
      </vt:variant>
      <vt:variant>
        <vt:i4>5</vt:i4>
      </vt:variant>
      <vt:variant>
        <vt:lpwstr>http://www.ncin.org.uk/publications/survival_by_stage</vt:lpwstr>
      </vt:variant>
      <vt:variant>
        <vt:lpwstr/>
      </vt:variant>
      <vt:variant>
        <vt:i4>4849738</vt:i4>
      </vt:variant>
      <vt:variant>
        <vt:i4>18</vt:i4>
      </vt:variant>
      <vt:variant>
        <vt:i4>0</vt:i4>
      </vt:variant>
      <vt:variant>
        <vt:i4>5</vt:i4>
      </vt:variant>
      <vt:variant>
        <vt:lpwstr>https://www.cancerresearchuk.org/about-cancer/kidney-cancer/stages-types-grades/types-grades</vt:lpwstr>
      </vt:variant>
      <vt:variant>
        <vt:lpwstr/>
      </vt:variant>
      <vt:variant>
        <vt:i4>1507419</vt:i4>
      </vt:variant>
      <vt:variant>
        <vt:i4>15</vt:i4>
      </vt:variant>
      <vt:variant>
        <vt:i4>0</vt:i4>
      </vt:variant>
      <vt:variant>
        <vt:i4>5</vt:i4>
      </vt:variant>
      <vt:variant>
        <vt:lpwstr>https://digital.nhs.uk/data-and-information/publications/statistical/cancer-registration-statistics/england-2019</vt:lpwstr>
      </vt:variant>
      <vt:variant>
        <vt:lpwstr/>
      </vt:variant>
      <vt:variant>
        <vt:i4>2424877</vt:i4>
      </vt:variant>
      <vt:variant>
        <vt:i4>12</vt:i4>
      </vt:variant>
      <vt:variant>
        <vt:i4>0</vt:i4>
      </vt:variant>
      <vt:variant>
        <vt:i4>5</vt:i4>
      </vt:variant>
      <vt:variant>
        <vt:lpwstr>https://www.nejm.org/doi/full/10.1056/NEJMoa1712126</vt:lpwstr>
      </vt:variant>
      <vt:variant>
        <vt:lpwstr/>
      </vt:variant>
      <vt:variant>
        <vt:i4>6488100</vt:i4>
      </vt:variant>
      <vt:variant>
        <vt:i4>9</vt:i4>
      </vt:variant>
      <vt:variant>
        <vt:i4>0</vt:i4>
      </vt:variant>
      <vt:variant>
        <vt:i4>5</vt:i4>
      </vt:variant>
      <vt:variant>
        <vt:lpwstr>https://www.kcuk.org.uk/kidneycancer/what-is-kidney-cancer/</vt:lpwstr>
      </vt:variant>
      <vt:variant>
        <vt:lpwstr/>
      </vt:variant>
      <vt:variant>
        <vt:i4>2883706</vt:i4>
      </vt:variant>
      <vt:variant>
        <vt:i4>6</vt:i4>
      </vt:variant>
      <vt:variant>
        <vt:i4>0</vt:i4>
      </vt:variant>
      <vt:variant>
        <vt:i4>5</vt:i4>
      </vt:variant>
      <vt:variant>
        <vt:lpwstr>https://www.cancerdata.nhs.uk/stage_at_diagnosis</vt:lpwstr>
      </vt:variant>
      <vt:variant>
        <vt:lpwstr/>
      </vt:variant>
      <vt:variant>
        <vt:i4>4849738</vt:i4>
      </vt:variant>
      <vt:variant>
        <vt:i4>3</vt:i4>
      </vt:variant>
      <vt:variant>
        <vt:i4>0</vt:i4>
      </vt:variant>
      <vt:variant>
        <vt:i4>5</vt:i4>
      </vt:variant>
      <vt:variant>
        <vt:lpwstr>https://www.cancerresearchuk.org/about-cancer/kidney-cancer/stages-types-grades/types-grades</vt:lpwstr>
      </vt:variant>
      <vt:variant>
        <vt:lpwstr/>
      </vt:variant>
      <vt:variant>
        <vt:i4>1507419</vt:i4>
      </vt:variant>
      <vt:variant>
        <vt:i4>0</vt:i4>
      </vt:variant>
      <vt:variant>
        <vt:i4>0</vt:i4>
      </vt:variant>
      <vt:variant>
        <vt:i4>5</vt:i4>
      </vt:variant>
      <vt:variant>
        <vt:lpwstr>https://digital.nhs.uk/data-and-information/publications/statistical/cancer-registration-statistics/england-2019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Maxine Adrian-Fleet</dc:creator>
  <cp:keywords/>
  <dc:description/>
  <cp:lastModifiedBy>Sarah Bromley</cp:lastModifiedBy>
  <cp:revision>2</cp:revision>
  <cp:lastPrinted>2022-01-19T13:14:00Z</cp:lastPrinted>
  <dcterms:created xsi:type="dcterms:W3CDTF">2024-04-29T08:51:00Z</dcterms:created>
  <dcterms:modified xsi:type="dcterms:W3CDTF">2024-04-29T08:51:00Z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2023-03-17T12:10:05Z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e6b3a1df-7e11-452e-9bde-c1a8e39f254f</vt:lpwstr>
  </property>
  <property fmtid="{D5CDD505-2E9C-101B-9397-08002B2CF9AE}" pid="8" name="MSIP_Label_c69d85d5-6d9e-4305-a294-1f636ec0f2d6_ContentBits">
    <vt:lpwstr>0</vt:lpwstr>
  </property>
  <property fmtid="{D5CDD505-2E9C-101B-9397-08002B2CF9AE}" pid="9" name="ContentTypeId">
    <vt:lpwstr>0x010100B99456BF0FC3654992BB01F701E3BF13</vt:lpwstr>
  </property>
  <property fmtid="{D5CDD505-2E9C-101B-9397-08002B2CF9AE}" pid="10" name="Display Status">
    <vt:lpwstr/>
  </property>
</Properties>
</file>