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228DD4BA" w:rsidR="00593F3D" w:rsidRPr="00670D04" w:rsidRDefault="00593F3D" w:rsidP="00593F3D">
      <w:pPr>
        <w:rPr>
          <w:rStyle w:val="Hyperlink"/>
          <w:rFonts w:ascii="Arial" w:hAnsi="Arial" w:cs="Arial"/>
          <w:color w:val="0D0D0D" w:themeColor="text1" w:themeTint="F2"/>
          <w:sz w:val="20"/>
          <w:szCs w:val="20"/>
          <w:u w:val="none"/>
        </w:rPr>
      </w:pPr>
      <w:r w:rsidRPr="00670D04">
        <w:rPr>
          <w:rFonts w:ascii="Arial" w:hAnsi="Arial" w:cs="Arial"/>
          <w:color w:val="0D0D0D" w:themeColor="text1" w:themeTint="F2"/>
          <w:sz w:val="20"/>
          <w:szCs w:val="20"/>
        </w:rPr>
        <w:t xml:space="preserve">Sent by e-mail only: </w:t>
      </w:r>
      <w:proofErr w:type="spellStart"/>
      <w:r w:rsidR="004559B6" w:rsidRPr="004559B6">
        <w:rPr>
          <w:rFonts w:ascii="Arial" w:hAnsi="Arial" w:cs="Arial"/>
          <w:sz w:val="20"/>
          <w:szCs w:val="20"/>
          <w:highlight w:val="black"/>
        </w:rPr>
        <w:t>xxxxxxxxxxxxxxxxxxxxxxx</w:t>
      </w:r>
      <w:proofErr w:type="spellEnd"/>
      <w:r w:rsidR="00B972EB">
        <w:rPr>
          <w:rFonts w:ascii="Arial" w:hAnsi="Arial" w:cs="Arial"/>
          <w:color w:val="0D0D0D" w:themeColor="text1" w:themeTint="F2"/>
          <w:sz w:val="20"/>
          <w:szCs w:val="20"/>
        </w:rPr>
        <w:t xml:space="preserve"> </w:t>
      </w:r>
    </w:p>
    <w:p w14:paraId="4EFD41C8" w14:textId="1947E64F" w:rsidR="00043525" w:rsidRPr="00670D04" w:rsidRDefault="00043525" w:rsidP="00043525">
      <w:pPr>
        <w:rPr>
          <w:rFonts w:ascii="Arial" w:hAnsi="Arial" w:cs="Arial"/>
          <w:color w:val="0D0D0D" w:themeColor="text1" w:themeTint="F2"/>
          <w:sz w:val="20"/>
          <w:szCs w:val="20"/>
        </w:rPr>
      </w:pPr>
      <w:r w:rsidRPr="00670D04">
        <w:rPr>
          <w:rFonts w:ascii="Arial" w:hAnsi="Arial" w:cs="Arial"/>
          <w:color w:val="0D0D0D" w:themeColor="text1" w:themeTint="F2"/>
          <w:sz w:val="20"/>
          <w:szCs w:val="20"/>
        </w:rPr>
        <w:t xml:space="preserve">FAO </w:t>
      </w:r>
      <w:proofErr w:type="spellStart"/>
      <w:r w:rsidR="004559B6" w:rsidRPr="004559B6">
        <w:rPr>
          <w:rFonts w:ascii="Arial" w:hAnsi="Arial" w:cs="Arial"/>
          <w:color w:val="0D0D0D" w:themeColor="text1" w:themeTint="F2"/>
          <w:sz w:val="20"/>
          <w:szCs w:val="20"/>
          <w:highlight w:val="black"/>
        </w:rPr>
        <w:t>xxxxxxxxxxxxxx</w:t>
      </w:r>
      <w:proofErr w:type="spellEnd"/>
      <w:r w:rsidRPr="00670D04">
        <w:rPr>
          <w:rFonts w:ascii="Arial" w:hAnsi="Arial" w:cs="Arial"/>
          <w:color w:val="0D0D0D" w:themeColor="text1" w:themeTint="F2"/>
          <w:sz w:val="20"/>
          <w:szCs w:val="20"/>
        </w:rPr>
        <w:t>, Executive Director</w:t>
      </w:r>
    </w:p>
    <w:p w14:paraId="64D171E4" w14:textId="77777777" w:rsidR="00043525" w:rsidRPr="00670D04" w:rsidRDefault="00043525" w:rsidP="00043525">
      <w:pPr>
        <w:rPr>
          <w:rFonts w:ascii="Arial" w:hAnsi="Arial" w:cs="Arial"/>
          <w:color w:val="0D0D0D" w:themeColor="text1" w:themeTint="F2"/>
          <w:sz w:val="20"/>
          <w:szCs w:val="20"/>
        </w:rPr>
      </w:pPr>
      <w:r w:rsidRPr="00670D04">
        <w:rPr>
          <w:rFonts w:ascii="Arial" w:hAnsi="Arial" w:cs="Arial"/>
          <w:color w:val="0D0D0D" w:themeColor="text1" w:themeTint="F2"/>
          <w:sz w:val="20"/>
          <w:szCs w:val="20"/>
        </w:rPr>
        <w:t>Gilead Sciences Ltd</w:t>
      </w:r>
    </w:p>
    <w:p w14:paraId="799D8680" w14:textId="520B28AB" w:rsidR="00F24B1D" w:rsidRPr="00670D04" w:rsidRDefault="00043525" w:rsidP="00043525">
      <w:pPr>
        <w:rPr>
          <w:rFonts w:ascii="Arial" w:hAnsi="Arial" w:cs="Arial"/>
          <w:color w:val="0D0D0D" w:themeColor="text1" w:themeTint="F2"/>
          <w:sz w:val="20"/>
          <w:szCs w:val="20"/>
        </w:rPr>
      </w:pPr>
      <w:r w:rsidRPr="00670D04">
        <w:rPr>
          <w:rFonts w:ascii="Arial" w:hAnsi="Arial" w:cs="Arial"/>
          <w:color w:val="0D0D0D" w:themeColor="text1" w:themeTint="F2"/>
          <w:sz w:val="20"/>
          <w:szCs w:val="20"/>
        </w:rPr>
        <w:t>280 High Holborn, London WC1V 7EE</w:t>
      </w:r>
    </w:p>
    <w:p w14:paraId="1F256B99" w14:textId="77777777" w:rsidR="00F24B1D" w:rsidRPr="00670D04" w:rsidRDefault="00F24B1D">
      <w:pPr>
        <w:rPr>
          <w:rFonts w:ascii="Arial" w:hAnsi="Arial" w:cs="Arial"/>
          <w:color w:val="0D0D0D" w:themeColor="text1" w:themeTint="F2"/>
          <w:sz w:val="20"/>
          <w:szCs w:val="20"/>
        </w:rPr>
      </w:pPr>
    </w:p>
    <w:p w14:paraId="04E6623B" w14:textId="05A51BC3" w:rsidR="00B737D4" w:rsidRPr="00670D04" w:rsidRDefault="00B972EB" w:rsidP="00B737D4">
      <w:pPr>
        <w:rPr>
          <w:rFonts w:ascii="Arial" w:hAnsi="Arial" w:cs="Arial"/>
          <w:color w:val="0D0D0D" w:themeColor="text1" w:themeTint="F2"/>
          <w:sz w:val="20"/>
          <w:szCs w:val="20"/>
        </w:rPr>
      </w:pPr>
      <w:r>
        <w:rPr>
          <w:rFonts w:ascii="Arial" w:hAnsi="Arial" w:cs="Arial"/>
          <w:color w:val="0D0D0D" w:themeColor="text1" w:themeTint="F2"/>
          <w:sz w:val="20"/>
          <w:szCs w:val="20"/>
        </w:rPr>
        <w:t>4 April 2023</w:t>
      </w:r>
    </w:p>
    <w:p w14:paraId="15532A62" w14:textId="77777777" w:rsidR="00B737D4" w:rsidRPr="00670D04" w:rsidRDefault="00B737D4" w:rsidP="00B737D4">
      <w:pPr>
        <w:rPr>
          <w:rStyle w:val="Hyperlink"/>
          <w:rFonts w:ascii="Arial" w:hAnsi="Arial" w:cs="Arial"/>
          <w:color w:val="0D0D0D" w:themeColor="text1" w:themeTint="F2"/>
          <w:sz w:val="20"/>
          <w:szCs w:val="20"/>
        </w:rPr>
      </w:pPr>
    </w:p>
    <w:p w14:paraId="420E97EF" w14:textId="7BDE8B67" w:rsidR="00043525" w:rsidRPr="00670D04" w:rsidRDefault="00043525" w:rsidP="00043525">
      <w:pPr>
        <w:spacing w:before="240" w:after="240"/>
        <w:jc w:val="both"/>
        <w:rPr>
          <w:rFonts w:ascii="Arial" w:hAnsi="Arial" w:cs="Arial"/>
          <w:color w:val="0D0D0D" w:themeColor="text1" w:themeTint="F2"/>
          <w:sz w:val="20"/>
          <w:szCs w:val="20"/>
        </w:rPr>
      </w:pPr>
      <w:r w:rsidRPr="00670D04">
        <w:rPr>
          <w:rFonts w:ascii="Arial" w:hAnsi="Arial" w:cs="Arial"/>
          <w:color w:val="0D0D0D" w:themeColor="text1" w:themeTint="F2"/>
          <w:sz w:val="20"/>
          <w:szCs w:val="20"/>
        </w:rPr>
        <w:t xml:space="preserve">Dear </w:t>
      </w:r>
      <w:proofErr w:type="spellStart"/>
      <w:r w:rsidR="004559B6" w:rsidRPr="004559B6">
        <w:rPr>
          <w:rFonts w:ascii="Arial" w:hAnsi="Arial" w:cs="Arial"/>
          <w:color w:val="0D0D0D" w:themeColor="text1" w:themeTint="F2"/>
          <w:sz w:val="20"/>
          <w:szCs w:val="20"/>
          <w:highlight w:val="black"/>
        </w:rPr>
        <w:t>xxxxxxxxxxxxx</w:t>
      </w:r>
      <w:proofErr w:type="spellEnd"/>
    </w:p>
    <w:p w14:paraId="499ABA5E" w14:textId="765D6E32" w:rsidR="00043525" w:rsidRPr="00670D04" w:rsidRDefault="00043525" w:rsidP="00043525">
      <w:pPr>
        <w:spacing w:before="240" w:after="240"/>
        <w:jc w:val="both"/>
        <w:rPr>
          <w:rFonts w:ascii="Arial" w:hAnsi="Arial" w:cs="Arial"/>
          <w:b/>
          <w:bCs/>
          <w:color w:val="0D0D0D" w:themeColor="text1" w:themeTint="F2"/>
          <w:sz w:val="20"/>
          <w:szCs w:val="20"/>
        </w:rPr>
      </w:pPr>
      <w:r w:rsidRPr="00670D04">
        <w:rPr>
          <w:rFonts w:ascii="Arial" w:hAnsi="Arial" w:cs="Arial"/>
          <w:b/>
          <w:bCs/>
          <w:color w:val="0D0D0D" w:themeColor="text1" w:themeTint="F2"/>
          <w:sz w:val="20"/>
          <w:szCs w:val="20"/>
        </w:rPr>
        <w:t>Re: Final Draft Guidance — Therapeutics for people with COVID-19 [ID4038]</w:t>
      </w:r>
      <w:r w:rsidR="00705A47" w:rsidRPr="00670D04">
        <w:rPr>
          <w:rFonts w:ascii="Arial" w:hAnsi="Arial" w:cs="Arial"/>
          <w:b/>
          <w:bCs/>
          <w:sz w:val="20"/>
          <w:szCs w:val="20"/>
        </w:rPr>
        <w:t xml:space="preserve"> [now </w:t>
      </w:r>
      <w:hyperlink r:id="rId8" w:history="1">
        <w:r w:rsidR="00705A47" w:rsidRPr="00670D04">
          <w:rPr>
            <w:rStyle w:val="Hyperlink"/>
            <w:rFonts w:ascii="Arial" w:hAnsi="Arial" w:cs="Arial"/>
            <w:b/>
            <w:bCs/>
            <w:sz w:val="20"/>
            <w:szCs w:val="20"/>
          </w:rPr>
          <w:t>ID6261</w:t>
        </w:r>
      </w:hyperlink>
      <w:r w:rsidR="00705A47" w:rsidRPr="00670D04">
        <w:rPr>
          <w:rFonts w:ascii="Arial" w:hAnsi="Arial" w:cs="Arial"/>
          <w:b/>
          <w:bCs/>
          <w:sz w:val="20"/>
          <w:szCs w:val="20"/>
        </w:rPr>
        <w:t>]</w:t>
      </w:r>
    </w:p>
    <w:p w14:paraId="645F333C" w14:textId="6B081DAF" w:rsidR="00DB178D" w:rsidRPr="00670D04" w:rsidRDefault="00DB178D" w:rsidP="00043525">
      <w:pPr>
        <w:spacing w:before="24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 xml:space="preserve">Thank you for your letter of </w:t>
      </w:r>
      <w:r w:rsidR="00567BEB" w:rsidRPr="00670D04">
        <w:rPr>
          <w:rFonts w:ascii="Arial" w:eastAsia="Times New Roman" w:hAnsi="Arial" w:cs="Arial"/>
          <w:color w:val="0D0D0D" w:themeColor="text1" w:themeTint="F2"/>
          <w:sz w:val="20"/>
          <w:szCs w:val="20"/>
        </w:rPr>
        <w:t>28 March 2023</w:t>
      </w:r>
      <w:r w:rsidRPr="00670D04">
        <w:rPr>
          <w:rFonts w:ascii="Arial" w:eastAsia="Times New Roman" w:hAnsi="Arial" w:cs="Arial"/>
          <w:color w:val="0D0D0D" w:themeColor="text1" w:themeTint="F2"/>
          <w:sz w:val="20"/>
          <w:szCs w:val="20"/>
        </w:rPr>
        <w:t xml:space="preserve"> responding to my initial scrutiny views.  This is my final decision on initial scrutiny.</w:t>
      </w:r>
    </w:p>
    <w:p w14:paraId="55B1D5E2" w14:textId="32247A45" w:rsidR="00DB178D" w:rsidRPr="00670D04" w:rsidRDefault="00DB178D" w:rsidP="00DB178D">
      <w:pPr>
        <w:spacing w:before="24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 xml:space="preserve">I consider the ground 1(a) points followed by the ground 1(b) </w:t>
      </w:r>
      <w:r w:rsidR="001B0178" w:rsidRPr="00670D04">
        <w:rPr>
          <w:rFonts w:ascii="Arial" w:eastAsia="Times New Roman" w:hAnsi="Arial" w:cs="Arial"/>
          <w:color w:val="0D0D0D" w:themeColor="text1" w:themeTint="F2"/>
          <w:sz w:val="20"/>
          <w:szCs w:val="20"/>
        </w:rPr>
        <w:t xml:space="preserve">point </w:t>
      </w:r>
      <w:r w:rsidRPr="00670D04">
        <w:rPr>
          <w:rFonts w:ascii="Arial" w:eastAsia="Times New Roman" w:hAnsi="Arial" w:cs="Arial"/>
          <w:color w:val="0D0D0D" w:themeColor="text1" w:themeTint="F2"/>
          <w:sz w:val="20"/>
          <w:szCs w:val="20"/>
        </w:rPr>
        <w:t>and then the ground 2 points.</w:t>
      </w:r>
    </w:p>
    <w:p w14:paraId="154A6AA5" w14:textId="77777777" w:rsidR="00DB178D" w:rsidRPr="00670D04" w:rsidRDefault="00DB178D" w:rsidP="00DB178D">
      <w:pPr>
        <w:spacing w:before="240" w:after="240"/>
        <w:jc w:val="both"/>
        <w:rPr>
          <w:rFonts w:ascii="Arial" w:hAnsi="Arial" w:cs="Arial"/>
          <w:b/>
          <w:i/>
          <w:color w:val="0D0D0D" w:themeColor="text1" w:themeTint="F2"/>
          <w:sz w:val="20"/>
          <w:szCs w:val="20"/>
        </w:rPr>
      </w:pPr>
      <w:r w:rsidRPr="00670D04">
        <w:rPr>
          <w:rFonts w:ascii="Arial" w:eastAsia="Times New Roman" w:hAnsi="Arial" w:cs="Arial"/>
          <w:b/>
          <w:bCs/>
          <w:i/>
          <w:iCs/>
          <w:color w:val="0D0D0D" w:themeColor="text1" w:themeTint="F2"/>
          <w:sz w:val="20"/>
          <w:szCs w:val="20"/>
        </w:rPr>
        <w:t>Ground 1(a): In making the assessment that preceded the recommendation, NICE has failed to act fairly</w:t>
      </w:r>
    </w:p>
    <w:p w14:paraId="6DE84E7F" w14:textId="77777777" w:rsidR="00E06DF3" w:rsidRPr="00670D04" w:rsidRDefault="00E06DF3" w:rsidP="00671EF3">
      <w:pPr>
        <w:pStyle w:val="Paragraph"/>
        <w:numPr>
          <w:ilvl w:val="0"/>
          <w:numId w:val="0"/>
        </w:numPr>
        <w:jc w:val="both"/>
        <w:rPr>
          <w:rFonts w:eastAsia="Calibri" w:cs="Arial"/>
          <w:b/>
          <w:color w:val="0D0D0D" w:themeColor="text1" w:themeTint="F2"/>
          <w:sz w:val="20"/>
          <w:szCs w:val="20"/>
          <w:u w:val="single"/>
          <w:lang w:eastAsia="en-US"/>
        </w:rPr>
      </w:pPr>
      <w:r w:rsidRPr="00670D04">
        <w:rPr>
          <w:rFonts w:eastAsia="Calibri" w:cs="Arial"/>
          <w:b/>
          <w:color w:val="0D0D0D" w:themeColor="text1" w:themeTint="F2"/>
          <w:sz w:val="20"/>
          <w:szCs w:val="20"/>
          <w:u w:val="single"/>
          <w:lang w:eastAsia="en-US"/>
        </w:rPr>
        <w:t xml:space="preserve">Appeal point 1(a).3 Cost-effectiveness estimates were not informed by a probabilistic sensitivity analysis without adequate justification and so the Committee failed to sufficiently explore parameter uncertainty </w:t>
      </w:r>
    </w:p>
    <w:p w14:paraId="26102196" w14:textId="3C736649" w:rsidR="00796630" w:rsidRPr="00670D04" w:rsidRDefault="00796630" w:rsidP="00796630">
      <w:pPr>
        <w:spacing w:before="120" w:after="240"/>
        <w:rPr>
          <w:rFonts w:ascii="Arial" w:hAnsi="Arial" w:cs="Arial"/>
          <w:color w:val="0D0D0D" w:themeColor="text1" w:themeTint="F2"/>
          <w:sz w:val="20"/>
          <w:szCs w:val="20"/>
          <w:lang w:eastAsia="en-GB"/>
        </w:rPr>
      </w:pPr>
      <w:bookmarkStart w:id="0" w:name="_Hlk131072750"/>
      <w:r w:rsidRPr="00670D04">
        <w:rPr>
          <w:rFonts w:ascii="Arial" w:eastAsia="Times New Roman" w:hAnsi="Arial" w:cs="Arial"/>
          <w:color w:val="0D0D0D" w:themeColor="text1" w:themeTint="F2"/>
          <w:sz w:val="20"/>
          <w:szCs w:val="20"/>
          <w:lang w:eastAsia="en-GB"/>
        </w:rPr>
        <w:t xml:space="preserve">Having considered the additional arguments made in your letter of </w:t>
      </w:r>
      <w:r w:rsidR="00AE0B5E" w:rsidRPr="00670D04">
        <w:rPr>
          <w:rFonts w:ascii="Arial" w:eastAsia="Times New Roman" w:hAnsi="Arial" w:cs="Arial"/>
          <w:color w:val="0D0D0D" w:themeColor="text1" w:themeTint="F2"/>
          <w:sz w:val="20"/>
          <w:szCs w:val="20"/>
          <w:lang w:eastAsia="en-GB"/>
        </w:rPr>
        <w:t>27 March 2023</w:t>
      </w:r>
      <w:r w:rsidRPr="00670D04">
        <w:rPr>
          <w:rFonts w:ascii="Arial" w:eastAsia="Times New Roman" w:hAnsi="Arial" w:cs="Arial"/>
          <w:color w:val="0D0D0D" w:themeColor="text1" w:themeTint="F2"/>
          <w:sz w:val="20"/>
          <w:szCs w:val="20"/>
          <w:lang w:eastAsia="en-GB"/>
        </w:rPr>
        <w:t>, I agree that this is a valid appeal point.</w:t>
      </w:r>
      <w:r w:rsidR="00AE0B5E" w:rsidRPr="00670D04">
        <w:rPr>
          <w:rFonts w:ascii="Arial" w:eastAsia="Times New Roman" w:hAnsi="Arial" w:cs="Arial"/>
          <w:color w:val="0D0D0D" w:themeColor="text1" w:themeTint="F2"/>
          <w:sz w:val="20"/>
          <w:szCs w:val="20"/>
          <w:lang w:eastAsia="en-GB"/>
        </w:rPr>
        <w:t xml:space="preserve">  </w:t>
      </w:r>
    </w:p>
    <w:bookmarkEnd w:id="0"/>
    <w:p w14:paraId="47DE8CF0" w14:textId="0FA529D2" w:rsidR="00E06DF3" w:rsidRPr="00670D04" w:rsidRDefault="00E06DF3" w:rsidP="00671EF3">
      <w:pPr>
        <w:spacing w:before="240" w:after="240"/>
        <w:jc w:val="both"/>
        <w:rPr>
          <w:rFonts w:ascii="Arial" w:hAnsi="Arial" w:cs="Arial"/>
          <w:b/>
          <w:bCs/>
          <w:color w:val="0D0D0D" w:themeColor="text1" w:themeTint="F2"/>
          <w:sz w:val="20"/>
          <w:szCs w:val="20"/>
          <w:u w:val="single"/>
        </w:rPr>
      </w:pPr>
      <w:r w:rsidRPr="00670D04">
        <w:rPr>
          <w:rFonts w:ascii="Arial" w:hAnsi="Arial" w:cs="Arial"/>
          <w:b/>
          <w:bCs/>
          <w:color w:val="0D0D0D" w:themeColor="text1" w:themeTint="F2"/>
          <w:sz w:val="20"/>
          <w:szCs w:val="20"/>
          <w:u w:val="single"/>
        </w:rPr>
        <w:t>Appeal point 1(a).4 The Committee did not consider the cost-effectiveness for remdesivir for severe COVID-19 and so denied Gilead the opportunity to discuss commercial agreements that would mitigate or resolve the uncertainty around the ICERs</w:t>
      </w:r>
    </w:p>
    <w:p w14:paraId="4E422213" w14:textId="77F785C3" w:rsidR="00E06DF3" w:rsidRPr="00670D04" w:rsidRDefault="00E06DF3" w:rsidP="00671EF3">
      <w:pPr>
        <w:spacing w:before="240" w:after="240"/>
        <w:jc w:val="both"/>
        <w:rPr>
          <w:rFonts w:ascii="Arial" w:hAnsi="Arial" w:cs="Arial"/>
          <w:color w:val="0D0D0D" w:themeColor="text1" w:themeTint="F2"/>
          <w:sz w:val="20"/>
          <w:szCs w:val="20"/>
        </w:rPr>
      </w:pPr>
      <w:r w:rsidRPr="00670D04">
        <w:rPr>
          <w:rFonts w:ascii="Arial" w:hAnsi="Arial" w:cs="Arial"/>
          <w:color w:val="0D0D0D" w:themeColor="text1" w:themeTint="F2"/>
          <w:sz w:val="20"/>
          <w:szCs w:val="20"/>
        </w:rPr>
        <w:t xml:space="preserve">Thank you for confirming that while Gilead do not agree with my </w:t>
      </w:r>
      <w:r w:rsidR="008326BB" w:rsidRPr="00670D04">
        <w:rPr>
          <w:rFonts w:ascii="Arial" w:hAnsi="Arial" w:cs="Arial"/>
          <w:color w:val="0D0D0D" w:themeColor="text1" w:themeTint="F2"/>
          <w:sz w:val="20"/>
          <w:szCs w:val="20"/>
        </w:rPr>
        <w:t>initial view regarding appeal point 1(a).4</w:t>
      </w:r>
      <w:r w:rsidRPr="00670D04">
        <w:rPr>
          <w:rFonts w:ascii="Arial" w:hAnsi="Arial" w:cs="Arial"/>
          <w:color w:val="0D0D0D" w:themeColor="text1" w:themeTint="F2"/>
          <w:sz w:val="20"/>
          <w:szCs w:val="20"/>
        </w:rPr>
        <w:t>, you do not propose to challenge this.</w:t>
      </w:r>
      <w:r w:rsidR="001B0178" w:rsidRPr="00670D04">
        <w:rPr>
          <w:rFonts w:ascii="Arial" w:hAnsi="Arial" w:cs="Arial"/>
          <w:color w:val="0D0D0D" w:themeColor="text1" w:themeTint="F2"/>
          <w:sz w:val="20"/>
          <w:szCs w:val="20"/>
        </w:rPr>
        <w:t xml:space="preserve">  I confirm my initial view.</w:t>
      </w:r>
    </w:p>
    <w:p w14:paraId="0336DA1F" w14:textId="6FB31C59" w:rsidR="008326BB" w:rsidRPr="00670D04" w:rsidRDefault="008326BB" w:rsidP="00671EF3">
      <w:pPr>
        <w:spacing w:before="240" w:after="240"/>
        <w:jc w:val="both"/>
        <w:rPr>
          <w:rFonts w:ascii="Arial" w:hAnsi="Arial" w:cs="Arial"/>
          <w:b/>
          <w:bCs/>
          <w:color w:val="0D0D0D" w:themeColor="text1" w:themeTint="F2"/>
          <w:sz w:val="20"/>
          <w:szCs w:val="20"/>
          <w:u w:val="single"/>
        </w:rPr>
      </w:pPr>
      <w:r w:rsidRPr="00670D04">
        <w:rPr>
          <w:rFonts w:ascii="Arial" w:hAnsi="Arial" w:cs="Arial"/>
          <w:b/>
          <w:bCs/>
          <w:color w:val="0D0D0D" w:themeColor="text1" w:themeTint="F2"/>
          <w:sz w:val="20"/>
          <w:szCs w:val="20"/>
          <w:u w:val="single"/>
        </w:rPr>
        <w:t>Appeal point 1(a).5</w:t>
      </w:r>
      <w:r w:rsidRPr="00670D04">
        <w:rPr>
          <w:rFonts w:ascii="Arial" w:hAnsi="Arial" w:cs="Arial"/>
          <w:b/>
          <w:bCs/>
          <w:color w:val="0D0D0D" w:themeColor="text1" w:themeTint="F2"/>
          <w:sz w:val="20"/>
          <w:szCs w:val="20"/>
          <w:u w:val="single"/>
        </w:rPr>
        <w:tab/>
        <w:t>The Committee did not conduct a thorough assessment of treatments for children with severe COVID-19 and the resulting failure to recommend any treatment for children with severe COVID-19 is unfair and discriminatory</w:t>
      </w:r>
    </w:p>
    <w:p w14:paraId="6B075B99" w14:textId="384407A1" w:rsidR="007D3F5E" w:rsidRPr="00670D04" w:rsidRDefault="00796630" w:rsidP="00B17193">
      <w:pPr>
        <w:spacing w:before="120" w:after="240"/>
        <w:rPr>
          <w:rFonts w:ascii="Arial" w:eastAsia="Times New Roman" w:hAnsi="Arial" w:cs="Arial"/>
          <w:color w:val="0D0D0D" w:themeColor="text1" w:themeTint="F2"/>
          <w:sz w:val="20"/>
          <w:szCs w:val="20"/>
          <w:lang w:eastAsia="en-GB"/>
        </w:rPr>
      </w:pPr>
      <w:r w:rsidRPr="00670D04">
        <w:rPr>
          <w:rFonts w:ascii="Arial" w:eastAsia="Times New Roman" w:hAnsi="Arial" w:cs="Arial"/>
          <w:color w:val="0D0D0D" w:themeColor="text1" w:themeTint="F2"/>
          <w:sz w:val="20"/>
          <w:szCs w:val="20"/>
          <w:lang w:eastAsia="en-GB"/>
        </w:rPr>
        <w:t xml:space="preserve">Having considered the additional arguments made in your letter of </w:t>
      </w:r>
      <w:r w:rsidR="00AE0B5E" w:rsidRPr="00670D04">
        <w:rPr>
          <w:rFonts w:ascii="Arial" w:eastAsia="Times New Roman" w:hAnsi="Arial" w:cs="Arial"/>
          <w:color w:val="0D0D0D" w:themeColor="text1" w:themeTint="F2"/>
          <w:sz w:val="20"/>
          <w:szCs w:val="20"/>
          <w:lang w:eastAsia="en-GB"/>
        </w:rPr>
        <w:t>27 March 2023</w:t>
      </w:r>
      <w:r w:rsidRPr="00670D04">
        <w:rPr>
          <w:rFonts w:ascii="Arial" w:eastAsia="Times New Roman" w:hAnsi="Arial" w:cs="Arial"/>
          <w:color w:val="0D0D0D" w:themeColor="text1" w:themeTint="F2"/>
          <w:sz w:val="20"/>
          <w:szCs w:val="20"/>
          <w:lang w:eastAsia="en-GB"/>
        </w:rPr>
        <w:t>, I agree that this is a valid appeal point</w:t>
      </w:r>
      <w:r w:rsidR="001B0178" w:rsidRPr="00670D04">
        <w:rPr>
          <w:rFonts w:ascii="Arial" w:eastAsia="Times New Roman" w:hAnsi="Arial" w:cs="Arial"/>
          <w:color w:val="0D0D0D" w:themeColor="text1" w:themeTint="F2"/>
          <w:sz w:val="20"/>
          <w:szCs w:val="20"/>
          <w:lang w:eastAsia="en-GB"/>
        </w:rPr>
        <w:t xml:space="preserve"> </w:t>
      </w:r>
      <w:proofErr w:type="spellStart"/>
      <w:r w:rsidR="001B0178" w:rsidRPr="00670D04">
        <w:rPr>
          <w:rFonts w:ascii="Arial" w:eastAsia="Times New Roman" w:hAnsi="Arial" w:cs="Arial"/>
          <w:color w:val="0D0D0D" w:themeColor="text1" w:themeTint="F2"/>
          <w:sz w:val="20"/>
          <w:szCs w:val="20"/>
          <w:lang w:eastAsia="en-GB"/>
        </w:rPr>
        <w:t>under ground</w:t>
      </w:r>
      <w:proofErr w:type="spellEnd"/>
      <w:r w:rsidR="001B0178" w:rsidRPr="00670D04">
        <w:rPr>
          <w:rFonts w:ascii="Arial" w:eastAsia="Times New Roman" w:hAnsi="Arial" w:cs="Arial"/>
          <w:color w:val="0D0D0D" w:themeColor="text1" w:themeTint="F2"/>
          <w:sz w:val="20"/>
          <w:szCs w:val="20"/>
          <w:lang w:eastAsia="en-GB"/>
        </w:rPr>
        <w:t xml:space="preserve"> 1(b)</w:t>
      </w:r>
      <w:r w:rsidRPr="00670D04">
        <w:rPr>
          <w:rFonts w:ascii="Arial" w:eastAsia="Times New Roman" w:hAnsi="Arial" w:cs="Arial"/>
          <w:color w:val="0D0D0D" w:themeColor="text1" w:themeTint="F2"/>
          <w:sz w:val="20"/>
          <w:szCs w:val="20"/>
          <w:lang w:eastAsia="en-GB"/>
        </w:rPr>
        <w:t>.</w:t>
      </w:r>
      <w:r w:rsidR="00AE0B5E" w:rsidRPr="00670D04">
        <w:rPr>
          <w:rFonts w:ascii="Arial" w:eastAsia="Times New Roman" w:hAnsi="Arial" w:cs="Arial"/>
          <w:color w:val="0D0D0D" w:themeColor="text1" w:themeTint="F2"/>
          <w:sz w:val="20"/>
          <w:szCs w:val="20"/>
          <w:lang w:eastAsia="en-GB"/>
        </w:rPr>
        <w:t xml:space="preserve">   </w:t>
      </w:r>
    </w:p>
    <w:p w14:paraId="3C8811B5" w14:textId="7BFBC60A" w:rsidR="008326BB" w:rsidRPr="00670D04" w:rsidRDefault="008326BB" w:rsidP="00671EF3">
      <w:pPr>
        <w:spacing w:before="240" w:after="240"/>
        <w:jc w:val="both"/>
        <w:rPr>
          <w:rFonts w:ascii="Arial" w:hAnsi="Arial" w:cs="Arial"/>
          <w:b/>
          <w:bCs/>
          <w:color w:val="0D0D0D" w:themeColor="text1" w:themeTint="F2"/>
          <w:sz w:val="20"/>
          <w:szCs w:val="20"/>
          <w:u w:val="single"/>
        </w:rPr>
      </w:pPr>
      <w:r w:rsidRPr="00670D04">
        <w:rPr>
          <w:rFonts w:ascii="Arial" w:hAnsi="Arial" w:cs="Arial"/>
          <w:b/>
          <w:bCs/>
          <w:color w:val="0D0D0D" w:themeColor="text1" w:themeTint="F2"/>
          <w:sz w:val="20"/>
          <w:szCs w:val="20"/>
          <w:u w:val="single"/>
        </w:rPr>
        <w:t>Appeal point 1(a).7 Gilead was not given a fair hearing because it was not given the opportunity to discuss key issues at the appraisal committee meetings</w:t>
      </w:r>
    </w:p>
    <w:p w14:paraId="7441E01E" w14:textId="5E1944B1" w:rsidR="008326BB" w:rsidRPr="00670D04" w:rsidRDefault="008326BB" w:rsidP="008326BB">
      <w:pPr>
        <w:spacing w:before="240" w:after="240"/>
        <w:jc w:val="both"/>
        <w:rPr>
          <w:rFonts w:ascii="Arial" w:hAnsi="Arial" w:cs="Arial"/>
          <w:color w:val="0D0D0D" w:themeColor="text1" w:themeTint="F2"/>
          <w:sz w:val="20"/>
          <w:szCs w:val="20"/>
        </w:rPr>
      </w:pPr>
      <w:r w:rsidRPr="00670D04">
        <w:rPr>
          <w:rFonts w:ascii="Arial" w:hAnsi="Arial" w:cs="Arial"/>
          <w:color w:val="0D0D0D" w:themeColor="text1" w:themeTint="F2"/>
          <w:sz w:val="20"/>
          <w:szCs w:val="20"/>
        </w:rPr>
        <w:lastRenderedPageBreak/>
        <w:t>Thank you for confirming that while Gilead do not agree with my initial view regarding appeal point 1(a).7, you do not propose to challenge this</w:t>
      </w:r>
      <w:r w:rsidR="001B0178" w:rsidRPr="00670D04">
        <w:rPr>
          <w:rFonts w:ascii="Arial" w:hAnsi="Arial" w:cs="Arial"/>
          <w:color w:val="0D0D0D" w:themeColor="text1" w:themeTint="F2"/>
          <w:sz w:val="20"/>
          <w:szCs w:val="20"/>
        </w:rPr>
        <w:t>.  I confirm my initial view.</w:t>
      </w:r>
    </w:p>
    <w:p w14:paraId="11496F2C" w14:textId="67E25CAA" w:rsidR="008326BB" w:rsidRPr="00670D04" w:rsidRDefault="008326BB" w:rsidP="00671EF3">
      <w:pPr>
        <w:spacing w:before="240" w:after="240"/>
        <w:jc w:val="both"/>
        <w:rPr>
          <w:rFonts w:ascii="Arial" w:hAnsi="Arial" w:cs="Arial"/>
          <w:b/>
          <w:bCs/>
          <w:color w:val="0D0D0D" w:themeColor="text1" w:themeTint="F2"/>
          <w:sz w:val="20"/>
          <w:szCs w:val="20"/>
          <w:u w:val="single"/>
        </w:rPr>
      </w:pPr>
      <w:r w:rsidRPr="00670D04">
        <w:rPr>
          <w:rFonts w:ascii="Arial" w:hAnsi="Arial" w:cs="Arial"/>
          <w:b/>
          <w:bCs/>
          <w:color w:val="0D0D0D" w:themeColor="text1" w:themeTint="F2"/>
          <w:sz w:val="20"/>
          <w:szCs w:val="20"/>
          <w:u w:val="single"/>
        </w:rPr>
        <w:t>Appeal point 1(a).9 The Committee has not given adequate reasons why differences in standard care give rise to significant concerns about the generalisability of SOLIDARITY data</w:t>
      </w:r>
    </w:p>
    <w:p w14:paraId="006BE42F" w14:textId="15E2F8C4" w:rsidR="008326BB" w:rsidRPr="00670D04" w:rsidRDefault="008326BB" w:rsidP="008326BB">
      <w:pPr>
        <w:spacing w:before="240" w:after="240"/>
        <w:jc w:val="both"/>
        <w:rPr>
          <w:rFonts w:ascii="Arial" w:hAnsi="Arial" w:cs="Arial"/>
          <w:color w:val="0D0D0D" w:themeColor="text1" w:themeTint="F2"/>
          <w:sz w:val="20"/>
          <w:szCs w:val="20"/>
        </w:rPr>
      </w:pPr>
      <w:r w:rsidRPr="00670D04">
        <w:rPr>
          <w:rFonts w:ascii="Arial" w:hAnsi="Arial" w:cs="Arial"/>
          <w:color w:val="0D0D0D" w:themeColor="text1" w:themeTint="F2"/>
          <w:sz w:val="20"/>
          <w:szCs w:val="20"/>
        </w:rPr>
        <w:t>Thank you for confirming that while Gilead do not agree with my initial view regarding appeal point 1(a).9 you do not propose to challenge this.</w:t>
      </w:r>
      <w:r w:rsidR="001B0178" w:rsidRPr="00670D04">
        <w:rPr>
          <w:rFonts w:ascii="Arial" w:hAnsi="Arial" w:cs="Arial"/>
          <w:color w:val="0D0D0D" w:themeColor="text1" w:themeTint="F2"/>
          <w:sz w:val="20"/>
          <w:szCs w:val="20"/>
        </w:rPr>
        <w:t xml:space="preserve">  I confirm my initial view.   </w:t>
      </w:r>
    </w:p>
    <w:p w14:paraId="140D447A" w14:textId="31AC1C05" w:rsidR="008326BB" w:rsidRPr="00670D04" w:rsidRDefault="008326BB" w:rsidP="008326BB">
      <w:pPr>
        <w:spacing w:before="240" w:after="240"/>
        <w:jc w:val="both"/>
        <w:rPr>
          <w:rFonts w:ascii="Arial" w:hAnsi="Arial" w:cs="Arial"/>
          <w:b/>
          <w:bCs/>
          <w:color w:val="0D0D0D" w:themeColor="text1" w:themeTint="F2"/>
          <w:sz w:val="20"/>
          <w:szCs w:val="20"/>
          <w:u w:val="single"/>
        </w:rPr>
      </w:pPr>
      <w:r w:rsidRPr="00670D04">
        <w:rPr>
          <w:rFonts w:ascii="Arial" w:hAnsi="Arial" w:cs="Arial"/>
          <w:b/>
          <w:bCs/>
          <w:color w:val="0D0D0D" w:themeColor="text1" w:themeTint="F2"/>
          <w:sz w:val="20"/>
          <w:szCs w:val="20"/>
          <w:u w:val="single"/>
        </w:rPr>
        <w:t>Appeal point 1(a).10 The Committee’s exclusion of treatment effects for hospital time to discharge data for remdesivir is unfair because these treatment effects were reflected in the base-case ICER results for tocilizumab</w:t>
      </w:r>
    </w:p>
    <w:p w14:paraId="6915D8DC" w14:textId="16186505" w:rsidR="007D3F5E" w:rsidRPr="00670D04" w:rsidRDefault="00DD2802" w:rsidP="007D3F5E">
      <w:pPr>
        <w:spacing w:before="120" w:after="240"/>
        <w:rPr>
          <w:rFonts w:ascii="Arial" w:eastAsia="Times New Roman" w:hAnsi="Arial" w:cs="Arial"/>
          <w:color w:val="0D0D0D" w:themeColor="text1" w:themeTint="F2"/>
          <w:sz w:val="20"/>
          <w:szCs w:val="20"/>
          <w:lang w:eastAsia="en-GB"/>
        </w:rPr>
      </w:pPr>
      <w:r w:rsidRPr="00670D04">
        <w:rPr>
          <w:rFonts w:ascii="Arial" w:eastAsia="Times New Roman" w:hAnsi="Arial" w:cs="Arial"/>
          <w:color w:val="0D0D0D" w:themeColor="text1" w:themeTint="F2"/>
          <w:sz w:val="20"/>
          <w:szCs w:val="20"/>
          <w:lang w:eastAsia="en-GB"/>
        </w:rPr>
        <w:t xml:space="preserve">Having considered the additional arguments made in your letter of </w:t>
      </w:r>
      <w:r w:rsidR="007D3F5E" w:rsidRPr="00670D04">
        <w:rPr>
          <w:rFonts w:ascii="Arial" w:eastAsia="Times New Roman" w:hAnsi="Arial" w:cs="Arial"/>
          <w:color w:val="0D0D0D" w:themeColor="text1" w:themeTint="F2"/>
          <w:sz w:val="20"/>
          <w:szCs w:val="20"/>
          <w:lang w:eastAsia="en-GB"/>
        </w:rPr>
        <w:t xml:space="preserve">27 March 2023, </w:t>
      </w:r>
      <w:r w:rsidRPr="00670D04">
        <w:rPr>
          <w:rFonts w:ascii="Arial" w:eastAsia="Times New Roman" w:hAnsi="Arial" w:cs="Arial"/>
          <w:color w:val="0D0D0D" w:themeColor="text1" w:themeTint="F2"/>
          <w:sz w:val="20"/>
          <w:szCs w:val="20"/>
          <w:lang w:eastAsia="en-GB"/>
        </w:rPr>
        <w:t>I agree that this is a valid appeal point.</w:t>
      </w:r>
      <w:r w:rsidR="007D3F5E" w:rsidRPr="00670D04">
        <w:rPr>
          <w:rFonts w:ascii="Arial" w:eastAsia="Times New Roman" w:hAnsi="Arial" w:cs="Arial"/>
          <w:color w:val="0D0D0D" w:themeColor="text1" w:themeTint="F2"/>
          <w:sz w:val="20"/>
          <w:szCs w:val="20"/>
          <w:lang w:eastAsia="en-GB"/>
        </w:rPr>
        <w:t xml:space="preserve">   </w:t>
      </w:r>
    </w:p>
    <w:p w14:paraId="40E82E68" w14:textId="3F6E22D0" w:rsidR="007D3F5E" w:rsidRPr="00670D04" w:rsidRDefault="007D3F5E" w:rsidP="007D3F5E">
      <w:pPr>
        <w:spacing w:before="120" w:after="240"/>
        <w:rPr>
          <w:rFonts w:ascii="Arial" w:eastAsia="Times New Roman" w:hAnsi="Arial" w:cs="Arial"/>
          <w:color w:val="0D0D0D" w:themeColor="text1" w:themeTint="F2"/>
          <w:sz w:val="20"/>
          <w:szCs w:val="20"/>
          <w:lang w:eastAsia="en-GB"/>
        </w:rPr>
      </w:pPr>
      <w:r w:rsidRPr="00670D04">
        <w:rPr>
          <w:rFonts w:ascii="Arial" w:eastAsia="Times New Roman" w:hAnsi="Arial" w:cs="Arial"/>
          <w:color w:val="0D0D0D" w:themeColor="text1" w:themeTint="F2"/>
          <w:sz w:val="20"/>
          <w:szCs w:val="20"/>
          <w:lang w:eastAsia="en-GB"/>
        </w:rPr>
        <w:t xml:space="preserve">I </w:t>
      </w:r>
      <w:r w:rsidR="00161EB7" w:rsidRPr="00670D04">
        <w:rPr>
          <w:rFonts w:ascii="Arial" w:eastAsia="Times New Roman" w:hAnsi="Arial" w:cs="Arial"/>
          <w:color w:val="0D0D0D" w:themeColor="text1" w:themeTint="F2"/>
          <w:sz w:val="20"/>
          <w:szCs w:val="20"/>
          <w:lang w:eastAsia="en-GB"/>
        </w:rPr>
        <w:t xml:space="preserve">understand your position to be that the committee treated remdesivir differently to other treatments and in doing so this was procedurally unfair.  You have provided evidence in support of the position that remdesivir has been treated differently which </w:t>
      </w:r>
      <w:r w:rsidR="000501C0" w:rsidRPr="00670D04">
        <w:rPr>
          <w:rFonts w:ascii="Arial" w:eastAsia="Times New Roman" w:hAnsi="Arial" w:cs="Arial"/>
          <w:color w:val="0D0D0D" w:themeColor="text1" w:themeTint="F2"/>
          <w:sz w:val="20"/>
          <w:szCs w:val="20"/>
          <w:lang w:eastAsia="en-GB"/>
        </w:rPr>
        <w:t xml:space="preserve">you allege </w:t>
      </w:r>
      <w:r w:rsidR="00161EB7" w:rsidRPr="00670D04">
        <w:rPr>
          <w:rFonts w:ascii="Arial" w:eastAsia="Times New Roman" w:hAnsi="Arial" w:cs="Arial"/>
          <w:color w:val="0D0D0D" w:themeColor="text1" w:themeTint="F2"/>
          <w:sz w:val="20"/>
          <w:szCs w:val="20"/>
          <w:lang w:eastAsia="en-GB"/>
        </w:rPr>
        <w:t xml:space="preserve">impacted on the cost-effectiveness analysis for remdesivir.   You also argue that the committee has failed to provide adequate reasoning to distinguish the different approaches taken </w:t>
      </w:r>
      <w:r w:rsidR="000501C0" w:rsidRPr="00670D04">
        <w:rPr>
          <w:rFonts w:ascii="Arial" w:eastAsia="Times New Roman" w:hAnsi="Arial" w:cs="Arial"/>
          <w:color w:val="0D0D0D" w:themeColor="text1" w:themeTint="F2"/>
          <w:sz w:val="20"/>
          <w:szCs w:val="20"/>
          <w:lang w:eastAsia="en-GB"/>
        </w:rPr>
        <w:t>for each</w:t>
      </w:r>
      <w:r w:rsidR="00161EB7" w:rsidRPr="00670D04">
        <w:rPr>
          <w:rFonts w:ascii="Arial" w:eastAsia="Times New Roman" w:hAnsi="Arial" w:cs="Arial"/>
          <w:color w:val="0D0D0D" w:themeColor="text1" w:themeTint="F2"/>
          <w:sz w:val="20"/>
          <w:szCs w:val="20"/>
          <w:lang w:eastAsia="en-GB"/>
        </w:rPr>
        <w:t xml:space="preserve"> treatment.  On this basis I agree that there is an arguable point as to whether the committee have treated remdesivir differently and if so whether sufficient reasoning has been provided.</w:t>
      </w:r>
    </w:p>
    <w:p w14:paraId="4710A553" w14:textId="308FE8CA" w:rsidR="00DB178D" w:rsidRPr="00670D04" w:rsidRDefault="00DB178D" w:rsidP="00DB178D">
      <w:pPr>
        <w:pStyle w:val="Paragraph"/>
        <w:numPr>
          <w:ilvl w:val="0"/>
          <w:numId w:val="0"/>
        </w:numPr>
        <w:spacing w:before="120"/>
        <w:jc w:val="both"/>
        <w:rPr>
          <w:rFonts w:cs="Arial"/>
          <w:b/>
          <w:i/>
          <w:color w:val="0D0D0D" w:themeColor="text1" w:themeTint="F2"/>
          <w:sz w:val="20"/>
          <w:szCs w:val="20"/>
        </w:rPr>
      </w:pPr>
      <w:r w:rsidRPr="00670D04">
        <w:rPr>
          <w:rFonts w:cs="Arial"/>
          <w:b/>
          <w:i/>
          <w:color w:val="0D0D0D" w:themeColor="text1" w:themeTint="F2"/>
          <w:sz w:val="20"/>
          <w:szCs w:val="20"/>
        </w:rPr>
        <w:t>Ground 2:</w:t>
      </w:r>
      <w:r w:rsidRPr="00670D04">
        <w:rPr>
          <w:rFonts w:cs="Arial"/>
          <w:i/>
          <w:color w:val="0D0D0D" w:themeColor="text1" w:themeTint="F2"/>
          <w:sz w:val="20"/>
          <w:szCs w:val="20"/>
        </w:rPr>
        <w:t xml:space="preserve"> </w:t>
      </w:r>
      <w:r w:rsidRPr="00670D04">
        <w:rPr>
          <w:rFonts w:cs="Arial"/>
          <w:b/>
          <w:i/>
          <w:color w:val="0D0D0D" w:themeColor="text1" w:themeTint="F2"/>
          <w:sz w:val="20"/>
          <w:szCs w:val="20"/>
        </w:rPr>
        <w:t>the recommendation is unreasonable in the light of the evidence submitted to NICE</w:t>
      </w:r>
    </w:p>
    <w:p w14:paraId="20AE94C7" w14:textId="43998641" w:rsidR="008326BB" w:rsidRPr="00670D04" w:rsidRDefault="008326BB" w:rsidP="00671EF3">
      <w:pPr>
        <w:pStyle w:val="Paragraph"/>
        <w:numPr>
          <w:ilvl w:val="0"/>
          <w:numId w:val="0"/>
        </w:numPr>
        <w:jc w:val="both"/>
        <w:rPr>
          <w:rFonts w:eastAsia="Calibri" w:cs="Arial"/>
          <w:b/>
          <w:color w:val="0D0D0D" w:themeColor="text1" w:themeTint="F2"/>
          <w:sz w:val="20"/>
          <w:szCs w:val="20"/>
          <w:u w:val="single"/>
          <w:lang w:eastAsia="en-US"/>
        </w:rPr>
      </w:pPr>
      <w:r w:rsidRPr="00670D04">
        <w:rPr>
          <w:rFonts w:eastAsia="Calibri" w:cs="Arial"/>
          <w:b/>
          <w:color w:val="0D0D0D" w:themeColor="text1" w:themeTint="F2"/>
          <w:sz w:val="20"/>
          <w:szCs w:val="20"/>
          <w:u w:val="single"/>
          <w:lang w:eastAsia="en-US"/>
        </w:rPr>
        <w:t xml:space="preserve">Appeal point 2.2 The Committee’s recommendations are unreasonable because, ignoring clinical need and practice, they fail to recommend any antiviral treatment for patients with severe COVID-19 </w:t>
      </w:r>
    </w:p>
    <w:p w14:paraId="30A2D6EB" w14:textId="095614E0" w:rsidR="008326BB" w:rsidRPr="00670D04" w:rsidRDefault="008326BB" w:rsidP="008326BB">
      <w:pPr>
        <w:spacing w:before="240" w:after="240"/>
        <w:jc w:val="both"/>
        <w:rPr>
          <w:rFonts w:ascii="Arial" w:hAnsi="Arial" w:cs="Arial"/>
          <w:color w:val="0D0D0D" w:themeColor="text1" w:themeTint="F2"/>
          <w:sz w:val="20"/>
          <w:szCs w:val="20"/>
        </w:rPr>
      </w:pPr>
      <w:r w:rsidRPr="00670D04">
        <w:rPr>
          <w:rFonts w:ascii="Arial" w:hAnsi="Arial" w:cs="Arial"/>
          <w:color w:val="0D0D0D" w:themeColor="text1" w:themeTint="F2"/>
          <w:sz w:val="20"/>
          <w:szCs w:val="20"/>
        </w:rPr>
        <w:t>Thank you for confirming that while Gilead do not agree with my initial view regarding appeal point 2.2, you do not propose to challenge this.</w:t>
      </w:r>
      <w:r w:rsidR="001B0178" w:rsidRPr="00670D04">
        <w:rPr>
          <w:rFonts w:ascii="Arial" w:hAnsi="Arial" w:cs="Arial"/>
          <w:color w:val="0D0D0D" w:themeColor="text1" w:themeTint="F2"/>
          <w:sz w:val="20"/>
          <w:szCs w:val="20"/>
        </w:rPr>
        <w:t xml:space="preserve">  I confirm my initial view.</w:t>
      </w:r>
    </w:p>
    <w:p w14:paraId="2AADAF28" w14:textId="77777777" w:rsidR="005A7A7D" w:rsidRPr="00670D04" w:rsidRDefault="005A7A7D" w:rsidP="005A7A7D">
      <w:pPr>
        <w:spacing w:before="120" w:after="240"/>
        <w:jc w:val="both"/>
        <w:rPr>
          <w:rFonts w:ascii="Arial" w:eastAsia="Times New Roman" w:hAnsi="Arial" w:cs="Arial"/>
          <w:color w:val="0D0D0D" w:themeColor="text1" w:themeTint="F2"/>
          <w:sz w:val="20"/>
          <w:szCs w:val="20"/>
          <w:u w:val="single"/>
        </w:rPr>
      </w:pPr>
      <w:r w:rsidRPr="00670D04">
        <w:rPr>
          <w:rFonts w:ascii="Arial" w:eastAsia="Times New Roman" w:hAnsi="Arial" w:cs="Arial"/>
          <w:color w:val="0D0D0D" w:themeColor="text1" w:themeTint="F2"/>
          <w:sz w:val="20"/>
          <w:szCs w:val="20"/>
          <w:u w:val="single"/>
        </w:rPr>
        <w:t>Conclusion</w:t>
      </w:r>
    </w:p>
    <w:p w14:paraId="64256DC4" w14:textId="77777777" w:rsidR="005A7A7D" w:rsidRPr="00670D04" w:rsidRDefault="005A7A7D" w:rsidP="005A7A7D">
      <w:pPr>
        <w:spacing w:before="12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Therefore the valid appeal points are:</w:t>
      </w:r>
    </w:p>
    <w:p w14:paraId="0AF0E90C" w14:textId="05F6B3A3" w:rsidR="005A7A7D" w:rsidRPr="00670D04" w:rsidRDefault="005A7A7D" w:rsidP="008326BB">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 xml:space="preserve">1(a).1 </w:t>
      </w:r>
      <w:r w:rsidR="008524BB" w:rsidRPr="00670D04">
        <w:rPr>
          <w:rFonts w:cs="Arial"/>
          <w:color w:val="0D0D0D" w:themeColor="text1" w:themeTint="F2"/>
        </w:rPr>
        <w:t>For lack of time and resource allocated to this MTA, companies were not given the opportunity to make a full evidence submission and NICE refused Gilead’s request to submit an economic model, resulting in important evidence not being considered by the Committee</w:t>
      </w:r>
      <w:r w:rsidR="00447969" w:rsidRPr="00670D04">
        <w:rPr>
          <w:rFonts w:cs="Arial"/>
          <w:color w:val="0D0D0D" w:themeColor="text1" w:themeTint="F2"/>
        </w:rPr>
        <w:t>;</w:t>
      </w:r>
    </w:p>
    <w:p w14:paraId="1CD69345" w14:textId="77777777" w:rsidR="008524BB" w:rsidRPr="00670D04" w:rsidRDefault="008524BB" w:rsidP="008524BB">
      <w:pPr>
        <w:pStyle w:val="ListParagraph"/>
        <w:spacing w:before="120" w:after="240"/>
        <w:ind w:left="1080"/>
        <w:jc w:val="both"/>
        <w:rPr>
          <w:rFonts w:cs="Arial"/>
          <w:color w:val="0D0D0D" w:themeColor="text1" w:themeTint="F2"/>
        </w:rPr>
      </w:pPr>
    </w:p>
    <w:p w14:paraId="572939F7" w14:textId="5A8508B8" w:rsidR="005A7A7D" w:rsidRPr="00670D04" w:rsidRDefault="005A7A7D" w:rsidP="008326BB">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1(</w:t>
      </w:r>
      <w:r w:rsidR="008326BB" w:rsidRPr="00670D04">
        <w:rPr>
          <w:rFonts w:cs="Arial"/>
          <w:color w:val="0D0D0D" w:themeColor="text1" w:themeTint="F2"/>
        </w:rPr>
        <w:t>a</w:t>
      </w:r>
      <w:r w:rsidRPr="00670D04">
        <w:rPr>
          <w:rFonts w:cs="Arial"/>
          <w:color w:val="0D0D0D" w:themeColor="text1" w:themeTint="F2"/>
        </w:rPr>
        <w:t>).</w:t>
      </w:r>
      <w:r w:rsidR="008326BB" w:rsidRPr="00670D04">
        <w:rPr>
          <w:rFonts w:cs="Arial"/>
          <w:color w:val="0D0D0D" w:themeColor="text1" w:themeTint="F2"/>
        </w:rPr>
        <w:t>2</w:t>
      </w:r>
      <w:r w:rsidRPr="00670D04">
        <w:rPr>
          <w:rFonts w:cs="Arial"/>
          <w:color w:val="0D0D0D" w:themeColor="text1" w:themeTint="F2"/>
        </w:rPr>
        <w:t xml:space="preserve"> </w:t>
      </w:r>
      <w:r w:rsidR="008524BB" w:rsidRPr="00670D04">
        <w:rPr>
          <w:rFonts w:cs="Arial"/>
          <w:color w:val="0D0D0D" w:themeColor="text1" w:themeTint="F2"/>
        </w:rPr>
        <w:t>For lack of time, the EAG relied on pre-existing living systematic reviews and network meta-analyses which were not originally designed to address the decision problem and were not sufficiently validated, resulting in significant flaws in the information considered by the Committee</w:t>
      </w:r>
      <w:r w:rsidR="00447969" w:rsidRPr="00670D04">
        <w:rPr>
          <w:rFonts w:cs="Arial"/>
          <w:color w:val="0D0D0D" w:themeColor="text1" w:themeTint="F2"/>
        </w:rPr>
        <w:t>;</w:t>
      </w:r>
    </w:p>
    <w:p w14:paraId="76C5D591" w14:textId="77777777" w:rsidR="008524BB" w:rsidRPr="00670D04" w:rsidRDefault="008524BB" w:rsidP="008524BB">
      <w:pPr>
        <w:pStyle w:val="ListParagraph"/>
        <w:rPr>
          <w:rFonts w:cs="Arial"/>
          <w:color w:val="0D0D0D" w:themeColor="text1" w:themeTint="F2"/>
        </w:rPr>
      </w:pPr>
    </w:p>
    <w:p w14:paraId="63A192F1" w14:textId="41FF517C" w:rsidR="005A7A7D" w:rsidRPr="00670D04" w:rsidRDefault="005A7A7D" w:rsidP="008326BB">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1(</w:t>
      </w:r>
      <w:r w:rsidR="008326BB" w:rsidRPr="00670D04">
        <w:rPr>
          <w:rFonts w:cs="Arial"/>
          <w:color w:val="0D0D0D" w:themeColor="text1" w:themeTint="F2"/>
        </w:rPr>
        <w:t>a</w:t>
      </w:r>
      <w:r w:rsidRPr="00670D04">
        <w:rPr>
          <w:rFonts w:cs="Arial"/>
          <w:color w:val="0D0D0D" w:themeColor="text1" w:themeTint="F2"/>
        </w:rPr>
        <w:t>).</w:t>
      </w:r>
      <w:r w:rsidR="008326BB" w:rsidRPr="00670D04">
        <w:rPr>
          <w:rFonts w:cs="Arial"/>
          <w:color w:val="0D0D0D" w:themeColor="text1" w:themeTint="F2"/>
        </w:rPr>
        <w:t>3</w:t>
      </w:r>
      <w:r w:rsidRPr="00670D04">
        <w:rPr>
          <w:rFonts w:cs="Arial"/>
          <w:color w:val="0D0D0D" w:themeColor="text1" w:themeTint="F2"/>
        </w:rPr>
        <w:t xml:space="preserve"> </w:t>
      </w:r>
      <w:r w:rsidR="008524BB" w:rsidRPr="00670D04">
        <w:rPr>
          <w:rFonts w:cs="Arial"/>
          <w:color w:val="0D0D0D" w:themeColor="text1" w:themeTint="F2"/>
        </w:rPr>
        <w:t>Cost-effectiveness estimates were not informed by a probabilistic sensitivity analysis without adequate justification, and so the Committee failed to sufficiently explore parameter uncertainty</w:t>
      </w:r>
      <w:r w:rsidRPr="00670D04">
        <w:rPr>
          <w:rFonts w:cs="Arial"/>
          <w:color w:val="0D0D0D" w:themeColor="text1" w:themeTint="F2"/>
        </w:rPr>
        <w:t>;</w:t>
      </w:r>
    </w:p>
    <w:p w14:paraId="7595BA85" w14:textId="77777777" w:rsidR="008524BB" w:rsidRPr="00670D04" w:rsidRDefault="008524BB" w:rsidP="008524BB">
      <w:pPr>
        <w:pStyle w:val="ListParagraph"/>
        <w:spacing w:before="120" w:after="240"/>
        <w:ind w:left="1080"/>
        <w:jc w:val="both"/>
        <w:rPr>
          <w:rFonts w:cs="Arial"/>
          <w:color w:val="0D0D0D" w:themeColor="text1" w:themeTint="F2"/>
          <w:highlight w:val="yellow"/>
        </w:rPr>
      </w:pPr>
    </w:p>
    <w:p w14:paraId="7F7D7295" w14:textId="1B00755C" w:rsidR="008326BB" w:rsidRPr="00670D04" w:rsidRDefault="000501C0" w:rsidP="008326BB">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1(a).</w:t>
      </w:r>
      <w:r w:rsidR="00447969" w:rsidRPr="00670D04">
        <w:rPr>
          <w:rFonts w:cs="Arial"/>
          <w:color w:val="0D0D0D" w:themeColor="text1" w:themeTint="F2"/>
        </w:rPr>
        <w:t>6:</w:t>
      </w:r>
      <w:r w:rsidR="008326BB" w:rsidRPr="00670D04">
        <w:rPr>
          <w:rFonts w:cs="Arial"/>
          <w:color w:val="0D0D0D" w:themeColor="text1" w:themeTint="F2"/>
        </w:rPr>
        <w:t xml:space="preserve"> </w:t>
      </w:r>
      <w:r w:rsidR="008524BB" w:rsidRPr="00670D04">
        <w:rPr>
          <w:rFonts w:cs="Arial"/>
          <w:color w:val="0D0D0D" w:themeColor="text1" w:themeTint="F2"/>
        </w:rPr>
        <w:t xml:space="preserve">The Committee has not given adequate reasons for </w:t>
      </w:r>
      <w:r w:rsidR="00760117" w:rsidRPr="00670D04">
        <w:rPr>
          <w:rFonts w:cs="Arial"/>
          <w:bCs/>
          <w:iCs/>
          <w:color w:val="0D0D0D" w:themeColor="text1" w:themeTint="F2"/>
        </w:rPr>
        <w:t>why the population requiring “low-flow oxygen” was not considered as a potential subgroup</w:t>
      </w:r>
      <w:r w:rsidR="00A55D0A" w:rsidRPr="00670D04">
        <w:rPr>
          <w:rFonts w:cs="Arial"/>
          <w:color w:val="0D0D0D" w:themeColor="text1" w:themeTint="F2"/>
        </w:rPr>
        <w:t xml:space="preserve">; </w:t>
      </w:r>
    </w:p>
    <w:p w14:paraId="439002B4" w14:textId="77777777" w:rsidR="008524BB" w:rsidRPr="00670D04" w:rsidRDefault="008524BB" w:rsidP="008524BB">
      <w:pPr>
        <w:pStyle w:val="ListParagraph"/>
        <w:rPr>
          <w:rFonts w:cs="Arial"/>
          <w:color w:val="0D0D0D" w:themeColor="text1" w:themeTint="F2"/>
        </w:rPr>
      </w:pPr>
    </w:p>
    <w:p w14:paraId="2E6E48EC" w14:textId="6E2D75AD" w:rsidR="000501C0" w:rsidRPr="00670D04" w:rsidRDefault="000501C0" w:rsidP="000501C0">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1(a).</w:t>
      </w:r>
      <w:r w:rsidR="008326BB" w:rsidRPr="00670D04">
        <w:rPr>
          <w:rFonts w:cs="Arial"/>
          <w:color w:val="0D0D0D" w:themeColor="text1" w:themeTint="F2"/>
        </w:rPr>
        <w:t>8</w:t>
      </w:r>
      <w:r w:rsidR="00447969" w:rsidRPr="00670D04">
        <w:rPr>
          <w:rFonts w:cs="Arial"/>
          <w:color w:val="0D0D0D" w:themeColor="text1" w:themeTint="F2"/>
        </w:rPr>
        <w:t>:</w:t>
      </w:r>
      <w:r w:rsidR="008326BB" w:rsidRPr="00670D04">
        <w:rPr>
          <w:rFonts w:cs="Arial"/>
          <w:color w:val="0D0D0D" w:themeColor="text1" w:themeTint="F2"/>
        </w:rPr>
        <w:t xml:space="preserve"> </w:t>
      </w:r>
      <w:r w:rsidR="008524BB" w:rsidRPr="00670D04">
        <w:rPr>
          <w:rFonts w:cs="Arial"/>
          <w:color w:val="0D0D0D" w:themeColor="text1" w:themeTint="F2"/>
        </w:rPr>
        <w:t xml:space="preserve">NICE treated Gilead unfairly compared to another stakeholder company by refusing to consider new data that could potentially change the Committee’s final conclusions; </w:t>
      </w:r>
    </w:p>
    <w:p w14:paraId="58E042C4" w14:textId="77777777" w:rsidR="000501C0" w:rsidRPr="00670D04" w:rsidRDefault="000501C0" w:rsidP="000501C0">
      <w:pPr>
        <w:pStyle w:val="ListParagraph"/>
        <w:spacing w:before="120" w:after="240"/>
        <w:ind w:left="1080"/>
        <w:jc w:val="both"/>
        <w:rPr>
          <w:rFonts w:cs="Arial"/>
          <w:color w:val="0D0D0D" w:themeColor="text1" w:themeTint="F2"/>
        </w:rPr>
      </w:pPr>
    </w:p>
    <w:p w14:paraId="08FB9F14" w14:textId="2CF80585" w:rsidR="008326BB" w:rsidRPr="00670D04" w:rsidRDefault="000501C0" w:rsidP="008524BB">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1(a).</w:t>
      </w:r>
      <w:r w:rsidR="008326BB" w:rsidRPr="00670D04">
        <w:rPr>
          <w:rFonts w:cs="Arial"/>
          <w:color w:val="0D0D0D" w:themeColor="text1" w:themeTint="F2"/>
        </w:rPr>
        <w:t>10</w:t>
      </w:r>
      <w:r w:rsidR="00447969" w:rsidRPr="00670D04">
        <w:rPr>
          <w:rFonts w:cs="Arial"/>
          <w:color w:val="0D0D0D" w:themeColor="text1" w:themeTint="F2"/>
        </w:rPr>
        <w:t>:</w:t>
      </w:r>
      <w:r w:rsidR="008326BB" w:rsidRPr="00670D04">
        <w:rPr>
          <w:rFonts w:cs="Arial"/>
          <w:color w:val="0D0D0D" w:themeColor="text1" w:themeTint="F2"/>
        </w:rPr>
        <w:t xml:space="preserve"> </w:t>
      </w:r>
      <w:r w:rsidR="008524BB" w:rsidRPr="00670D04">
        <w:rPr>
          <w:rFonts w:cs="Arial"/>
          <w:color w:val="0D0D0D" w:themeColor="text1" w:themeTint="F2"/>
        </w:rPr>
        <w:t>The Committee’s exclusion of treatment effects for hospital time to discharge data for remdesivir is unfair because these treatment effects were reflected in the base-case ICER results for tocilizumab</w:t>
      </w:r>
      <w:r w:rsidR="008326BB" w:rsidRPr="00670D04">
        <w:rPr>
          <w:rFonts w:cs="Arial"/>
          <w:color w:val="0D0D0D" w:themeColor="text1" w:themeTint="F2"/>
        </w:rPr>
        <w:t>;</w:t>
      </w:r>
    </w:p>
    <w:p w14:paraId="192E5065" w14:textId="5F48641A" w:rsidR="008524BB" w:rsidRPr="00670D04" w:rsidRDefault="008524BB" w:rsidP="008524BB">
      <w:pPr>
        <w:pStyle w:val="ListParagraph"/>
        <w:spacing w:before="120" w:after="240"/>
        <w:ind w:left="1080"/>
        <w:jc w:val="both"/>
        <w:rPr>
          <w:rFonts w:cs="Arial"/>
          <w:color w:val="0D0D0D" w:themeColor="text1" w:themeTint="F2"/>
          <w:highlight w:val="yellow"/>
        </w:rPr>
      </w:pPr>
    </w:p>
    <w:p w14:paraId="52BDB18E" w14:textId="41F88FCA" w:rsidR="00911529" w:rsidRPr="00670D04" w:rsidRDefault="00911529" w:rsidP="00911529">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1(b).1 (originally 1(a).5)</w:t>
      </w:r>
      <w:r w:rsidR="00447969" w:rsidRPr="00670D04">
        <w:rPr>
          <w:rFonts w:cs="Arial"/>
          <w:color w:val="0D0D0D" w:themeColor="text1" w:themeTint="F2"/>
        </w:rPr>
        <w:t>:</w:t>
      </w:r>
      <w:r w:rsidRPr="00670D04">
        <w:rPr>
          <w:rFonts w:cs="Arial"/>
          <w:color w:val="0D0D0D" w:themeColor="text1" w:themeTint="F2"/>
        </w:rPr>
        <w:t xml:space="preserve"> The Committee did not conduct a thorough assessment of treatments for children with severe COVID-19 and the resulting failure to recommend any treatment for children with severe COVID-19 is unfair and discriminatory</w:t>
      </w:r>
    </w:p>
    <w:p w14:paraId="38E8B6E8" w14:textId="77777777" w:rsidR="00911529" w:rsidRPr="00670D04" w:rsidRDefault="00911529" w:rsidP="008524BB">
      <w:pPr>
        <w:pStyle w:val="ListParagraph"/>
        <w:spacing w:before="120" w:after="240"/>
        <w:ind w:left="1080"/>
        <w:jc w:val="both"/>
        <w:rPr>
          <w:rFonts w:cs="Arial"/>
          <w:color w:val="0D0D0D" w:themeColor="text1" w:themeTint="F2"/>
          <w:highlight w:val="yellow"/>
        </w:rPr>
      </w:pPr>
    </w:p>
    <w:p w14:paraId="38126EC6" w14:textId="797C75B9" w:rsidR="008326BB" w:rsidRPr="00670D04" w:rsidRDefault="004E0663" w:rsidP="008326BB">
      <w:pPr>
        <w:pStyle w:val="ListParagraph"/>
        <w:numPr>
          <w:ilvl w:val="0"/>
          <w:numId w:val="11"/>
        </w:numPr>
        <w:spacing w:before="120" w:after="240"/>
        <w:jc w:val="both"/>
        <w:rPr>
          <w:rFonts w:cs="Arial"/>
          <w:color w:val="0D0D0D" w:themeColor="text1" w:themeTint="F2"/>
        </w:rPr>
      </w:pPr>
      <w:r w:rsidRPr="00670D04">
        <w:rPr>
          <w:rFonts w:cs="Arial"/>
          <w:color w:val="0D0D0D" w:themeColor="text1" w:themeTint="F2"/>
        </w:rPr>
        <w:t>2.1</w:t>
      </w:r>
      <w:r w:rsidR="008524BB" w:rsidRPr="00670D04">
        <w:rPr>
          <w:rFonts w:cs="Arial"/>
          <w:color w:val="0D0D0D" w:themeColor="text1" w:themeTint="F2"/>
        </w:rPr>
        <w:t xml:space="preserve"> The Committee’s conclusion that significant uncertainty remains in terms of generalisability of the trial evidence for remdesivir in severe COVID-19 is unreasonable because it ignores clinical practice and in-vitro data that has not been countered</w:t>
      </w:r>
    </w:p>
    <w:p w14:paraId="1FB2F6AC" w14:textId="77777777" w:rsidR="00B972EB" w:rsidRPr="00771051" w:rsidRDefault="005A7A7D" w:rsidP="00B972EB">
      <w:pPr>
        <w:spacing w:before="120" w:after="240"/>
        <w:jc w:val="both"/>
        <w:rPr>
          <w:rFonts w:ascii="Arial" w:eastAsia="Times New Roman" w:hAnsi="Arial" w:cs="Arial"/>
          <w:sz w:val="20"/>
          <w:szCs w:val="20"/>
        </w:rPr>
      </w:pPr>
      <w:r w:rsidRPr="00670D04">
        <w:rPr>
          <w:rFonts w:ascii="Arial" w:eastAsia="Times New Roman" w:hAnsi="Arial" w:cs="Arial"/>
          <w:color w:val="0D0D0D" w:themeColor="text1" w:themeTint="F2"/>
          <w:sz w:val="20"/>
          <w:szCs w:val="20"/>
        </w:rPr>
        <w:t xml:space="preserve">NICE shares the valid appeal grounds of each appellant with the other appellants to assist with preparation for the hearing.  </w:t>
      </w:r>
      <w:r w:rsidR="00B972EB">
        <w:rPr>
          <w:rFonts w:ascii="Arial" w:eastAsia="Times New Roman" w:hAnsi="Arial" w:cs="Arial"/>
          <w:sz w:val="20"/>
          <w:szCs w:val="20"/>
        </w:rPr>
        <w:t xml:space="preserve">These will be included in the appeal papers when they are circulated. </w:t>
      </w:r>
    </w:p>
    <w:p w14:paraId="5CCF2CB3" w14:textId="2FADE78C" w:rsidR="005A7A7D" w:rsidRPr="00670D04" w:rsidRDefault="005A7A7D" w:rsidP="005A7A7D">
      <w:pPr>
        <w:spacing w:before="12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 xml:space="preserve">NICE will be in contact with you regarding the administration of the appeal, which will be held orally. </w:t>
      </w:r>
    </w:p>
    <w:p w14:paraId="12F2B947" w14:textId="77777777" w:rsidR="005A7A7D" w:rsidRPr="00670D04" w:rsidRDefault="005A7A7D" w:rsidP="005A7A7D">
      <w:pPr>
        <w:spacing w:before="120" w:after="240"/>
        <w:jc w:val="both"/>
        <w:rPr>
          <w:rFonts w:ascii="Arial" w:eastAsia="Times New Roman" w:hAnsi="Arial" w:cs="Arial"/>
          <w:color w:val="0D0D0D" w:themeColor="text1" w:themeTint="F2"/>
          <w:sz w:val="20"/>
          <w:szCs w:val="20"/>
          <w:u w:val="single"/>
        </w:rPr>
      </w:pPr>
    </w:p>
    <w:p w14:paraId="04BAA200" w14:textId="296D0892" w:rsidR="005A7A7D" w:rsidRDefault="005A7A7D" w:rsidP="005A7A7D">
      <w:pPr>
        <w:spacing w:before="12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Yours sincerely</w:t>
      </w:r>
    </w:p>
    <w:p w14:paraId="1ACA2E4D" w14:textId="765B2A28" w:rsidR="00B972EB" w:rsidRPr="00670D04" w:rsidRDefault="00B972EB" w:rsidP="005A7A7D">
      <w:pPr>
        <w:spacing w:before="120" w:after="240"/>
        <w:jc w:val="both"/>
        <w:rPr>
          <w:rFonts w:ascii="Arial" w:eastAsia="Times New Roman" w:hAnsi="Arial" w:cs="Arial"/>
          <w:color w:val="0D0D0D" w:themeColor="text1" w:themeTint="F2"/>
          <w:sz w:val="20"/>
          <w:szCs w:val="20"/>
        </w:rPr>
      </w:pPr>
    </w:p>
    <w:p w14:paraId="06E59F3D" w14:textId="77777777" w:rsidR="005A7A7D" w:rsidRPr="00670D04" w:rsidRDefault="005A7A7D" w:rsidP="005A7A7D">
      <w:pPr>
        <w:spacing w:before="12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Dr Mark Chakravarty</w:t>
      </w:r>
    </w:p>
    <w:p w14:paraId="321A9458" w14:textId="77777777" w:rsidR="005A7A7D" w:rsidRPr="00670D04" w:rsidRDefault="005A7A7D" w:rsidP="005A7A7D">
      <w:pPr>
        <w:spacing w:before="12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Lead Non-Executive Director for Appeals &amp; Vice Chairman</w:t>
      </w:r>
    </w:p>
    <w:p w14:paraId="40B9BBC0" w14:textId="77777777" w:rsidR="005A7A7D" w:rsidRPr="00670D04" w:rsidRDefault="005A7A7D" w:rsidP="005A7A7D">
      <w:pPr>
        <w:spacing w:before="120" w:after="240"/>
        <w:jc w:val="both"/>
        <w:rPr>
          <w:rFonts w:ascii="Arial" w:eastAsia="Times New Roman" w:hAnsi="Arial" w:cs="Arial"/>
          <w:color w:val="0D0D0D" w:themeColor="text1" w:themeTint="F2"/>
          <w:sz w:val="20"/>
          <w:szCs w:val="20"/>
        </w:rPr>
      </w:pPr>
      <w:r w:rsidRPr="00670D04">
        <w:rPr>
          <w:rFonts w:ascii="Arial" w:eastAsia="Times New Roman" w:hAnsi="Arial" w:cs="Arial"/>
          <w:color w:val="0D0D0D" w:themeColor="text1" w:themeTint="F2"/>
          <w:sz w:val="20"/>
          <w:szCs w:val="20"/>
        </w:rPr>
        <w:t>National Institute for Health and Care Excellence</w:t>
      </w:r>
    </w:p>
    <w:p w14:paraId="03E7BAFA" w14:textId="4811D299" w:rsidR="000B36E1" w:rsidRPr="00670D04" w:rsidRDefault="000B36E1" w:rsidP="002B6A0D">
      <w:pPr>
        <w:spacing w:line="360" w:lineRule="auto"/>
        <w:rPr>
          <w:rFonts w:ascii="Arial" w:hAnsi="Arial" w:cs="Arial"/>
          <w:color w:val="0D0D0D" w:themeColor="text1" w:themeTint="F2"/>
          <w:sz w:val="20"/>
          <w:szCs w:val="20"/>
        </w:rPr>
      </w:pPr>
    </w:p>
    <w:sectPr w:rsidR="000B36E1" w:rsidRPr="00670D04"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B2D4" w14:textId="77777777" w:rsidR="00D43C5C" w:rsidRDefault="00D43C5C" w:rsidP="000B352B">
      <w:pPr>
        <w:spacing w:after="0" w:line="240" w:lineRule="auto"/>
      </w:pPr>
      <w:r>
        <w:separator/>
      </w:r>
    </w:p>
  </w:endnote>
  <w:endnote w:type="continuationSeparator" w:id="0">
    <w:p w14:paraId="05F8C610" w14:textId="77777777" w:rsidR="00D43C5C" w:rsidRDefault="00D43C5C"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907F" w14:textId="77777777" w:rsidR="00D43C5C" w:rsidRDefault="00D43C5C" w:rsidP="000B352B">
      <w:pPr>
        <w:spacing w:after="0" w:line="240" w:lineRule="auto"/>
      </w:pPr>
      <w:r>
        <w:separator/>
      </w:r>
    </w:p>
  </w:footnote>
  <w:footnote w:type="continuationSeparator" w:id="0">
    <w:p w14:paraId="31E0A164" w14:textId="77777777" w:rsidR="00D43C5C" w:rsidRDefault="00D43C5C"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F5EF2"/>
    <w:multiLevelType w:val="hybridMultilevel"/>
    <w:tmpl w:val="6534FDB0"/>
    <w:lvl w:ilvl="0" w:tplc="4DB0ADB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71E64"/>
    <w:multiLevelType w:val="hybridMultilevel"/>
    <w:tmpl w:val="4C98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466376"/>
    <w:multiLevelType w:val="hybridMultilevel"/>
    <w:tmpl w:val="EF5AE6C2"/>
    <w:lvl w:ilvl="0" w:tplc="4DB0ADB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0" w15:restartNumberingAfterBreak="0">
    <w:nsid w:val="6F8B683A"/>
    <w:multiLevelType w:val="hybridMultilevel"/>
    <w:tmpl w:val="23FCD262"/>
    <w:lvl w:ilvl="0" w:tplc="0F10249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0029842">
    <w:abstractNumId w:val="3"/>
  </w:num>
  <w:num w:numId="2" w16cid:durableId="1610820935">
    <w:abstractNumId w:val="8"/>
  </w:num>
  <w:num w:numId="3" w16cid:durableId="1834488548">
    <w:abstractNumId w:val="4"/>
  </w:num>
  <w:num w:numId="4" w16cid:durableId="1103841649">
    <w:abstractNumId w:val="9"/>
  </w:num>
  <w:num w:numId="5" w16cid:durableId="958220694">
    <w:abstractNumId w:val="0"/>
  </w:num>
  <w:num w:numId="6" w16cid:durableId="21446945">
    <w:abstractNumId w:val="5"/>
  </w:num>
  <w:num w:numId="7" w16cid:durableId="1075590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703892">
    <w:abstractNumId w:val="7"/>
  </w:num>
  <w:num w:numId="9" w16cid:durableId="1766270126">
    <w:abstractNumId w:val="11"/>
  </w:num>
  <w:num w:numId="10" w16cid:durableId="1949044969">
    <w:abstractNumId w:val="2"/>
  </w:num>
  <w:num w:numId="11" w16cid:durableId="872614996">
    <w:abstractNumId w:val="1"/>
  </w:num>
  <w:num w:numId="12" w16cid:durableId="1746107780">
    <w:abstractNumId w:val="6"/>
  </w:num>
  <w:num w:numId="13" w16cid:durableId="972104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0CC3"/>
    <w:rsid w:val="0003729F"/>
    <w:rsid w:val="00043525"/>
    <w:rsid w:val="000468DC"/>
    <w:rsid w:val="000501C0"/>
    <w:rsid w:val="000641E7"/>
    <w:rsid w:val="00085181"/>
    <w:rsid w:val="00096A35"/>
    <w:rsid w:val="000B104A"/>
    <w:rsid w:val="000B352B"/>
    <w:rsid w:val="000B36E1"/>
    <w:rsid w:val="00111482"/>
    <w:rsid w:val="00144F73"/>
    <w:rsid w:val="0014732A"/>
    <w:rsid w:val="00161EB7"/>
    <w:rsid w:val="00174041"/>
    <w:rsid w:val="00176AA4"/>
    <w:rsid w:val="001B0178"/>
    <w:rsid w:val="001C1D7C"/>
    <w:rsid w:val="001D5BD2"/>
    <w:rsid w:val="001E0317"/>
    <w:rsid w:val="001F3962"/>
    <w:rsid w:val="0022689E"/>
    <w:rsid w:val="002B6A0D"/>
    <w:rsid w:val="00320722"/>
    <w:rsid w:val="00321B75"/>
    <w:rsid w:val="00371B99"/>
    <w:rsid w:val="003936B7"/>
    <w:rsid w:val="003A3E2E"/>
    <w:rsid w:val="003A79BD"/>
    <w:rsid w:val="003B2535"/>
    <w:rsid w:val="003D614E"/>
    <w:rsid w:val="003E27D6"/>
    <w:rsid w:val="0040409D"/>
    <w:rsid w:val="004215D9"/>
    <w:rsid w:val="0043022B"/>
    <w:rsid w:val="00447969"/>
    <w:rsid w:val="00453738"/>
    <w:rsid w:val="00453774"/>
    <w:rsid w:val="004559B6"/>
    <w:rsid w:val="00480405"/>
    <w:rsid w:val="00493D2F"/>
    <w:rsid w:val="004C2D22"/>
    <w:rsid w:val="004E0663"/>
    <w:rsid w:val="004E4493"/>
    <w:rsid w:val="004F29D7"/>
    <w:rsid w:val="004F39B0"/>
    <w:rsid w:val="00567BEB"/>
    <w:rsid w:val="00593F3D"/>
    <w:rsid w:val="005A42E5"/>
    <w:rsid w:val="005A7A7D"/>
    <w:rsid w:val="005B078B"/>
    <w:rsid w:val="005C388B"/>
    <w:rsid w:val="005C7480"/>
    <w:rsid w:val="005E0434"/>
    <w:rsid w:val="005E2A58"/>
    <w:rsid w:val="00641CEB"/>
    <w:rsid w:val="006628FF"/>
    <w:rsid w:val="00670D04"/>
    <w:rsid w:val="00671EF3"/>
    <w:rsid w:val="0069376C"/>
    <w:rsid w:val="006D0C62"/>
    <w:rsid w:val="006F031D"/>
    <w:rsid w:val="0070565E"/>
    <w:rsid w:val="00705A47"/>
    <w:rsid w:val="0072577F"/>
    <w:rsid w:val="00732227"/>
    <w:rsid w:val="00760117"/>
    <w:rsid w:val="0079326E"/>
    <w:rsid w:val="00796630"/>
    <w:rsid w:val="007B36FA"/>
    <w:rsid w:val="007C64C6"/>
    <w:rsid w:val="007D3F5E"/>
    <w:rsid w:val="007D4914"/>
    <w:rsid w:val="008326BB"/>
    <w:rsid w:val="008524BB"/>
    <w:rsid w:val="00866617"/>
    <w:rsid w:val="008B0323"/>
    <w:rsid w:val="008B63B7"/>
    <w:rsid w:val="008C081A"/>
    <w:rsid w:val="008E4AE4"/>
    <w:rsid w:val="00911529"/>
    <w:rsid w:val="00911FE1"/>
    <w:rsid w:val="00961369"/>
    <w:rsid w:val="009A01FD"/>
    <w:rsid w:val="009E2F15"/>
    <w:rsid w:val="009E5151"/>
    <w:rsid w:val="009F0476"/>
    <w:rsid w:val="009F0B60"/>
    <w:rsid w:val="00A0226C"/>
    <w:rsid w:val="00A55D0A"/>
    <w:rsid w:val="00A84AF4"/>
    <w:rsid w:val="00AE0B5E"/>
    <w:rsid w:val="00AE303D"/>
    <w:rsid w:val="00B17193"/>
    <w:rsid w:val="00B24360"/>
    <w:rsid w:val="00B32B71"/>
    <w:rsid w:val="00B737D4"/>
    <w:rsid w:val="00B972EB"/>
    <w:rsid w:val="00BC7BE7"/>
    <w:rsid w:val="00BD3B71"/>
    <w:rsid w:val="00C85906"/>
    <w:rsid w:val="00C96687"/>
    <w:rsid w:val="00CB4563"/>
    <w:rsid w:val="00CE085C"/>
    <w:rsid w:val="00D22D3F"/>
    <w:rsid w:val="00D37DEC"/>
    <w:rsid w:val="00D43C5C"/>
    <w:rsid w:val="00D755E3"/>
    <w:rsid w:val="00DB178D"/>
    <w:rsid w:val="00DD2802"/>
    <w:rsid w:val="00DD43C2"/>
    <w:rsid w:val="00E03263"/>
    <w:rsid w:val="00E06DF3"/>
    <w:rsid w:val="00E467E2"/>
    <w:rsid w:val="00E60FCF"/>
    <w:rsid w:val="00E622D7"/>
    <w:rsid w:val="00E67BD1"/>
    <w:rsid w:val="00E70F23"/>
    <w:rsid w:val="00E7772A"/>
    <w:rsid w:val="00E90881"/>
    <w:rsid w:val="00EA3919"/>
    <w:rsid w:val="00EE6553"/>
    <w:rsid w:val="00F04994"/>
    <w:rsid w:val="00F1265E"/>
    <w:rsid w:val="00F233EA"/>
    <w:rsid w:val="00F24B1D"/>
    <w:rsid w:val="00F47A04"/>
    <w:rsid w:val="00F61FE5"/>
    <w:rsid w:val="00F70A40"/>
    <w:rsid w:val="00FB225B"/>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70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235">
      <w:bodyDiv w:val="1"/>
      <w:marLeft w:val="0"/>
      <w:marRight w:val="0"/>
      <w:marTop w:val="0"/>
      <w:marBottom w:val="0"/>
      <w:divBdr>
        <w:top w:val="none" w:sz="0" w:space="0" w:color="auto"/>
        <w:left w:val="none" w:sz="0" w:space="0" w:color="auto"/>
        <w:bottom w:val="none" w:sz="0" w:space="0" w:color="auto"/>
        <w:right w:val="none" w:sz="0" w:space="0" w:color="auto"/>
      </w:divBdr>
    </w:div>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12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3</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Emma Gordon</cp:lastModifiedBy>
  <cp:revision>3</cp:revision>
  <dcterms:created xsi:type="dcterms:W3CDTF">2023-04-03T17:19:00Z</dcterms:created>
  <dcterms:modified xsi:type="dcterms:W3CDTF">2023-04-21T10:30:00Z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2023-04-04T09:39:29Z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7e50eb25-ed0f-44a3-9f99-75d7a396a889</vt:lpwstr>
  </property>
  <property fmtid="{D5CDD505-2E9C-101B-9397-08002B2CF9AE}" pid="8" name="MSIP_Label_c69d85d5-6d9e-4305-a294-1f636ec0f2d6_ContentBits">
    <vt:lpwstr>0</vt:lpwstr>
  </property>
</Properties>
</file>