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B3EAD" w14:textId="2BC3B53A" w:rsidR="00E45F5E" w:rsidRPr="00321EDD" w:rsidRDefault="00F41597" w:rsidP="00E45F5E">
      <w:pPr>
        <w:rPr>
          <w:rFonts w:cs="Arial"/>
          <w:color w:val="auto"/>
        </w:rPr>
      </w:pPr>
      <w:r w:rsidRPr="00321EDD">
        <w:rPr>
          <w:rFonts w:cs="Arial"/>
          <w:color w:val="auto"/>
        </w:rPr>
        <w:t xml:space="preserve">FAO </w:t>
      </w:r>
      <w:proofErr w:type="spellStart"/>
      <w:r w:rsidR="00523350" w:rsidRPr="00523350">
        <w:rPr>
          <w:rFonts w:cs="Arial"/>
          <w:color w:val="auto"/>
          <w:highlight w:val="black"/>
        </w:rPr>
        <w:t>xxxxxxxxxxxxx</w:t>
      </w:r>
      <w:proofErr w:type="spellEnd"/>
      <w:r w:rsidR="00E45F5E" w:rsidRPr="00321EDD">
        <w:rPr>
          <w:rFonts w:cs="Arial"/>
          <w:color w:val="auto"/>
        </w:rPr>
        <w:t xml:space="preserve"> Executive Director</w:t>
      </w:r>
    </w:p>
    <w:p w14:paraId="44513B68" w14:textId="3CB6FA57" w:rsidR="00E45F5E" w:rsidRPr="00321EDD" w:rsidRDefault="00E45F5E" w:rsidP="00E45F5E">
      <w:pPr>
        <w:rPr>
          <w:rFonts w:cs="Arial"/>
          <w:color w:val="auto"/>
        </w:rPr>
      </w:pPr>
      <w:r w:rsidRPr="00321EDD">
        <w:rPr>
          <w:rFonts w:cs="Arial"/>
          <w:color w:val="auto"/>
        </w:rPr>
        <w:t>Gilead Sciences Ltd</w:t>
      </w:r>
    </w:p>
    <w:p w14:paraId="52AEAD80" w14:textId="673A9B95" w:rsidR="00856CB2" w:rsidRPr="00321EDD" w:rsidRDefault="00856CB2" w:rsidP="00E45F5E">
      <w:pPr>
        <w:rPr>
          <w:rFonts w:cs="Arial"/>
          <w:color w:val="auto"/>
        </w:rPr>
      </w:pPr>
      <w:r w:rsidRPr="00321EDD">
        <w:rPr>
          <w:rFonts w:cs="Arial"/>
          <w:color w:val="auto"/>
        </w:rPr>
        <w:t>280 High Holborn, London WC1V 7EE</w:t>
      </w:r>
    </w:p>
    <w:p w14:paraId="20BBB2EE" w14:textId="77777777" w:rsidR="003B056B" w:rsidRPr="00321EDD" w:rsidRDefault="003B056B" w:rsidP="00413F89">
      <w:pPr>
        <w:spacing w:after="0" w:line="240" w:lineRule="auto"/>
        <w:jc w:val="both"/>
        <w:rPr>
          <w:rFonts w:cs="Arial"/>
          <w:color w:val="auto"/>
        </w:rPr>
      </w:pPr>
    </w:p>
    <w:p w14:paraId="5BCC1306" w14:textId="55D7DD03" w:rsidR="00C70019" w:rsidRPr="00321EDD" w:rsidRDefault="00C70019" w:rsidP="00413F89">
      <w:pPr>
        <w:jc w:val="both"/>
        <w:rPr>
          <w:rStyle w:val="Hyperlink"/>
          <w:rFonts w:cs="Arial"/>
          <w:color w:val="auto"/>
        </w:rPr>
      </w:pPr>
      <w:r w:rsidRPr="00F37581">
        <w:rPr>
          <w:rFonts w:cs="Arial"/>
          <w:color w:val="auto"/>
        </w:rPr>
        <w:t xml:space="preserve">Sent by e-mail only: </w:t>
      </w:r>
      <w:proofErr w:type="spellStart"/>
      <w:r w:rsidR="00523350" w:rsidRPr="00523350">
        <w:rPr>
          <w:highlight w:val="black"/>
          <w:lang w:val="en-US" w:eastAsia="en-GB"/>
        </w:rPr>
        <w:t>xxxxxxxxxxxxxxxxxxxxxxx</w:t>
      </w:r>
      <w:proofErr w:type="spellEnd"/>
    </w:p>
    <w:p w14:paraId="3F02C0B8" w14:textId="61A6C485" w:rsidR="00C70019" w:rsidRPr="00321EDD" w:rsidRDefault="00787F06" w:rsidP="00413F89">
      <w:pPr>
        <w:jc w:val="both"/>
        <w:rPr>
          <w:rFonts w:cs="Arial"/>
          <w:color w:val="auto"/>
        </w:rPr>
      </w:pPr>
      <w:r>
        <w:rPr>
          <w:rFonts w:cs="Arial"/>
          <w:color w:val="auto"/>
        </w:rPr>
        <w:t>14 March 2023</w:t>
      </w:r>
    </w:p>
    <w:p w14:paraId="67A83021" w14:textId="3C2A10C2" w:rsidR="00C70019" w:rsidRPr="00321EDD" w:rsidRDefault="00C70019" w:rsidP="00413F89">
      <w:pPr>
        <w:ind w:left="426" w:right="468" w:hanging="426"/>
        <w:jc w:val="both"/>
        <w:rPr>
          <w:rFonts w:cs="Arial"/>
          <w:noProof/>
          <w:color w:val="auto"/>
          <w:spacing w:val="-3"/>
          <w:lang w:eastAsia="en-GB"/>
        </w:rPr>
      </w:pPr>
      <w:bookmarkStart w:id="0" w:name="deartext"/>
      <w:r w:rsidRPr="00321EDD">
        <w:rPr>
          <w:rFonts w:cs="Arial"/>
          <w:color w:val="auto"/>
        </w:rPr>
        <w:t>Dear</w:t>
      </w:r>
      <w:bookmarkEnd w:id="0"/>
      <w:r w:rsidRPr="00321EDD">
        <w:rPr>
          <w:rFonts w:cs="Arial"/>
          <w:color w:val="auto"/>
        </w:rPr>
        <w:t xml:space="preserve"> </w:t>
      </w:r>
      <w:bookmarkStart w:id="1" w:name="Sal"/>
      <w:bookmarkEnd w:id="1"/>
      <w:proofErr w:type="spellStart"/>
      <w:r w:rsidR="00523350" w:rsidRPr="00523350">
        <w:rPr>
          <w:rFonts w:cs="Arial"/>
          <w:color w:val="auto"/>
          <w:highlight w:val="black"/>
        </w:rPr>
        <w:t>xxxxxxxxxxxx</w:t>
      </w:r>
      <w:proofErr w:type="spellEnd"/>
    </w:p>
    <w:p w14:paraId="3F86EAD3" w14:textId="516D7CFB" w:rsidR="00683A22" w:rsidRPr="00321EDD" w:rsidRDefault="004A76D5" w:rsidP="00683A22">
      <w:pPr>
        <w:ind w:left="426" w:right="468" w:hanging="426"/>
        <w:jc w:val="both"/>
        <w:rPr>
          <w:rFonts w:cs="Arial"/>
          <w:b/>
          <w:color w:val="auto"/>
        </w:rPr>
      </w:pPr>
      <w:r w:rsidRPr="00321EDD">
        <w:rPr>
          <w:rFonts w:cs="Arial"/>
          <w:noProof/>
          <w:color w:val="auto"/>
          <w:spacing w:val="-3"/>
          <w:lang w:eastAsia="en-GB"/>
        </w:rPr>
        <mc:AlternateContent>
          <mc:Choice Requires="wps">
            <w:drawing>
              <wp:anchor distT="4294967294" distB="4294967294" distL="114300" distR="114300" simplePos="0" relativeHeight="251659264" behindDoc="0" locked="0" layoutInCell="1" allowOverlap="1" wp14:anchorId="0EF87D43" wp14:editId="6DEA1E1F">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D103AE"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321EDD">
        <w:rPr>
          <w:rFonts w:cs="Arial"/>
          <w:b/>
          <w:color w:val="auto"/>
          <w:spacing w:val="-3"/>
        </w:rPr>
        <w:t xml:space="preserve">Re: </w:t>
      </w:r>
      <w:r w:rsidR="00683A22" w:rsidRPr="00321EDD">
        <w:rPr>
          <w:rFonts w:cs="Arial"/>
          <w:b/>
          <w:color w:val="auto"/>
        </w:rPr>
        <w:t>Final Draft Guidance — Therapeutics for people with COVID-19 [ID4038]</w:t>
      </w:r>
    </w:p>
    <w:p w14:paraId="35EB8163" w14:textId="77777777" w:rsidR="00683A22" w:rsidRPr="00321EDD" w:rsidRDefault="00683A22" w:rsidP="00683A22">
      <w:pPr>
        <w:jc w:val="both"/>
        <w:rPr>
          <w:rFonts w:cs="Arial"/>
          <w:color w:val="auto"/>
        </w:rPr>
      </w:pPr>
      <w:r w:rsidRPr="00321EDD">
        <w:rPr>
          <w:rFonts w:cs="Arial"/>
          <w:color w:val="auto"/>
        </w:rPr>
        <w:t xml:space="preserve">Thank you for your letter of 7 March 2023, lodging an appeal against the above Final Draft Guidance (FDG).  </w:t>
      </w:r>
    </w:p>
    <w:p w14:paraId="5F523C58" w14:textId="26CF798D" w:rsidR="00C70019" w:rsidRPr="00321EDD" w:rsidRDefault="00C70019" w:rsidP="00683A22">
      <w:pPr>
        <w:ind w:left="426" w:right="468" w:hanging="426"/>
        <w:jc w:val="both"/>
        <w:rPr>
          <w:rFonts w:cs="Arial"/>
          <w:color w:val="auto"/>
        </w:rPr>
      </w:pPr>
      <w:r w:rsidRPr="00321EDD">
        <w:rPr>
          <w:rFonts w:cs="Arial"/>
          <w:color w:val="auto"/>
          <w:u w:val="single"/>
        </w:rPr>
        <w:t>Introduction</w:t>
      </w:r>
      <w:r w:rsidRPr="00321EDD">
        <w:rPr>
          <w:rFonts w:cs="Arial"/>
          <w:color w:val="auto"/>
        </w:rPr>
        <w:t xml:space="preserve"> </w:t>
      </w:r>
    </w:p>
    <w:p w14:paraId="70E1E5B1" w14:textId="2DBAE3FD" w:rsidR="00C70019" w:rsidRPr="00321EDD" w:rsidRDefault="00C70019" w:rsidP="00413F89">
      <w:pPr>
        <w:jc w:val="both"/>
        <w:rPr>
          <w:rFonts w:cs="Arial"/>
          <w:color w:val="auto"/>
        </w:rPr>
      </w:pPr>
      <w:r w:rsidRPr="00321EDD">
        <w:rPr>
          <w:rFonts w:cs="Arial"/>
          <w:color w:val="auto"/>
        </w:rPr>
        <w:t xml:space="preserve">The Institute's appeal procedures provide for an initial scrutiny of points that an appellant wishes to raise, to </w:t>
      </w:r>
      <w:r w:rsidR="006B6C22" w:rsidRPr="00321EDD">
        <w:rPr>
          <w:rFonts w:cs="Arial"/>
          <w:color w:val="auto"/>
        </w:rPr>
        <w:t>provide an initial view on whether</w:t>
      </w:r>
      <w:r w:rsidRPr="00321EDD">
        <w:rPr>
          <w:rFonts w:cs="Arial"/>
          <w:color w:val="auto"/>
        </w:rPr>
        <w:t xml:space="preserve"> they are within the permitted grounds of appeal ("valid")</w:t>
      </w:r>
      <w:r w:rsidR="006B6C22" w:rsidRPr="00321EDD">
        <w:rPr>
          <w:rFonts w:cs="Arial"/>
          <w:color w:val="auto"/>
        </w:rPr>
        <w:t xml:space="preserve"> and are at least arguable</w:t>
      </w:r>
      <w:r w:rsidRPr="00321EDD">
        <w:rPr>
          <w:rFonts w:cs="Arial"/>
          <w:color w:val="auto"/>
        </w:rPr>
        <w:t xml:space="preserve">. The permitted grounds of appeal are: </w:t>
      </w:r>
    </w:p>
    <w:p w14:paraId="25359C75" w14:textId="77777777" w:rsidR="00C70019" w:rsidRPr="00321EDD" w:rsidRDefault="00C70019" w:rsidP="00413F89">
      <w:pPr>
        <w:numPr>
          <w:ilvl w:val="0"/>
          <w:numId w:val="2"/>
        </w:numPr>
        <w:shd w:val="clear" w:color="auto" w:fill="FFFFFF"/>
        <w:spacing w:before="240" w:after="240" w:line="240" w:lineRule="auto"/>
        <w:jc w:val="both"/>
        <w:rPr>
          <w:rFonts w:cs="Arial"/>
          <w:color w:val="auto"/>
        </w:rPr>
      </w:pPr>
      <w:r w:rsidRPr="00321EDD">
        <w:rPr>
          <w:rFonts w:cs="Arial"/>
          <w:color w:val="auto"/>
        </w:rPr>
        <w:t xml:space="preserve">1(a) NICE has failed to act fairly, or </w:t>
      </w:r>
    </w:p>
    <w:p w14:paraId="14BFF060" w14:textId="77777777" w:rsidR="00C70019" w:rsidRPr="00321EDD" w:rsidRDefault="00C70019" w:rsidP="00413F89">
      <w:pPr>
        <w:numPr>
          <w:ilvl w:val="0"/>
          <w:numId w:val="2"/>
        </w:numPr>
        <w:shd w:val="clear" w:color="auto" w:fill="FFFFFF"/>
        <w:spacing w:before="240" w:after="240" w:line="240" w:lineRule="auto"/>
        <w:jc w:val="both"/>
        <w:rPr>
          <w:rFonts w:cs="Arial"/>
          <w:color w:val="auto"/>
        </w:rPr>
      </w:pPr>
      <w:r w:rsidRPr="00321EDD">
        <w:rPr>
          <w:rFonts w:cs="Arial"/>
          <w:color w:val="auto"/>
        </w:rPr>
        <w:t>1(b) NICE has exceeded powers;</w:t>
      </w:r>
    </w:p>
    <w:p w14:paraId="22754B60" w14:textId="77777777" w:rsidR="00C70019" w:rsidRPr="00321EDD" w:rsidRDefault="00C70019" w:rsidP="00413F89">
      <w:pPr>
        <w:numPr>
          <w:ilvl w:val="0"/>
          <w:numId w:val="2"/>
        </w:numPr>
        <w:shd w:val="clear" w:color="auto" w:fill="FFFFFF"/>
        <w:spacing w:before="240" w:after="240" w:line="240" w:lineRule="auto"/>
        <w:jc w:val="both"/>
        <w:rPr>
          <w:rFonts w:cs="Arial"/>
          <w:color w:val="auto"/>
        </w:rPr>
      </w:pPr>
      <w:r w:rsidRPr="00321EDD">
        <w:rPr>
          <w:rFonts w:cs="Arial"/>
          <w:color w:val="auto"/>
        </w:rPr>
        <w:t>(2) the recommendation is unreasonable in the light of the evidence submitted to NICE</w:t>
      </w:r>
      <w:r w:rsidR="006347AD" w:rsidRPr="00321EDD">
        <w:rPr>
          <w:rFonts w:cs="Arial"/>
          <w:color w:val="auto"/>
        </w:rPr>
        <w:t>.</w:t>
      </w:r>
    </w:p>
    <w:p w14:paraId="08D953B5" w14:textId="25297E74" w:rsidR="00C70019" w:rsidRPr="00321EDD" w:rsidRDefault="00C70019" w:rsidP="00413F89">
      <w:pPr>
        <w:jc w:val="both"/>
        <w:rPr>
          <w:rFonts w:cs="Arial"/>
          <w:color w:val="auto"/>
        </w:rPr>
      </w:pPr>
      <w:r w:rsidRPr="00321EDD">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00F41597" w:rsidRPr="00321EDD">
        <w:rPr>
          <w:rFonts w:cs="Arial"/>
          <w:color w:val="auto"/>
        </w:rPr>
        <w:t>, are arguable, and</w:t>
      </w:r>
      <w:r w:rsidRPr="00321EDD">
        <w:rPr>
          <w:rFonts w:cs="Arial"/>
          <w:color w:val="auto"/>
        </w:rPr>
        <w:t xml:space="preserve"> fall within any one of the grounds will your appeal be referred to the Appeal Panel. </w:t>
      </w:r>
    </w:p>
    <w:p w14:paraId="146CF237" w14:textId="77777777" w:rsidR="00C70019" w:rsidRPr="00321EDD" w:rsidRDefault="00C70019" w:rsidP="00413F89">
      <w:pPr>
        <w:jc w:val="both"/>
        <w:rPr>
          <w:rFonts w:cs="Arial"/>
          <w:color w:val="auto"/>
        </w:rPr>
      </w:pPr>
      <w:r w:rsidRPr="00321EDD">
        <w:rPr>
          <w:rFonts w:cs="Arial"/>
          <w:color w:val="auto"/>
        </w:rPr>
        <w:t xml:space="preserve">You have the opportunity to comment on this letter in order to elaborate on or clarify any of the points raised before I will make my final decision as to whether each appeal point should be referred on to the Appeal Panel. </w:t>
      </w:r>
    </w:p>
    <w:p w14:paraId="3294E8F2" w14:textId="77777777" w:rsidR="00C70019" w:rsidRPr="00321EDD" w:rsidRDefault="00C70019" w:rsidP="00413F89">
      <w:pPr>
        <w:jc w:val="both"/>
        <w:rPr>
          <w:rFonts w:cs="Arial"/>
          <w:color w:val="auto"/>
          <w:u w:val="single"/>
        </w:rPr>
      </w:pPr>
      <w:r w:rsidRPr="00321EDD">
        <w:rPr>
          <w:rFonts w:cs="Arial"/>
          <w:color w:val="auto"/>
          <w:u w:val="single"/>
        </w:rPr>
        <w:t>Initial View</w:t>
      </w:r>
    </w:p>
    <w:p w14:paraId="15B951E6" w14:textId="2F3D0F1A" w:rsidR="00262058" w:rsidRPr="00321EDD" w:rsidRDefault="00BB43EC" w:rsidP="00413F89">
      <w:pPr>
        <w:jc w:val="both"/>
        <w:rPr>
          <w:rFonts w:cs="Arial"/>
          <w:color w:val="auto"/>
        </w:rPr>
      </w:pPr>
      <w:r w:rsidRPr="00321EDD">
        <w:rPr>
          <w:rFonts w:cs="Arial"/>
          <w:color w:val="auto"/>
        </w:rPr>
        <w:t>I</w:t>
      </w:r>
      <w:r w:rsidR="00C70019" w:rsidRPr="00321EDD">
        <w:rPr>
          <w:rFonts w:cs="Arial"/>
          <w:color w:val="auto"/>
        </w:rPr>
        <w:t xml:space="preserve"> assess each of your </w:t>
      </w:r>
      <w:r w:rsidR="00B36320" w:rsidRPr="00321EDD">
        <w:rPr>
          <w:rFonts w:cs="Arial"/>
          <w:color w:val="auto"/>
        </w:rPr>
        <w:t xml:space="preserve">points </w:t>
      </w:r>
      <w:r w:rsidR="00C70019" w:rsidRPr="00321EDD">
        <w:rPr>
          <w:rFonts w:cs="Arial"/>
          <w:color w:val="auto"/>
        </w:rPr>
        <w:t xml:space="preserve">in turn.  </w:t>
      </w:r>
    </w:p>
    <w:p w14:paraId="79585C5D" w14:textId="5F282271" w:rsidR="0065300D" w:rsidRPr="00321EDD" w:rsidRDefault="0065300D" w:rsidP="0065300D">
      <w:pPr>
        <w:jc w:val="both"/>
        <w:rPr>
          <w:rFonts w:cs="Arial"/>
          <w:color w:val="auto"/>
        </w:rPr>
      </w:pPr>
      <w:r w:rsidRPr="00321EDD">
        <w:rPr>
          <w:rFonts w:cs="Arial"/>
          <w:color w:val="auto"/>
        </w:rPr>
        <w:lastRenderedPageBreak/>
        <w:t>I have had regard to both the NICE Manual</w:t>
      </w:r>
      <w:r w:rsidRPr="00321EDD">
        <w:rPr>
          <w:rStyle w:val="FootnoteReference"/>
          <w:rFonts w:cs="Arial"/>
          <w:color w:val="auto"/>
        </w:rPr>
        <w:footnoteReference w:id="1"/>
      </w:r>
      <w:r w:rsidRPr="00321EDD">
        <w:rPr>
          <w:rFonts w:cs="Arial"/>
          <w:color w:val="auto"/>
        </w:rPr>
        <w:t xml:space="preserve"> and its Process Statement</w:t>
      </w:r>
      <w:r w:rsidRPr="00321EDD">
        <w:rPr>
          <w:rStyle w:val="FootnoteReference"/>
          <w:rFonts w:cs="Arial"/>
          <w:color w:val="auto"/>
        </w:rPr>
        <w:footnoteReference w:id="2"/>
      </w:r>
      <w:r w:rsidRPr="00321EDD">
        <w:rPr>
          <w:rFonts w:cs="Arial"/>
          <w:color w:val="auto"/>
        </w:rPr>
        <w:t xml:space="preserve"> when forming my initial view of your appeal points. </w:t>
      </w:r>
    </w:p>
    <w:p w14:paraId="7ADCDE98" w14:textId="77777777" w:rsidR="00E87F1E" w:rsidRPr="00321EDD" w:rsidRDefault="00E87F1E" w:rsidP="00E87F1E">
      <w:pPr>
        <w:spacing w:before="120" w:after="0" w:line="240" w:lineRule="auto"/>
        <w:rPr>
          <w:rFonts w:cs="Arial"/>
          <w:b/>
          <w:i/>
          <w:color w:val="auto"/>
          <w:lang w:eastAsia="en-GB"/>
        </w:rPr>
      </w:pPr>
      <w:r w:rsidRPr="00321EDD">
        <w:rPr>
          <w:rFonts w:cs="Arial"/>
          <w:b/>
          <w:i/>
          <w:color w:val="auto"/>
          <w:lang w:eastAsia="en-GB"/>
        </w:rPr>
        <w:t>Ground 1(a): In making the assessment that preceded the recommendation, NICE has failed to act fairly</w:t>
      </w:r>
    </w:p>
    <w:p w14:paraId="4DA05162" w14:textId="130FF218" w:rsidR="00B11119" w:rsidRPr="00321EDD" w:rsidRDefault="00B62869" w:rsidP="00413F89">
      <w:pPr>
        <w:spacing w:before="240" w:after="240" w:line="276" w:lineRule="auto"/>
        <w:jc w:val="both"/>
        <w:rPr>
          <w:rFonts w:cs="Arial"/>
          <w:b/>
          <w:color w:val="auto"/>
          <w:u w:val="single"/>
        </w:rPr>
      </w:pPr>
      <w:r w:rsidRPr="00321EDD">
        <w:rPr>
          <w:rFonts w:cs="Arial"/>
          <w:b/>
          <w:color w:val="auto"/>
          <w:u w:val="single"/>
        </w:rPr>
        <w:t>Appeal point 1(a).1</w:t>
      </w:r>
      <w:r w:rsidR="005D3EE3" w:rsidRPr="00321EDD">
        <w:rPr>
          <w:rFonts w:cs="Arial"/>
          <w:b/>
          <w:color w:val="auto"/>
          <w:u w:val="single"/>
        </w:rPr>
        <w:t xml:space="preserve"> For lack of time and resource allocated to this MTA, companies were not given the opportunity to make a full evidence submission and NICE refused Gilead’s request to submit an economic model, resulting in important evidence not being considered by the Committee.</w:t>
      </w:r>
    </w:p>
    <w:p w14:paraId="1C58A6DD" w14:textId="3063BD2D" w:rsidR="0024639F" w:rsidRPr="00321EDD" w:rsidRDefault="00E87F1E" w:rsidP="00E87F1E">
      <w:pPr>
        <w:pStyle w:val="BodyText"/>
        <w:jc w:val="both"/>
        <w:rPr>
          <w:rFonts w:cs="Arial"/>
          <w:color w:val="auto"/>
        </w:rPr>
      </w:pPr>
      <w:r w:rsidRPr="00321EDD">
        <w:rPr>
          <w:rFonts w:cs="Arial"/>
          <w:color w:val="auto"/>
        </w:rPr>
        <w:t xml:space="preserve">I </w:t>
      </w:r>
      <w:r w:rsidR="005D3EE3" w:rsidRPr="00321EDD">
        <w:rPr>
          <w:rFonts w:cs="Arial"/>
          <w:color w:val="auto"/>
        </w:rPr>
        <w:t>a</w:t>
      </w:r>
      <w:r w:rsidRPr="00321EDD">
        <w:rPr>
          <w:rFonts w:cs="Arial"/>
          <w:color w:val="auto"/>
        </w:rPr>
        <w:t>m minded to refer this appeal point to the Appeal Panel</w:t>
      </w:r>
      <w:r w:rsidR="00967053" w:rsidRPr="00321EDD">
        <w:rPr>
          <w:rFonts w:cs="Arial"/>
          <w:color w:val="auto"/>
        </w:rPr>
        <w:t xml:space="preserve">. In order to assist preparation for the hearing I make the following observations. </w:t>
      </w:r>
      <w:r w:rsidRPr="00321EDD">
        <w:rPr>
          <w:rFonts w:cs="Arial"/>
          <w:color w:val="auto"/>
        </w:rPr>
        <w:t xml:space="preserve"> </w:t>
      </w:r>
    </w:p>
    <w:p w14:paraId="7B9DA1FB" w14:textId="0D9F7968" w:rsidR="004200B8" w:rsidRPr="00321EDD" w:rsidRDefault="0049187F" w:rsidP="00D131F5">
      <w:pPr>
        <w:pStyle w:val="BodyText"/>
        <w:numPr>
          <w:ilvl w:val="0"/>
          <w:numId w:val="39"/>
        </w:numPr>
        <w:jc w:val="both"/>
        <w:rPr>
          <w:rFonts w:cs="Arial"/>
          <w:bCs/>
          <w:i/>
          <w:iCs/>
          <w:color w:val="auto"/>
        </w:rPr>
      </w:pPr>
      <w:r w:rsidRPr="00321EDD">
        <w:rPr>
          <w:rFonts w:cs="Arial"/>
          <w:bCs/>
          <w:color w:val="auto"/>
        </w:rPr>
        <w:t>The Process Statement states that “</w:t>
      </w:r>
      <w:r w:rsidRPr="00321EDD">
        <w:rPr>
          <w:rFonts w:cs="Arial"/>
          <w:bCs/>
          <w:i/>
          <w:iCs/>
          <w:color w:val="auto"/>
        </w:rPr>
        <w:t xml:space="preserve">This multiple technology appraisal will follow all the steps in </w:t>
      </w:r>
      <w:r w:rsidRPr="00321EDD">
        <w:rPr>
          <w:rFonts w:cs="Arial"/>
          <w:bCs/>
          <w:color w:val="auto"/>
        </w:rPr>
        <w:t xml:space="preserve">[the process set out in NICE’s Manual], </w:t>
      </w:r>
      <w:r w:rsidRPr="00321EDD">
        <w:rPr>
          <w:rFonts w:cs="Arial"/>
          <w:bCs/>
          <w:i/>
          <w:iCs/>
          <w:color w:val="auto"/>
        </w:rPr>
        <w:t>but re-sequenced and with shortened timelines</w:t>
      </w:r>
      <w:r w:rsidRPr="00321EDD">
        <w:rPr>
          <w:rFonts w:cs="Arial"/>
          <w:bCs/>
          <w:color w:val="auto"/>
        </w:rPr>
        <w:t>”</w:t>
      </w:r>
      <w:r w:rsidR="00957DB9" w:rsidRPr="00321EDD">
        <w:rPr>
          <w:rFonts w:cs="Arial"/>
          <w:bCs/>
          <w:color w:val="auto"/>
        </w:rPr>
        <w:t xml:space="preserve">. </w:t>
      </w:r>
      <w:r w:rsidR="00D83825" w:rsidRPr="00321EDD">
        <w:rPr>
          <w:rFonts w:cs="Arial"/>
          <w:bCs/>
          <w:color w:val="auto"/>
        </w:rPr>
        <w:t xml:space="preserve">It therefore appears to me that </w:t>
      </w:r>
      <w:r w:rsidR="009C03E6" w:rsidRPr="00321EDD">
        <w:rPr>
          <w:rFonts w:cs="Arial"/>
          <w:bCs/>
          <w:color w:val="auto"/>
        </w:rPr>
        <w:t>a</w:t>
      </w:r>
      <w:r w:rsidR="005052DB" w:rsidRPr="00321EDD">
        <w:rPr>
          <w:rFonts w:cs="Arial"/>
          <w:bCs/>
          <w:color w:val="auto"/>
        </w:rPr>
        <w:t>n</w:t>
      </w:r>
      <w:r w:rsidR="009C03E6" w:rsidRPr="00321EDD">
        <w:rPr>
          <w:rFonts w:cs="Arial"/>
          <w:bCs/>
          <w:color w:val="auto"/>
        </w:rPr>
        <w:t xml:space="preserve"> appellant could</w:t>
      </w:r>
      <w:r w:rsidR="00A50394" w:rsidRPr="00321EDD">
        <w:rPr>
          <w:rFonts w:cs="Arial"/>
          <w:bCs/>
          <w:color w:val="auto"/>
        </w:rPr>
        <w:t xml:space="preserve"> in theory</w:t>
      </w:r>
      <w:r w:rsidR="009C03E6" w:rsidRPr="00321EDD">
        <w:rPr>
          <w:rFonts w:cs="Arial"/>
          <w:bCs/>
          <w:color w:val="auto"/>
        </w:rPr>
        <w:t xml:space="preserve"> make an arguable ground 1(a) appeal point that the </w:t>
      </w:r>
      <w:r w:rsidR="004200B8" w:rsidRPr="00321EDD">
        <w:rPr>
          <w:rFonts w:cs="Arial"/>
          <w:bCs/>
          <w:color w:val="auto"/>
        </w:rPr>
        <w:t xml:space="preserve">Committee </w:t>
      </w:r>
      <w:r w:rsidR="00285981" w:rsidRPr="00321EDD">
        <w:rPr>
          <w:rFonts w:cs="Arial"/>
          <w:bCs/>
          <w:color w:val="auto"/>
        </w:rPr>
        <w:t xml:space="preserve">failed to </w:t>
      </w:r>
      <w:r w:rsidR="00957DB9" w:rsidRPr="00321EDD">
        <w:rPr>
          <w:rFonts w:cs="Arial"/>
          <w:bCs/>
          <w:color w:val="auto"/>
        </w:rPr>
        <w:t>“</w:t>
      </w:r>
      <w:r w:rsidR="00285981" w:rsidRPr="00321EDD">
        <w:rPr>
          <w:rFonts w:cs="Arial"/>
          <w:bCs/>
          <w:color w:val="auto"/>
        </w:rPr>
        <w:t>follow all the steps</w:t>
      </w:r>
      <w:r w:rsidR="00957DB9" w:rsidRPr="00321EDD">
        <w:rPr>
          <w:rFonts w:cs="Arial"/>
          <w:bCs/>
          <w:color w:val="auto"/>
        </w:rPr>
        <w:t>”</w:t>
      </w:r>
      <w:r w:rsidR="00285981" w:rsidRPr="00321EDD">
        <w:rPr>
          <w:rFonts w:cs="Arial"/>
          <w:bCs/>
          <w:color w:val="auto"/>
        </w:rPr>
        <w:t xml:space="preserve"> in the Manual</w:t>
      </w:r>
      <w:r w:rsidR="00E47D66" w:rsidRPr="00321EDD">
        <w:rPr>
          <w:rFonts w:cs="Arial"/>
          <w:bCs/>
          <w:color w:val="auto"/>
        </w:rPr>
        <w:t xml:space="preserve"> </w:t>
      </w:r>
      <w:r w:rsidR="00E47D66" w:rsidRPr="00321EDD">
        <w:rPr>
          <w:rFonts w:cs="Arial"/>
          <w:color w:val="auto"/>
        </w:rPr>
        <w:t xml:space="preserve">(whether owing to the timing set out in NICE’s </w:t>
      </w:r>
      <w:r w:rsidR="009814B1" w:rsidRPr="00321EDD">
        <w:rPr>
          <w:rFonts w:cs="Arial"/>
          <w:color w:val="auto"/>
        </w:rPr>
        <w:t>Process Statement</w:t>
      </w:r>
      <w:r w:rsidR="00E47D66" w:rsidRPr="00321EDD">
        <w:rPr>
          <w:rFonts w:cs="Arial"/>
          <w:color w:val="auto"/>
        </w:rPr>
        <w:t xml:space="preserve"> or </w:t>
      </w:r>
      <w:r w:rsidR="00092FA9" w:rsidRPr="00321EDD">
        <w:rPr>
          <w:rFonts w:cs="Arial"/>
          <w:color w:val="auto"/>
        </w:rPr>
        <w:t xml:space="preserve">for </w:t>
      </w:r>
      <w:r w:rsidR="00E47D66" w:rsidRPr="00321EDD">
        <w:rPr>
          <w:rFonts w:cs="Arial"/>
          <w:color w:val="auto"/>
        </w:rPr>
        <w:t>any other reason)</w:t>
      </w:r>
      <w:r w:rsidR="00957DB9" w:rsidRPr="00321EDD">
        <w:rPr>
          <w:rFonts w:cs="Arial"/>
          <w:bCs/>
          <w:color w:val="auto"/>
        </w:rPr>
        <w:t>.</w:t>
      </w:r>
    </w:p>
    <w:p w14:paraId="34235D80" w14:textId="6E92C5FD" w:rsidR="00BD167E" w:rsidRPr="00321EDD" w:rsidRDefault="008E20B8" w:rsidP="00D131F5">
      <w:pPr>
        <w:pStyle w:val="BodyText"/>
        <w:numPr>
          <w:ilvl w:val="0"/>
          <w:numId w:val="39"/>
        </w:numPr>
        <w:jc w:val="both"/>
        <w:rPr>
          <w:rFonts w:cs="Arial"/>
          <w:bCs/>
          <w:i/>
          <w:iCs/>
          <w:color w:val="auto"/>
        </w:rPr>
      </w:pPr>
      <w:r w:rsidRPr="00321EDD">
        <w:rPr>
          <w:rFonts w:cs="Arial"/>
          <w:color w:val="auto"/>
        </w:rPr>
        <w:t xml:space="preserve">A </w:t>
      </w:r>
      <w:r w:rsidR="00BD167E" w:rsidRPr="00321EDD">
        <w:rPr>
          <w:rFonts w:cs="Arial"/>
          <w:color w:val="auto"/>
        </w:rPr>
        <w:t xml:space="preserve">challenge </w:t>
      </w:r>
      <w:r w:rsidRPr="00321EDD">
        <w:rPr>
          <w:rFonts w:cs="Arial"/>
          <w:color w:val="auto"/>
        </w:rPr>
        <w:t xml:space="preserve">to </w:t>
      </w:r>
      <w:r w:rsidR="00BD167E" w:rsidRPr="00321EDD">
        <w:rPr>
          <w:rFonts w:cs="Arial"/>
          <w:color w:val="auto"/>
        </w:rPr>
        <w:t xml:space="preserve">the processes </w:t>
      </w:r>
      <w:r w:rsidR="00AB0D53" w:rsidRPr="00321EDD">
        <w:rPr>
          <w:rFonts w:cs="Arial"/>
          <w:color w:val="auto"/>
        </w:rPr>
        <w:t xml:space="preserve">themselves, as </w:t>
      </w:r>
      <w:r w:rsidR="00BD167E" w:rsidRPr="00321EDD">
        <w:rPr>
          <w:rFonts w:cs="Arial"/>
          <w:color w:val="auto"/>
        </w:rPr>
        <w:t xml:space="preserve">set out in the Manual and Process Statement (i.e. </w:t>
      </w:r>
      <w:r w:rsidR="00424D33" w:rsidRPr="00321EDD">
        <w:rPr>
          <w:rFonts w:cs="Arial"/>
          <w:color w:val="auto"/>
        </w:rPr>
        <w:t>the steps that</w:t>
      </w:r>
      <w:r w:rsidR="00BD167E" w:rsidRPr="00321EDD">
        <w:rPr>
          <w:rFonts w:cs="Arial"/>
          <w:color w:val="auto"/>
        </w:rPr>
        <w:t xml:space="preserve"> the Manual requires</w:t>
      </w:r>
      <w:r w:rsidR="00424D33" w:rsidRPr="00321EDD">
        <w:rPr>
          <w:rFonts w:cs="Arial"/>
          <w:color w:val="auto"/>
        </w:rPr>
        <w:t xml:space="preserve"> and the </w:t>
      </w:r>
      <w:r w:rsidRPr="00321EDD">
        <w:rPr>
          <w:rFonts w:cs="Arial"/>
          <w:color w:val="auto"/>
        </w:rPr>
        <w:t xml:space="preserve">approach to </w:t>
      </w:r>
      <w:r w:rsidR="00424D33" w:rsidRPr="00321EDD">
        <w:rPr>
          <w:rFonts w:cs="Arial"/>
          <w:color w:val="auto"/>
        </w:rPr>
        <w:t xml:space="preserve">sequencing and timing set out in the Process Statement), </w:t>
      </w:r>
      <w:r w:rsidR="00BD167E" w:rsidRPr="00321EDD">
        <w:rPr>
          <w:rFonts w:cs="Arial"/>
          <w:color w:val="auto"/>
        </w:rPr>
        <w:t xml:space="preserve">as opposed to the committee’s compliance with </w:t>
      </w:r>
      <w:r w:rsidR="00217205" w:rsidRPr="00321EDD">
        <w:rPr>
          <w:rFonts w:cs="Arial"/>
          <w:color w:val="auto"/>
        </w:rPr>
        <w:t>those processes</w:t>
      </w:r>
      <w:r w:rsidR="00BD167E" w:rsidRPr="00321EDD">
        <w:rPr>
          <w:rFonts w:cs="Arial"/>
          <w:color w:val="auto"/>
        </w:rPr>
        <w:t xml:space="preserve">, </w:t>
      </w:r>
      <w:r w:rsidRPr="00321EDD">
        <w:rPr>
          <w:rFonts w:cs="Arial"/>
          <w:color w:val="auto"/>
        </w:rPr>
        <w:t>would be</w:t>
      </w:r>
      <w:r w:rsidR="00BD167E" w:rsidRPr="00321EDD">
        <w:rPr>
          <w:rFonts w:cs="Arial"/>
          <w:color w:val="auto"/>
        </w:rPr>
        <w:t xml:space="preserve"> outside of the scope of the appeals process and would be a matter for NICE.</w:t>
      </w:r>
    </w:p>
    <w:p w14:paraId="7F58637F" w14:textId="15B9B6F3" w:rsidR="008745DA" w:rsidRPr="00321EDD" w:rsidRDefault="008745DA" w:rsidP="008745DA">
      <w:pPr>
        <w:pStyle w:val="StyleParagraph11pt"/>
        <w:numPr>
          <w:ilvl w:val="0"/>
          <w:numId w:val="39"/>
        </w:numPr>
        <w:rPr>
          <w:rFonts w:cs="Arial"/>
          <w:sz w:val="20"/>
          <w:szCs w:val="20"/>
        </w:rPr>
      </w:pPr>
      <w:r w:rsidRPr="00321EDD">
        <w:rPr>
          <w:rFonts w:cs="Arial"/>
          <w:sz w:val="20"/>
          <w:szCs w:val="20"/>
        </w:rPr>
        <w:t xml:space="preserve">I am mindful of </w:t>
      </w:r>
      <w:r w:rsidR="008E20B8" w:rsidRPr="00321EDD">
        <w:rPr>
          <w:rFonts w:cs="Arial"/>
          <w:sz w:val="20"/>
          <w:szCs w:val="20"/>
        </w:rPr>
        <w:t xml:space="preserve">your </w:t>
      </w:r>
      <w:r w:rsidRPr="00321EDD">
        <w:rPr>
          <w:rFonts w:cs="Arial"/>
          <w:sz w:val="20"/>
          <w:szCs w:val="20"/>
        </w:rPr>
        <w:t xml:space="preserve">view that the alleged departures were caused by NICE’s resequencing and/or shortening of NICE’s usual timelines in accordance with the Process Statement. That resequencing and/or shortening in itself cannot in my view be the subject of an appeal point, however I am minded to agree that </w:t>
      </w:r>
      <w:r w:rsidR="00AB0D53" w:rsidRPr="00321EDD">
        <w:rPr>
          <w:rFonts w:cs="Arial"/>
          <w:sz w:val="20"/>
          <w:szCs w:val="20"/>
        </w:rPr>
        <w:t xml:space="preserve">an Appeal </w:t>
      </w:r>
      <w:r w:rsidRPr="00321EDD">
        <w:rPr>
          <w:rFonts w:cs="Arial"/>
          <w:sz w:val="20"/>
          <w:szCs w:val="20"/>
        </w:rPr>
        <w:t xml:space="preserve">Panel can properly explore whether the approach taken to evidence submission departed from the requirements of the Manual and Process Statement. </w:t>
      </w:r>
    </w:p>
    <w:p w14:paraId="633A5A0A" w14:textId="350F3930" w:rsidR="00094CF4" w:rsidRPr="00321EDD" w:rsidRDefault="00217205" w:rsidP="00D44339">
      <w:pPr>
        <w:pStyle w:val="StyleParagraph11pt"/>
        <w:numPr>
          <w:ilvl w:val="0"/>
          <w:numId w:val="39"/>
        </w:numPr>
        <w:rPr>
          <w:rFonts w:cs="Arial"/>
          <w:sz w:val="20"/>
          <w:szCs w:val="20"/>
        </w:rPr>
      </w:pPr>
      <w:r w:rsidRPr="00321EDD">
        <w:rPr>
          <w:rFonts w:cs="Arial"/>
          <w:sz w:val="20"/>
          <w:szCs w:val="20"/>
        </w:rPr>
        <w:t xml:space="preserve">I </w:t>
      </w:r>
      <w:r w:rsidR="00247666" w:rsidRPr="00321EDD">
        <w:rPr>
          <w:rFonts w:cs="Arial"/>
          <w:sz w:val="20"/>
          <w:szCs w:val="20"/>
        </w:rPr>
        <w:t xml:space="preserve">understand </w:t>
      </w:r>
      <w:r w:rsidR="00E85564" w:rsidRPr="00321EDD">
        <w:rPr>
          <w:rFonts w:cs="Arial"/>
          <w:sz w:val="20"/>
          <w:szCs w:val="20"/>
        </w:rPr>
        <w:t>your point to</w:t>
      </w:r>
      <w:r w:rsidR="00247666" w:rsidRPr="00321EDD">
        <w:rPr>
          <w:rFonts w:cs="Arial"/>
          <w:sz w:val="20"/>
          <w:szCs w:val="20"/>
        </w:rPr>
        <w:t xml:space="preserve"> </w:t>
      </w:r>
      <w:r w:rsidR="00C60082" w:rsidRPr="00321EDD">
        <w:rPr>
          <w:rFonts w:cs="Arial"/>
          <w:sz w:val="20"/>
          <w:szCs w:val="20"/>
        </w:rPr>
        <w:t>be</w:t>
      </w:r>
      <w:r w:rsidR="00247666" w:rsidRPr="00321EDD">
        <w:rPr>
          <w:rFonts w:cs="Arial"/>
          <w:sz w:val="20"/>
          <w:szCs w:val="20"/>
        </w:rPr>
        <w:t xml:space="preserve"> that some steps or requirements </w:t>
      </w:r>
      <w:r w:rsidR="00C60082" w:rsidRPr="00321EDD">
        <w:rPr>
          <w:rFonts w:cs="Arial"/>
          <w:sz w:val="20"/>
          <w:szCs w:val="20"/>
        </w:rPr>
        <w:t xml:space="preserve">as to evidence </w:t>
      </w:r>
      <w:r w:rsidR="00247666" w:rsidRPr="00321EDD">
        <w:rPr>
          <w:rFonts w:cs="Arial"/>
          <w:sz w:val="20"/>
          <w:szCs w:val="20"/>
        </w:rPr>
        <w:t>in the Manual</w:t>
      </w:r>
      <w:r w:rsidR="00E85564" w:rsidRPr="00321EDD">
        <w:rPr>
          <w:rFonts w:cs="Arial"/>
          <w:sz w:val="20"/>
          <w:szCs w:val="20"/>
        </w:rPr>
        <w:t xml:space="preserve"> </w:t>
      </w:r>
      <w:r w:rsidR="00C60082" w:rsidRPr="00321EDD">
        <w:rPr>
          <w:rFonts w:cs="Arial"/>
          <w:sz w:val="20"/>
          <w:szCs w:val="20"/>
        </w:rPr>
        <w:t xml:space="preserve">(with which the Process statement committed to comply) </w:t>
      </w:r>
      <w:r w:rsidR="00247666" w:rsidRPr="00321EDD">
        <w:rPr>
          <w:rFonts w:cs="Arial"/>
          <w:sz w:val="20"/>
          <w:szCs w:val="20"/>
        </w:rPr>
        <w:t>were not followed in this appraisal</w:t>
      </w:r>
      <w:r w:rsidR="00E85564" w:rsidRPr="00321EDD">
        <w:rPr>
          <w:rFonts w:cs="Arial"/>
          <w:sz w:val="20"/>
          <w:szCs w:val="20"/>
        </w:rPr>
        <w:t xml:space="preserve">. </w:t>
      </w:r>
      <w:r w:rsidR="00C60082" w:rsidRPr="00321EDD">
        <w:rPr>
          <w:rFonts w:cs="Arial"/>
          <w:sz w:val="20"/>
          <w:szCs w:val="20"/>
        </w:rPr>
        <w:t>I note y</w:t>
      </w:r>
      <w:r w:rsidR="00E85564" w:rsidRPr="00321EDD">
        <w:rPr>
          <w:rFonts w:cs="Arial"/>
          <w:sz w:val="20"/>
          <w:szCs w:val="20"/>
        </w:rPr>
        <w:t>ou argue that l</w:t>
      </w:r>
      <w:r w:rsidR="00AA544E" w:rsidRPr="00321EDD">
        <w:rPr>
          <w:rFonts w:cs="Arial"/>
          <w:sz w:val="20"/>
          <w:szCs w:val="20"/>
        </w:rPr>
        <w:t>ack of time and resource are not adequate reasons for refusing to accept evidence from a company</w:t>
      </w:r>
      <w:r w:rsidR="00E85564" w:rsidRPr="00321EDD">
        <w:rPr>
          <w:rFonts w:cs="Arial"/>
          <w:sz w:val="20"/>
          <w:szCs w:val="20"/>
        </w:rPr>
        <w:t xml:space="preserve">. </w:t>
      </w:r>
    </w:p>
    <w:p w14:paraId="29E1F23E" w14:textId="09518486" w:rsidR="00B319E0" w:rsidRPr="00321EDD" w:rsidRDefault="00E85564" w:rsidP="00D44339">
      <w:pPr>
        <w:pStyle w:val="StyleParagraph11pt"/>
        <w:numPr>
          <w:ilvl w:val="0"/>
          <w:numId w:val="39"/>
        </w:numPr>
        <w:rPr>
          <w:rFonts w:cs="Arial"/>
          <w:sz w:val="20"/>
          <w:szCs w:val="20"/>
        </w:rPr>
      </w:pPr>
      <w:r w:rsidRPr="00321EDD">
        <w:rPr>
          <w:rFonts w:cs="Arial"/>
          <w:sz w:val="20"/>
          <w:szCs w:val="20"/>
        </w:rPr>
        <w:t>I consider p</w:t>
      </w:r>
      <w:r w:rsidR="009F5CF3" w:rsidRPr="00321EDD">
        <w:rPr>
          <w:rFonts w:cs="Arial"/>
          <w:sz w:val="20"/>
          <w:szCs w:val="20"/>
        </w:rPr>
        <w:t>otentially r</w:t>
      </w:r>
      <w:r w:rsidR="00B319E0" w:rsidRPr="00321EDD">
        <w:rPr>
          <w:rFonts w:cs="Arial"/>
          <w:sz w:val="20"/>
          <w:szCs w:val="20"/>
        </w:rPr>
        <w:t>elevant parts of the Manual</w:t>
      </w:r>
      <w:r w:rsidR="00D12597" w:rsidRPr="00321EDD">
        <w:rPr>
          <w:rFonts w:cs="Arial"/>
          <w:sz w:val="20"/>
          <w:szCs w:val="20"/>
        </w:rPr>
        <w:t xml:space="preserve"> </w:t>
      </w:r>
      <w:r w:rsidR="00AB0D53" w:rsidRPr="00321EDD">
        <w:rPr>
          <w:rFonts w:cs="Arial"/>
          <w:sz w:val="20"/>
          <w:szCs w:val="20"/>
        </w:rPr>
        <w:t>(www.nice.org.uk/process/pmg36)</w:t>
      </w:r>
      <w:r w:rsidR="00B319E0" w:rsidRPr="00321EDD">
        <w:rPr>
          <w:rFonts w:cs="Arial"/>
          <w:sz w:val="20"/>
          <w:szCs w:val="20"/>
        </w:rPr>
        <w:t xml:space="preserve"> </w:t>
      </w:r>
      <w:r w:rsidR="009F5CF3" w:rsidRPr="00321EDD">
        <w:rPr>
          <w:rFonts w:cs="Arial"/>
          <w:sz w:val="20"/>
          <w:szCs w:val="20"/>
        </w:rPr>
        <w:t>include</w:t>
      </w:r>
      <w:r w:rsidR="00B319E0" w:rsidRPr="00321EDD">
        <w:rPr>
          <w:rFonts w:cs="Arial"/>
          <w:sz w:val="20"/>
          <w:szCs w:val="20"/>
        </w:rPr>
        <w:t>:</w:t>
      </w:r>
    </w:p>
    <w:p w14:paraId="6E327B72" w14:textId="525B0D1B" w:rsidR="009F5CF3" w:rsidRPr="00321EDD" w:rsidRDefault="009F5CF3" w:rsidP="00405137">
      <w:pPr>
        <w:pStyle w:val="StyleParagraph11pt"/>
        <w:numPr>
          <w:ilvl w:val="1"/>
          <w:numId w:val="39"/>
        </w:numPr>
        <w:rPr>
          <w:rFonts w:cs="Arial"/>
          <w:sz w:val="20"/>
          <w:szCs w:val="20"/>
        </w:rPr>
      </w:pPr>
      <w:r w:rsidRPr="00321EDD">
        <w:rPr>
          <w:rFonts w:cs="Arial"/>
          <w:sz w:val="20"/>
          <w:szCs w:val="20"/>
        </w:rPr>
        <w:t xml:space="preserve">1.3.1 </w:t>
      </w:r>
      <w:r w:rsidRPr="00321EDD">
        <w:rPr>
          <w:rFonts w:cs="Arial"/>
          <w:i/>
          <w:iCs/>
          <w:sz w:val="20"/>
          <w:szCs w:val="20"/>
        </w:rPr>
        <w:t>Companies are invited to submit evidence on the technology or technologies being evaluated</w:t>
      </w:r>
      <w:r w:rsidR="00EA1734" w:rsidRPr="00321EDD">
        <w:rPr>
          <w:rFonts w:cs="Arial"/>
          <w:i/>
          <w:iCs/>
          <w:sz w:val="20"/>
          <w:szCs w:val="20"/>
        </w:rPr>
        <w:t>…”</w:t>
      </w:r>
    </w:p>
    <w:p w14:paraId="7ABF1980" w14:textId="5E918454" w:rsidR="0047019F" w:rsidRPr="00321EDD" w:rsidRDefault="0047019F" w:rsidP="001C37B1">
      <w:pPr>
        <w:pStyle w:val="StyleParagraph11pt"/>
        <w:numPr>
          <w:ilvl w:val="1"/>
          <w:numId w:val="39"/>
        </w:numPr>
        <w:rPr>
          <w:rFonts w:cs="Arial"/>
          <w:sz w:val="20"/>
          <w:szCs w:val="20"/>
        </w:rPr>
      </w:pPr>
      <w:r w:rsidRPr="00321EDD">
        <w:rPr>
          <w:rFonts w:cs="Arial"/>
          <w:sz w:val="20"/>
          <w:szCs w:val="20"/>
        </w:rPr>
        <w:t>1.3.30: “</w:t>
      </w:r>
      <w:r w:rsidRPr="00321EDD">
        <w:rPr>
          <w:rFonts w:cs="Arial"/>
          <w:i/>
          <w:iCs/>
          <w:sz w:val="20"/>
          <w:szCs w:val="20"/>
        </w:rPr>
        <w:t>For a multiple technology evaluation (including all diagnostic evaluations), the EAG creates a report that independently synthesises the evidence from published information and any evidence submissions about the clinical effectiveness and value for money of the technologies.</w:t>
      </w:r>
      <w:r w:rsidR="00EA4842" w:rsidRPr="00321EDD">
        <w:t xml:space="preserve"> </w:t>
      </w:r>
      <w:r w:rsidR="00EA4842" w:rsidRPr="00321EDD">
        <w:rPr>
          <w:rFonts w:cs="Arial"/>
          <w:i/>
          <w:iCs/>
          <w:sz w:val="20"/>
          <w:szCs w:val="20"/>
        </w:rPr>
        <w:t xml:space="preserve">In addition to a systematic review of the clinical and cost evidence, the external assessment report normally includes an economic evaluation </w:t>
      </w:r>
      <w:r w:rsidR="00EA4842" w:rsidRPr="00321EDD">
        <w:rPr>
          <w:rFonts w:cs="Arial"/>
          <w:i/>
          <w:iCs/>
          <w:sz w:val="20"/>
          <w:szCs w:val="20"/>
        </w:rPr>
        <w:lastRenderedPageBreak/>
        <w:t>and an economic model informed by a review of the evidence. Evidence requirements are explained in section 3.</w:t>
      </w:r>
      <w:r w:rsidRPr="00321EDD">
        <w:rPr>
          <w:rFonts w:cs="Arial"/>
          <w:i/>
          <w:iCs/>
          <w:sz w:val="20"/>
          <w:szCs w:val="20"/>
        </w:rPr>
        <w:t>”</w:t>
      </w:r>
    </w:p>
    <w:p w14:paraId="0D7CF61E" w14:textId="3BD58873" w:rsidR="00263D2D" w:rsidRPr="00321EDD" w:rsidRDefault="00263D2D" w:rsidP="00B14EF0">
      <w:pPr>
        <w:pStyle w:val="StyleParagraph11pt"/>
        <w:numPr>
          <w:ilvl w:val="1"/>
          <w:numId w:val="39"/>
        </w:numPr>
        <w:rPr>
          <w:rFonts w:cs="Arial"/>
          <w:sz w:val="20"/>
          <w:szCs w:val="20"/>
        </w:rPr>
      </w:pPr>
      <w:r w:rsidRPr="00321EDD">
        <w:rPr>
          <w:rFonts w:cs="Arial"/>
          <w:sz w:val="20"/>
          <w:szCs w:val="20"/>
        </w:rPr>
        <w:t xml:space="preserve">Section 3.1.1 </w:t>
      </w:r>
      <w:r w:rsidR="005F4FDE" w:rsidRPr="00321EDD">
        <w:rPr>
          <w:rFonts w:cs="Arial"/>
          <w:sz w:val="20"/>
          <w:szCs w:val="20"/>
        </w:rPr>
        <w:t>“</w:t>
      </w:r>
      <w:r w:rsidR="005F4FDE" w:rsidRPr="00321EDD">
        <w:rPr>
          <w:rFonts w:cs="Arial"/>
          <w:i/>
          <w:iCs/>
          <w:sz w:val="20"/>
          <w:szCs w:val="20"/>
        </w:rPr>
        <w:t>A comprehensive evidence base is fundamental to the evaluation process. Evidence of various types and from multiple sources may inform the evaluation. To ensure that the guidance issued by NICE is appropriate and robust, the evidence and analysis, and their interpretation, must be of the highest standard possible and transparent</w:t>
      </w:r>
      <w:r w:rsidRPr="00321EDD">
        <w:rPr>
          <w:rFonts w:cs="Arial"/>
          <w:sz w:val="20"/>
          <w:szCs w:val="20"/>
        </w:rPr>
        <w:t>.</w:t>
      </w:r>
      <w:r w:rsidR="005F4FDE" w:rsidRPr="00321EDD">
        <w:rPr>
          <w:rFonts w:cs="Arial"/>
          <w:sz w:val="20"/>
          <w:szCs w:val="20"/>
        </w:rPr>
        <w:t>”</w:t>
      </w:r>
    </w:p>
    <w:p w14:paraId="255DF3AD" w14:textId="31B87C15" w:rsidR="00CC736C" w:rsidRPr="00321EDD" w:rsidRDefault="00A7777A" w:rsidP="003E6981">
      <w:pPr>
        <w:pStyle w:val="StyleParagraph11pt"/>
        <w:numPr>
          <w:ilvl w:val="1"/>
          <w:numId w:val="39"/>
        </w:numPr>
        <w:rPr>
          <w:rFonts w:cs="Arial"/>
          <w:sz w:val="20"/>
          <w:szCs w:val="20"/>
        </w:rPr>
      </w:pPr>
      <w:r w:rsidRPr="00321EDD">
        <w:rPr>
          <w:rFonts w:cs="Arial"/>
          <w:sz w:val="20"/>
          <w:szCs w:val="20"/>
        </w:rPr>
        <w:t xml:space="preserve">5.5.6 </w:t>
      </w:r>
      <w:r w:rsidR="00E62D50" w:rsidRPr="00321EDD">
        <w:rPr>
          <w:rFonts w:cs="Arial"/>
          <w:sz w:val="20"/>
          <w:szCs w:val="20"/>
        </w:rPr>
        <w:t>“</w:t>
      </w:r>
      <w:r w:rsidR="00E62D50" w:rsidRPr="00321EDD">
        <w:rPr>
          <w:rFonts w:cs="Arial"/>
          <w:i/>
          <w:iCs/>
          <w:sz w:val="20"/>
          <w:szCs w:val="20"/>
        </w:rPr>
        <w:t>NICE aims to make sure that companies bringing technologies forward for possible use in the NHS can make the best plausible case for its product, to the ultimate benefit of the NHS and patients…”</w:t>
      </w:r>
    </w:p>
    <w:p w14:paraId="3E408805" w14:textId="07649103" w:rsidR="00A61662" w:rsidRPr="00321EDD" w:rsidRDefault="00A61662" w:rsidP="00B319E0">
      <w:pPr>
        <w:pStyle w:val="StyleParagraph11pt"/>
        <w:numPr>
          <w:ilvl w:val="1"/>
          <w:numId w:val="39"/>
        </w:numPr>
        <w:rPr>
          <w:rFonts w:cs="Arial"/>
          <w:sz w:val="20"/>
          <w:szCs w:val="20"/>
        </w:rPr>
      </w:pPr>
      <w:r w:rsidRPr="00321EDD">
        <w:rPr>
          <w:rFonts w:cs="Arial"/>
          <w:sz w:val="20"/>
          <w:szCs w:val="20"/>
        </w:rPr>
        <w:t>5.5.8 “</w:t>
      </w:r>
      <w:r w:rsidRPr="00321EDD">
        <w:rPr>
          <w:rFonts w:cs="Arial"/>
          <w:i/>
          <w:iCs/>
          <w:sz w:val="20"/>
          <w:szCs w:val="20"/>
        </w:rPr>
        <w:t>NICE invites the company to provide an evidence submission using a detailed submission template</w:t>
      </w:r>
      <w:r w:rsidR="00E62D50" w:rsidRPr="00321EDD">
        <w:rPr>
          <w:rFonts w:cs="Arial"/>
          <w:i/>
          <w:iCs/>
          <w:sz w:val="20"/>
          <w:szCs w:val="20"/>
        </w:rPr>
        <w:t>…</w:t>
      </w:r>
      <w:r w:rsidR="00B319E0" w:rsidRPr="00321EDD">
        <w:rPr>
          <w:rFonts w:cs="Arial"/>
          <w:i/>
          <w:iCs/>
          <w:sz w:val="20"/>
          <w:szCs w:val="20"/>
        </w:rPr>
        <w:t>”</w:t>
      </w:r>
    </w:p>
    <w:p w14:paraId="23BF16DD" w14:textId="512ED6AC" w:rsidR="00AF045C" w:rsidRPr="00321EDD" w:rsidRDefault="00AF006C" w:rsidP="00AF045C">
      <w:pPr>
        <w:pStyle w:val="StyleParagraph11pt"/>
        <w:numPr>
          <w:ilvl w:val="1"/>
          <w:numId w:val="39"/>
        </w:numPr>
        <w:rPr>
          <w:rFonts w:cs="Arial"/>
          <w:sz w:val="20"/>
          <w:szCs w:val="20"/>
        </w:rPr>
      </w:pPr>
      <w:r w:rsidRPr="00321EDD">
        <w:rPr>
          <w:rFonts w:cs="Arial"/>
          <w:sz w:val="20"/>
          <w:szCs w:val="20"/>
        </w:rPr>
        <w:t>5.5.16 “</w:t>
      </w:r>
      <w:r w:rsidRPr="00321EDD">
        <w:rPr>
          <w:rFonts w:cs="Arial"/>
          <w:i/>
          <w:iCs/>
          <w:sz w:val="20"/>
          <w:szCs w:val="20"/>
        </w:rPr>
        <w:t>If the company plans to submit an economic model or is required to do so, it should inform NICE which software will be used</w:t>
      </w:r>
      <w:r w:rsidR="00E62D50" w:rsidRPr="00321EDD">
        <w:rPr>
          <w:rFonts w:cs="Arial"/>
          <w:i/>
          <w:iCs/>
          <w:sz w:val="20"/>
          <w:szCs w:val="20"/>
        </w:rPr>
        <w:t>…</w:t>
      </w:r>
      <w:r w:rsidRPr="00321EDD">
        <w:rPr>
          <w:rFonts w:cs="Arial"/>
          <w:sz w:val="20"/>
          <w:szCs w:val="20"/>
        </w:rPr>
        <w:t xml:space="preserve">” </w:t>
      </w:r>
    </w:p>
    <w:p w14:paraId="013CE82B" w14:textId="0CEE52DD" w:rsidR="00AF045C" w:rsidRPr="00321EDD" w:rsidRDefault="00A61662" w:rsidP="00AF045C">
      <w:pPr>
        <w:pStyle w:val="StyleParagraph11pt"/>
        <w:numPr>
          <w:ilvl w:val="1"/>
          <w:numId w:val="39"/>
        </w:numPr>
        <w:rPr>
          <w:rFonts w:cs="Arial"/>
          <w:sz w:val="20"/>
          <w:szCs w:val="20"/>
        </w:rPr>
      </w:pPr>
      <w:r w:rsidRPr="00321EDD">
        <w:rPr>
          <w:rFonts w:cs="Arial"/>
          <w:sz w:val="20"/>
          <w:szCs w:val="20"/>
        </w:rPr>
        <w:t>“5.6.1</w:t>
      </w:r>
      <w:r w:rsidR="00E62D50" w:rsidRPr="00321EDD">
        <w:rPr>
          <w:rFonts w:cs="Arial"/>
          <w:sz w:val="20"/>
          <w:szCs w:val="20"/>
        </w:rPr>
        <w:t xml:space="preserve"> </w:t>
      </w:r>
      <w:r w:rsidR="002A22F6" w:rsidRPr="00321EDD">
        <w:rPr>
          <w:rFonts w:cs="Arial"/>
          <w:i/>
          <w:iCs/>
          <w:sz w:val="20"/>
          <w:szCs w:val="20"/>
        </w:rPr>
        <w:t>For multiple technology evaluations, the EAG develops an assessment protocol, derived</w:t>
      </w:r>
      <w:r w:rsidRPr="00321EDD">
        <w:rPr>
          <w:rFonts w:cs="Arial"/>
          <w:i/>
          <w:iCs/>
          <w:sz w:val="20"/>
          <w:szCs w:val="20"/>
        </w:rPr>
        <w:t xml:space="preserve"> </w:t>
      </w:r>
      <w:r w:rsidR="002A22F6" w:rsidRPr="00321EDD">
        <w:rPr>
          <w:rFonts w:cs="Arial"/>
          <w:i/>
          <w:iCs/>
          <w:sz w:val="20"/>
          <w:szCs w:val="20"/>
        </w:rPr>
        <w:t>from the final scope of the evaluation. The assessment protocol outlines what the EAG will do during the evaluation and the information it will provide in the external assessment report</w:t>
      </w:r>
      <w:r w:rsidRPr="00321EDD">
        <w:rPr>
          <w:rFonts w:cs="Arial"/>
          <w:sz w:val="20"/>
          <w:szCs w:val="20"/>
        </w:rPr>
        <w:t>.</w:t>
      </w:r>
      <w:r w:rsidR="00AF045C" w:rsidRPr="00321EDD">
        <w:rPr>
          <w:rFonts w:cs="Arial"/>
          <w:sz w:val="20"/>
          <w:szCs w:val="20"/>
        </w:rPr>
        <w:t xml:space="preserve"> </w:t>
      </w:r>
      <w:r w:rsidR="002A22F6" w:rsidRPr="00321EDD">
        <w:rPr>
          <w:rFonts w:cs="Arial"/>
          <w:i/>
          <w:iCs/>
          <w:sz w:val="20"/>
          <w:szCs w:val="20"/>
        </w:rPr>
        <w:t>5.6.2 After receiving the company's evidence submission (when needed), the NICE technical lead and the EAG assess whether the submission is complete and whether the decision problem is specified appropriately with reference to the final scope.</w:t>
      </w:r>
      <w:r w:rsidR="00AF045C" w:rsidRPr="00321EDD">
        <w:rPr>
          <w:rFonts w:cs="Arial"/>
          <w:i/>
          <w:iCs/>
          <w:sz w:val="20"/>
          <w:szCs w:val="20"/>
        </w:rPr>
        <w:t>”</w:t>
      </w:r>
    </w:p>
    <w:p w14:paraId="281BB3EA" w14:textId="3EA5A4EA" w:rsidR="00AF045C" w:rsidRPr="00321EDD" w:rsidRDefault="00AF045C" w:rsidP="00AF045C">
      <w:pPr>
        <w:pStyle w:val="StyleParagraph11pt"/>
        <w:numPr>
          <w:ilvl w:val="1"/>
          <w:numId w:val="39"/>
        </w:numPr>
        <w:rPr>
          <w:rFonts w:cs="Arial"/>
          <w:sz w:val="20"/>
          <w:szCs w:val="20"/>
        </w:rPr>
      </w:pPr>
      <w:r w:rsidRPr="00321EDD">
        <w:rPr>
          <w:rFonts w:cs="Arial"/>
          <w:i/>
          <w:iCs/>
          <w:sz w:val="20"/>
          <w:szCs w:val="20"/>
        </w:rPr>
        <w:t>“</w:t>
      </w:r>
      <w:r w:rsidR="00F0776F" w:rsidRPr="00321EDD">
        <w:rPr>
          <w:rFonts w:cs="Arial"/>
          <w:i/>
          <w:iCs/>
          <w:sz w:val="20"/>
          <w:szCs w:val="20"/>
        </w:rPr>
        <w:t>5.6.13 The EAG prepares a report on the clinical and cost effectiveness or cost savings of the technology. The report is usually based on a review of the company's evidence submission (except for diagnostics guidance and multiple technology evaluations in technology appraisals and highly specialised technologies) and advice from the EAG's clinical experts.</w:t>
      </w:r>
      <w:r w:rsidRPr="00321EDD">
        <w:rPr>
          <w:rFonts w:cs="Arial"/>
          <w:i/>
          <w:iCs/>
          <w:sz w:val="20"/>
          <w:szCs w:val="20"/>
        </w:rPr>
        <w:t>”</w:t>
      </w:r>
    </w:p>
    <w:p w14:paraId="454BC76E" w14:textId="1B8F409B" w:rsidR="00AF006C" w:rsidRPr="00321EDD" w:rsidRDefault="00AF045C" w:rsidP="00AF045C">
      <w:pPr>
        <w:pStyle w:val="StyleParagraph11pt"/>
        <w:numPr>
          <w:ilvl w:val="1"/>
          <w:numId w:val="39"/>
        </w:numPr>
        <w:rPr>
          <w:rFonts w:cs="Arial"/>
          <w:sz w:val="20"/>
          <w:szCs w:val="20"/>
        </w:rPr>
      </w:pPr>
      <w:r w:rsidRPr="00321EDD">
        <w:rPr>
          <w:rFonts w:cs="Arial"/>
          <w:i/>
          <w:iCs/>
          <w:sz w:val="20"/>
          <w:szCs w:val="20"/>
        </w:rPr>
        <w:t>“</w:t>
      </w:r>
      <w:r w:rsidR="00AF006C" w:rsidRPr="00321EDD">
        <w:rPr>
          <w:rFonts w:cs="Arial"/>
          <w:i/>
          <w:iCs/>
          <w:sz w:val="20"/>
          <w:szCs w:val="20"/>
        </w:rPr>
        <w:t>5.6.15 For diagnostic guidance, companies do not normally provide an evidence submission. For multiple technology evaluations in technology appraisals and highly specialised technologies, the companies are invited to provide an evidence submission but are not formally required to do so. The EAG does an assessment of the clinical outcomes and cost effectiveness of the technologies, and diagnostic test accuracy where relevant. The assessment is based on systematic reviews of the literature, data provided by the companies, information from the experts or specialist committee members, and modelling of patient outcomes, costs and cost effectiveness. The EAG's assessment highlights the uncertainties in the evidence and may include an analysis of the value of reducing those uncertainties</w:t>
      </w:r>
      <w:r w:rsidRPr="00321EDD">
        <w:rPr>
          <w:rFonts w:cs="Arial"/>
          <w:i/>
          <w:iCs/>
          <w:sz w:val="20"/>
          <w:szCs w:val="20"/>
        </w:rPr>
        <w:t>.”</w:t>
      </w:r>
    </w:p>
    <w:p w14:paraId="2D4298CD" w14:textId="241056C2" w:rsidR="00EF3198" w:rsidRPr="00321EDD" w:rsidRDefault="00424D33" w:rsidP="00A80C88">
      <w:pPr>
        <w:pStyle w:val="StyleParagraph11pt"/>
        <w:numPr>
          <w:ilvl w:val="0"/>
          <w:numId w:val="39"/>
        </w:numPr>
        <w:rPr>
          <w:rFonts w:cs="Arial"/>
          <w:sz w:val="20"/>
          <w:szCs w:val="20"/>
        </w:rPr>
      </w:pPr>
      <w:r w:rsidRPr="00321EDD">
        <w:rPr>
          <w:rFonts w:cs="Arial"/>
          <w:sz w:val="20"/>
          <w:szCs w:val="20"/>
        </w:rPr>
        <w:t xml:space="preserve">It seems to me </w:t>
      </w:r>
      <w:r w:rsidR="00A61662" w:rsidRPr="00321EDD">
        <w:rPr>
          <w:rFonts w:cs="Arial"/>
          <w:sz w:val="20"/>
          <w:szCs w:val="20"/>
        </w:rPr>
        <w:t>that while p</w:t>
      </w:r>
      <w:r w:rsidR="00AF006C" w:rsidRPr="00321EDD">
        <w:rPr>
          <w:rFonts w:cs="Arial"/>
          <w:sz w:val="20"/>
          <w:szCs w:val="20"/>
        </w:rPr>
        <w:t xml:space="preserve">ara 5.5.16 </w:t>
      </w:r>
      <w:r w:rsidR="00EF3198" w:rsidRPr="00321EDD">
        <w:rPr>
          <w:rFonts w:cs="Arial"/>
          <w:sz w:val="20"/>
          <w:szCs w:val="20"/>
        </w:rPr>
        <w:t xml:space="preserve">suggests that an economic model </w:t>
      </w:r>
      <w:r w:rsidR="00EF3198" w:rsidRPr="00321EDD">
        <w:rPr>
          <w:rFonts w:cs="Arial"/>
          <w:sz w:val="20"/>
          <w:szCs w:val="20"/>
          <w:u w:val="single"/>
        </w:rPr>
        <w:t>might</w:t>
      </w:r>
      <w:r w:rsidR="00EF3198" w:rsidRPr="00321EDD">
        <w:rPr>
          <w:rFonts w:cs="Arial"/>
          <w:sz w:val="20"/>
          <w:szCs w:val="20"/>
        </w:rPr>
        <w:t xml:space="preserve"> be part of the company’s evidence submission,</w:t>
      </w:r>
      <w:r w:rsidR="00650C48" w:rsidRPr="00321EDD">
        <w:rPr>
          <w:rFonts w:cs="Arial"/>
          <w:sz w:val="20"/>
          <w:szCs w:val="20"/>
        </w:rPr>
        <w:t xml:space="preserve"> the Manual </w:t>
      </w:r>
      <w:r w:rsidR="00EF3198" w:rsidRPr="00321EDD">
        <w:rPr>
          <w:rFonts w:cs="Arial"/>
          <w:sz w:val="20"/>
          <w:szCs w:val="20"/>
        </w:rPr>
        <w:t xml:space="preserve">does not expressly create a right for companies to submit an economic model </w:t>
      </w:r>
      <w:r w:rsidR="00900919" w:rsidRPr="00321EDD">
        <w:rPr>
          <w:rFonts w:cs="Arial"/>
          <w:sz w:val="20"/>
          <w:szCs w:val="20"/>
        </w:rPr>
        <w:t xml:space="preserve">in a multiple technology appraisal </w:t>
      </w:r>
      <w:r w:rsidR="00EF3198" w:rsidRPr="00321EDD">
        <w:rPr>
          <w:rFonts w:cs="Arial"/>
          <w:sz w:val="20"/>
          <w:szCs w:val="20"/>
        </w:rPr>
        <w:t>or an obligation on NICE to allow companies to do so</w:t>
      </w:r>
      <w:r w:rsidR="00650C48" w:rsidRPr="00321EDD">
        <w:rPr>
          <w:rFonts w:cs="Arial"/>
          <w:sz w:val="20"/>
          <w:szCs w:val="20"/>
        </w:rPr>
        <w:t>.</w:t>
      </w:r>
    </w:p>
    <w:p w14:paraId="6BAB6770" w14:textId="4453B168" w:rsidR="002B3AC4" w:rsidRPr="00321EDD" w:rsidRDefault="002B3AC4" w:rsidP="00A80C88">
      <w:pPr>
        <w:pStyle w:val="StyleParagraph11pt"/>
        <w:numPr>
          <w:ilvl w:val="0"/>
          <w:numId w:val="39"/>
        </w:numPr>
        <w:rPr>
          <w:rFonts w:cs="Arial"/>
          <w:sz w:val="20"/>
          <w:szCs w:val="20"/>
        </w:rPr>
      </w:pPr>
      <w:r w:rsidRPr="00321EDD">
        <w:rPr>
          <w:rFonts w:cs="Arial"/>
          <w:sz w:val="20"/>
          <w:szCs w:val="20"/>
        </w:rPr>
        <w:t>However</w:t>
      </w:r>
      <w:r w:rsidR="00900919" w:rsidRPr="00321EDD">
        <w:rPr>
          <w:rFonts w:cs="Arial"/>
          <w:sz w:val="20"/>
          <w:szCs w:val="20"/>
        </w:rPr>
        <w:t xml:space="preserve">, </w:t>
      </w:r>
      <w:r w:rsidR="000C799E" w:rsidRPr="00321EDD">
        <w:rPr>
          <w:rFonts w:cs="Arial"/>
          <w:sz w:val="20"/>
          <w:szCs w:val="20"/>
        </w:rPr>
        <w:t xml:space="preserve">there is an arguable ground 1(a) point that the Committee departed from the steps required by the Manual (which NICE committed to follow in the Process Statement) </w:t>
      </w:r>
      <w:r w:rsidR="00A72FD5" w:rsidRPr="00321EDD">
        <w:rPr>
          <w:rFonts w:cs="Arial"/>
          <w:sz w:val="20"/>
          <w:szCs w:val="20"/>
        </w:rPr>
        <w:t>and</w:t>
      </w:r>
      <w:r w:rsidR="00A4099F" w:rsidRPr="00321EDD">
        <w:rPr>
          <w:rFonts w:cs="Arial"/>
          <w:sz w:val="20"/>
          <w:szCs w:val="20"/>
        </w:rPr>
        <w:t xml:space="preserve"> I am minded to</w:t>
      </w:r>
      <w:r w:rsidR="00A72FD5" w:rsidRPr="00321EDD">
        <w:rPr>
          <w:rFonts w:cs="Arial"/>
          <w:sz w:val="20"/>
          <w:szCs w:val="20"/>
        </w:rPr>
        <w:t xml:space="preserve"> refer this to a Panel for </w:t>
      </w:r>
      <w:r w:rsidR="00C60082" w:rsidRPr="00321EDD">
        <w:rPr>
          <w:rFonts w:cs="Arial"/>
          <w:sz w:val="20"/>
          <w:szCs w:val="20"/>
        </w:rPr>
        <w:t>exploration</w:t>
      </w:r>
      <w:r w:rsidR="00A72FD5" w:rsidRPr="00321EDD">
        <w:rPr>
          <w:rFonts w:cs="Arial"/>
          <w:sz w:val="20"/>
          <w:szCs w:val="20"/>
        </w:rPr>
        <w:t xml:space="preserve">. </w:t>
      </w:r>
    </w:p>
    <w:p w14:paraId="4D744E5B" w14:textId="77777777" w:rsidR="00771D95" w:rsidRPr="00321EDD" w:rsidRDefault="00771D95" w:rsidP="00771D95">
      <w:pPr>
        <w:pStyle w:val="StyleParagraph11pt"/>
        <w:rPr>
          <w:rFonts w:cs="Arial"/>
          <w:b/>
          <w:bCs/>
          <w:sz w:val="20"/>
          <w:szCs w:val="20"/>
        </w:rPr>
      </w:pPr>
      <w:r w:rsidRPr="00321EDD">
        <w:rPr>
          <w:rFonts w:cs="Arial"/>
          <w:b/>
          <w:bCs/>
          <w:sz w:val="20"/>
          <w:szCs w:val="20"/>
        </w:rPr>
        <w:lastRenderedPageBreak/>
        <w:t>1(a).2</w:t>
      </w:r>
      <w:r w:rsidRPr="00321EDD">
        <w:rPr>
          <w:rFonts w:cs="Arial"/>
          <w:b/>
          <w:bCs/>
          <w:sz w:val="20"/>
          <w:szCs w:val="20"/>
        </w:rPr>
        <w:tab/>
        <w:t>For lack of time, the EAG relied on pre-existing living systematic reviews and network</w:t>
      </w:r>
      <w:r w:rsidRPr="00321EDD">
        <w:rPr>
          <w:rFonts w:cs="Arial"/>
          <w:b/>
          <w:bCs/>
          <w:sz w:val="20"/>
          <w:szCs w:val="20"/>
          <w:lang w:val="en-US"/>
        </w:rPr>
        <w:t xml:space="preserve"> </w:t>
      </w:r>
      <w:r w:rsidRPr="00321EDD">
        <w:rPr>
          <w:rFonts w:cs="Arial"/>
          <w:b/>
          <w:bCs/>
          <w:sz w:val="20"/>
          <w:szCs w:val="20"/>
        </w:rPr>
        <w:t>meta</w:t>
      </w:r>
      <w:r w:rsidRPr="00321EDD">
        <w:rPr>
          <w:rFonts w:cs="Arial"/>
          <w:b/>
          <w:bCs/>
          <w:sz w:val="20"/>
          <w:szCs w:val="20"/>
          <w:lang w:val="en-US"/>
        </w:rPr>
        <w:t>-</w:t>
      </w:r>
      <w:r w:rsidRPr="00321EDD">
        <w:rPr>
          <w:rFonts w:cs="Arial"/>
          <w:b/>
          <w:bCs/>
          <w:sz w:val="20"/>
          <w:szCs w:val="20"/>
        </w:rPr>
        <w:t xml:space="preserve">analyses </w:t>
      </w:r>
      <w:r w:rsidRPr="00321EDD">
        <w:rPr>
          <w:rFonts w:cs="Arial"/>
          <w:b/>
          <w:bCs/>
          <w:sz w:val="20"/>
          <w:szCs w:val="20"/>
          <w:lang w:val="en-US"/>
        </w:rPr>
        <w:t>which were not originally designed to address the decision problem and were not sufficiently validated, resulting in significant flaws in the information considered by the Committee</w:t>
      </w:r>
      <w:r w:rsidRPr="00321EDD">
        <w:rPr>
          <w:rFonts w:cs="Arial"/>
          <w:b/>
          <w:bCs/>
          <w:sz w:val="20"/>
          <w:szCs w:val="20"/>
        </w:rPr>
        <w:t>.</w:t>
      </w:r>
    </w:p>
    <w:p w14:paraId="01CF8FA9" w14:textId="16E2FF40" w:rsidR="000C799E" w:rsidRPr="00321EDD" w:rsidRDefault="004356BA" w:rsidP="00E87F1E">
      <w:pPr>
        <w:spacing w:before="240" w:after="240" w:line="276" w:lineRule="auto"/>
        <w:jc w:val="both"/>
        <w:rPr>
          <w:rFonts w:cs="Arial"/>
          <w:bCs/>
          <w:iCs/>
          <w:color w:val="auto"/>
        </w:rPr>
      </w:pPr>
      <w:r w:rsidRPr="00321EDD">
        <w:rPr>
          <w:rFonts w:cs="Arial"/>
          <w:bCs/>
          <w:iCs/>
          <w:color w:val="auto"/>
        </w:rPr>
        <w:t xml:space="preserve">I am minded to refer this as a valid appeal point for much the same reasons as set out at 1(a).1 above. </w:t>
      </w:r>
      <w:r w:rsidR="003C2D5A" w:rsidRPr="00321EDD">
        <w:rPr>
          <w:rFonts w:cs="Arial"/>
          <w:bCs/>
          <w:iCs/>
          <w:color w:val="auto"/>
        </w:rPr>
        <w:t xml:space="preserve">It is arguable that the evidence relied on by the EAG </w:t>
      </w:r>
      <w:r w:rsidR="00C56555" w:rsidRPr="00321EDD">
        <w:rPr>
          <w:rFonts w:cs="Arial"/>
          <w:bCs/>
          <w:iCs/>
          <w:color w:val="auto"/>
        </w:rPr>
        <w:t xml:space="preserve">did not meet the requirements set in the Manual. </w:t>
      </w:r>
      <w:r w:rsidRPr="00321EDD">
        <w:rPr>
          <w:rFonts w:cs="Arial"/>
          <w:bCs/>
          <w:iCs/>
          <w:color w:val="auto"/>
        </w:rPr>
        <w:t>My observations above apply equally to this appeal point and I hope will assist preparation for the hearing.</w:t>
      </w:r>
    </w:p>
    <w:p w14:paraId="6D5BF1B1" w14:textId="37386B7D" w:rsidR="004E6547" w:rsidRPr="00321EDD" w:rsidRDefault="00217C9A" w:rsidP="004E6547">
      <w:pPr>
        <w:spacing w:before="240" w:after="240" w:line="276" w:lineRule="auto"/>
        <w:jc w:val="both"/>
        <w:rPr>
          <w:rFonts w:cs="Arial"/>
          <w:bCs/>
          <w:iCs/>
          <w:color w:val="auto"/>
        </w:rPr>
      </w:pPr>
      <w:r w:rsidRPr="00321EDD">
        <w:rPr>
          <w:rFonts w:cs="Arial"/>
          <w:bCs/>
          <w:iCs/>
          <w:color w:val="auto"/>
        </w:rPr>
        <w:t xml:space="preserve">I note your appeal letter cross refers under 1(a).2 by stating “See further Ground 1(a).5”. </w:t>
      </w:r>
      <w:r w:rsidR="0014179C" w:rsidRPr="00321EDD">
        <w:rPr>
          <w:rFonts w:cs="Arial"/>
          <w:bCs/>
          <w:iCs/>
          <w:color w:val="auto"/>
        </w:rPr>
        <w:t>I draw your attention to the appeals process guid</w:t>
      </w:r>
      <w:r w:rsidR="00A4099F" w:rsidRPr="00321EDD">
        <w:rPr>
          <w:rFonts w:cs="Arial"/>
          <w:bCs/>
          <w:iCs/>
          <w:color w:val="auto"/>
        </w:rPr>
        <w:t>e:</w:t>
      </w:r>
    </w:p>
    <w:p w14:paraId="7A50C91E" w14:textId="65812582" w:rsidR="00217C9A" w:rsidRPr="00321EDD" w:rsidRDefault="004E6547" w:rsidP="004E6547">
      <w:pPr>
        <w:spacing w:before="240" w:after="240" w:line="276" w:lineRule="auto"/>
        <w:ind w:left="720"/>
        <w:jc w:val="both"/>
        <w:rPr>
          <w:rFonts w:cs="Arial"/>
          <w:bCs/>
          <w:i/>
          <w:color w:val="auto"/>
        </w:rPr>
      </w:pPr>
      <w:r w:rsidRPr="00321EDD">
        <w:rPr>
          <w:rFonts w:cs="Arial"/>
          <w:bCs/>
          <w:i/>
          <w:color w:val="auto"/>
        </w:rPr>
        <w:t>“If the context for different appeal points overlaps, it is not necessary to repeat the same points under more than 1 appeal point, but appellants must set out the argument they wish to make under each ground in detail. They must not refer the Appeal Panel to earlier text without clearly indicating how that text relates to the current appeal point.”</w:t>
      </w:r>
    </w:p>
    <w:p w14:paraId="5E38ECBF" w14:textId="535E01D3" w:rsidR="0014179C" w:rsidRPr="00321EDD" w:rsidRDefault="00830472" w:rsidP="00E87F1E">
      <w:pPr>
        <w:spacing w:before="240" w:after="240" w:line="276" w:lineRule="auto"/>
        <w:jc w:val="both"/>
        <w:rPr>
          <w:rFonts w:cs="Arial"/>
          <w:bCs/>
          <w:iCs/>
          <w:color w:val="auto"/>
        </w:rPr>
      </w:pPr>
      <w:r w:rsidRPr="00321EDD">
        <w:rPr>
          <w:rFonts w:cs="Arial"/>
          <w:bCs/>
          <w:iCs/>
          <w:color w:val="auto"/>
        </w:rPr>
        <w:t>As a general note - i</w:t>
      </w:r>
      <w:r w:rsidR="0014179C" w:rsidRPr="00321EDD">
        <w:rPr>
          <w:rFonts w:cs="Arial"/>
          <w:bCs/>
          <w:iCs/>
          <w:color w:val="auto"/>
        </w:rPr>
        <w:t xml:space="preserve">f </w:t>
      </w:r>
      <w:r w:rsidRPr="00321EDD">
        <w:rPr>
          <w:rFonts w:cs="Arial"/>
          <w:bCs/>
          <w:iCs/>
          <w:color w:val="auto"/>
        </w:rPr>
        <w:t xml:space="preserve">when making appeal point [x] </w:t>
      </w:r>
      <w:r w:rsidR="0014179C" w:rsidRPr="00321EDD">
        <w:rPr>
          <w:rFonts w:cs="Arial"/>
          <w:bCs/>
          <w:iCs/>
          <w:color w:val="auto"/>
        </w:rPr>
        <w:t xml:space="preserve">you wish to rely on </w:t>
      </w:r>
      <w:r w:rsidR="00FA1473" w:rsidRPr="00321EDD">
        <w:rPr>
          <w:rFonts w:cs="Arial"/>
          <w:bCs/>
          <w:iCs/>
          <w:color w:val="auto"/>
        </w:rPr>
        <w:t>an</w:t>
      </w:r>
      <w:r w:rsidR="0014179C" w:rsidRPr="00321EDD">
        <w:rPr>
          <w:rFonts w:cs="Arial"/>
          <w:bCs/>
          <w:iCs/>
          <w:color w:val="auto"/>
        </w:rPr>
        <w:t xml:space="preserve"> argument </w:t>
      </w:r>
      <w:r w:rsidR="00FA1473" w:rsidRPr="00321EDD">
        <w:rPr>
          <w:rFonts w:cs="Arial"/>
          <w:bCs/>
          <w:iCs/>
          <w:color w:val="auto"/>
        </w:rPr>
        <w:t>made u</w:t>
      </w:r>
      <w:r w:rsidR="0014179C" w:rsidRPr="00321EDD">
        <w:rPr>
          <w:rFonts w:cs="Arial"/>
          <w:bCs/>
          <w:iCs/>
          <w:color w:val="auto"/>
        </w:rPr>
        <w:t>nder</w:t>
      </w:r>
      <w:r w:rsidR="00FA1473" w:rsidRPr="00321EDD">
        <w:rPr>
          <w:rFonts w:cs="Arial"/>
          <w:bCs/>
          <w:iCs/>
          <w:color w:val="auto"/>
        </w:rPr>
        <w:t xml:space="preserve"> </w:t>
      </w:r>
      <w:r w:rsidR="0014179C" w:rsidRPr="00321EDD">
        <w:rPr>
          <w:rFonts w:cs="Arial"/>
          <w:bCs/>
          <w:iCs/>
          <w:color w:val="auto"/>
        </w:rPr>
        <w:t>different appeal point</w:t>
      </w:r>
      <w:r w:rsidR="00FA1473" w:rsidRPr="00321EDD">
        <w:rPr>
          <w:rFonts w:cs="Arial"/>
          <w:bCs/>
          <w:iCs/>
          <w:color w:val="auto"/>
        </w:rPr>
        <w:t xml:space="preserve"> </w:t>
      </w:r>
      <w:r w:rsidRPr="00321EDD">
        <w:rPr>
          <w:rFonts w:cs="Arial"/>
          <w:bCs/>
          <w:iCs/>
          <w:color w:val="auto"/>
        </w:rPr>
        <w:t>[y]</w:t>
      </w:r>
      <w:r w:rsidR="00FA1473" w:rsidRPr="00321EDD">
        <w:rPr>
          <w:rFonts w:cs="Arial"/>
          <w:bCs/>
          <w:iCs/>
          <w:color w:val="auto"/>
        </w:rPr>
        <w:t>,</w:t>
      </w:r>
      <w:r w:rsidRPr="00321EDD">
        <w:rPr>
          <w:rFonts w:cs="Arial"/>
          <w:bCs/>
          <w:iCs/>
          <w:color w:val="auto"/>
        </w:rPr>
        <w:t xml:space="preserve"> then</w:t>
      </w:r>
      <w:r w:rsidR="00FA1473" w:rsidRPr="00321EDD">
        <w:rPr>
          <w:rFonts w:cs="Arial"/>
          <w:bCs/>
          <w:iCs/>
          <w:color w:val="auto"/>
        </w:rPr>
        <w:t xml:space="preserve"> given the length of your arguments under each appeal point, </w:t>
      </w:r>
      <w:r w:rsidR="0014179C" w:rsidRPr="00321EDD">
        <w:rPr>
          <w:rFonts w:cs="Arial"/>
          <w:bCs/>
          <w:iCs/>
          <w:color w:val="auto"/>
        </w:rPr>
        <w:t xml:space="preserve">I invite you to explain </w:t>
      </w:r>
      <w:r w:rsidRPr="00321EDD">
        <w:rPr>
          <w:rFonts w:cs="Arial"/>
          <w:bCs/>
          <w:iCs/>
          <w:color w:val="auto"/>
        </w:rPr>
        <w:t xml:space="preserve">in your response to this letter </w:t>
      </w:r>
      <w:r w:rsidR="00FA1473" w:rsidRPr="00321EDD">
        <w:rPr>
          <w:rFonts w:cs="Arial"/>
          <w:bCs/>
          <w:iCs/>
          <w:color w:val="auto"/>
        </w:rPr>
        <w:t xml:space="preserve">exactly which part of </w:t>
      </w:r>
      <w:r w:rsidRPr="00321EDD">
        <w:rPr>
          <w:rFonts w:cs="Arial"/>
          <w:bCs/>
          <w:iCs/>
          <w:color w:val="auto"/>
        </w:rPr>
        <w:t xml:space="preserve">the argument under point [y] you wish to rely on for point [x] </w:t>
      </w:r>
      <w:r w:rsidR="002B52B3" w:rsidRPr="00321EDD">
        <w:rPr>
          <w:rFonts w:cs="Arial"/>
          <w:bCs/>
          <w:iCs/>
          <w:color w:val="auto"/>
        </w:rPr>
        <w:t xml:space="preserve">and why more than one appeal point is required. </w:t>
      </w:r>
    </w:p>
    <w:p w14:paraId="62F86CE8" w14:textId="77777777" w:rsidR="00DC74E9" w:rsidRPr="00321EDD" w:rsidRDefault="00DC74E9" w:rsidP="00DC74E9">
      <w:pPr>
        <w:pStyle w:val="StyleParagraph11pt"/>
        <w:rPr>
          <w:rFonts w:cs="Arial"/>
          <w:b/>
          <w:bCs/>
          <w:sz w:val="20"/>
          <w:szCs w:val="20"/>
        </w:rPr>
      </w:pPr>
      <w:r w:rsidRPr="00321EDD">
        <w:rPr>
          <w:rFonts w:cs="Arial"/>
          <w:b/>
          <w:bCs/>
          <w:sz w:val="20"/>
          <w:szCs w:val="20"/>
        </w:rPr>
        <w:t>1(a).3 Cost-effectiveness estimates were not informed by a probabilistic sensitivity analysis without adequate justification, and so the Committee failed to sufficiently explore parameter uncertainty.</w:t>
      </w:r>
    </w:p>
    <w:p w14:paraId="14FB719E" w14:textId="66E3EFF9" w:rsidR="00726B86" w:rsidRPr="00321EDD" w:rsidRDefault="00853117" w:rsidP="00E4259C">
      <w:pPr>
        <w:spacing w:before="240" w:after="240" w:line="276" w:lineRule="auto"/>
        <w:jc w:val="both"/>
        <w:rPr>
          <w:rFonts w:cs="Arial"/>
          <w:bCs/>
          <w:iCs/>
          <w:color w:val="auto"/>
        </w:rPr>
      </w:pPr>
      <w:r w:rsidRPr="00321EDD">
        <w:rPr>
          <w:rFonts w:cs="Arial"/>
          <w:color w:val="auto"/>
        </w:rPr>
        <w:t xml:space="preserve">I do not regard this as a valid appeal point. </w:t>
      </w:r>
    </w:p>
    <w:p w14:paraId="2C5C81A1" w14:textId="674D6B80" w:rsidR="009B5FBE" w:rsidRPr="00321EDD" w:rsidRDefault="00726B86" w:rsidP="00E4259C">
      <w:pPr>
        <w:spacing w:before="240" w:after="240" w:line="276" w:lineRule="auto"/>
        <w:jc w:val="both"/>
        <w:rPr>
          <w:rFonts w:cs="Arial"/>
          <w:bCs/>
          <w:i/>
          <w:color w:val="auto"/>
        </w:rPr>
      </w:pPr>
      <w:r w:rsidRPr="00321EDD">
        <w:rPr>
          <w:rFonts w:cs="Arial"/>
          <w:bCs/>
          <w:iCs/>
          <w:color w:val="auto"/>
        </w:rPr>
        <w:t>I note</w:t>
      </w:r>
      <w:r w:rsidR="00450CA8" w:rsidRPr="00321EDD">
        <w:rPr>
          <w:rFonts w:cs="Arial"/>
          <w:bCs/>
          <w:iCs/>
          <w:color w:val="auto"/>
        </w:rPr>
        <w:t xml:space="preserve"> para </w:t>
      </w:r>
      <w:r w:rsidR="005507DF" w:rsidRPr="00321EDD">
        <w:rPr>
          <w:rFonts w:cs="Arial"/>
          <w:bCs/>
          <w:iCs/>
          <w:color w:val="auto"/>
        </w:rPr>
        <w:t xml:space="preserve">4.7.13 </w:t>
      </w:r>
      <w:r w:rsidR="00450CA8" w:rsidRPr="00321EDD">
        <w:rPr>
          <w:rFonts w:cs="Arial"/>
          <w:bCs/>
          <w:iCs/>
          <w:color w:val="auto"/>
        </w:rPr>
        <w:t xml:space="preserve">of the Manual </w:t>
      </w:r>
      <w:r w:rsidRPr="00321EDD">
        <w:rPr>
          <w:rFonts w:cs="Arial"/>
          <w:bCs/>
          <w:iCs/>
          <w:color w:val="auto"/>
        </w:rPr>
        <w:t>states: “</w:t>
      </w:r>
      <w:r w:rsidR="005507DF" w:rsidRPr="00321EDD">
        <w:rPr>
          <w:rFonts w:cs="Arial"/>
          <w:bCs/>
          <w:i/>
          <w:color w:val="auto"/>
        </w:rPr>
        <w:t>In general, scenario analyses should also be probabilistic. When only deterministic base-case or scenario analyses are provided, this should be justified…”</w:t>
      </w:r>
      <w:r w:rsidR="00E4259C" w:rsidRPr="00321EDD">
        <w:rPr>
          <w:rFonts w:cs="Arial"/>
          <w:bCs/>
          <w:i/>
          <w:color w:val="auto"/>
        </w:rPr>
        <w:t xml:space="preserve">). </w:t>
      </w:r>
    </w:p>
    <w:p w14:paraId="7E0A8331" w14:textId="4BC07FE6" w:rsidR="00887463" w:rsidRPr="00321EDD" w:rsidRDefault="00726B86" w:rsidP="00E87F1E">
      <w:pPr>
        <w:spacing w:before="240" w:after="240" w:line="276" w:lineRule="auto"/>
        <w:jc w:val="both"/>
        <w:rPr>
          <w:rFonts w:cs="Arial"/>
          <w:bCs/>
          <w:iCs/>
          <w:color w:val="auto"/>
        </w:rPr>
      </w:pPr>
      <w:r w:rsidRPr="00321EDD">
        <w:rPr>
          <w:rFonts w:cs="Arial"/>
          <w:bCs/>
          <w:iCs/>
          <w:color w:val="auto"/>
        </w:rPr>
        <w:t xml:space="preserve">I consider </w:t>
      </w:r>
      <w:r w:rsidR="00B87C38" w:rsidRPr="00321EDD">
        <w:rPr>
          <w:rFonts w:cs="Arial"/>
          <w:bCs/>
          <w:iCs/>
          <w:color w:val="auto"/>
        </w:rPr>
        <w:t xml:space="preserve">the reasons set out by the EAG and Committee </w:t>
      </w:r>
      <w:r w:rsidR="00887463" w:rsidRPr="00321EDD">
        <w:rPr>
          <w:rFonts w:cs="Arial"/>
          <w:bCs/>
          <w:iCs/>
          <w:color w:val="auto"/>
        </w:rPr>
        <w:t>clearly</w:t>
      </w:r>
      <w:r w:rsidR="00A77178" w:rsidRPr="00321EDD">
        <w:rPr>
          <w:rFonts w:cs="Arial"/>
          <w:bCs/>
          <w:iCs/>
          <w:color w:val="auto"/>
        </w:rPr>
        <w:t xml:space="preserve"> explain and</w:t>
      </w:r>
      <w:r w:rsidR="00887463" w:rsidRPr="00321EDD">
        <w:rPr>
          <w:rFonts w:cs="Arial"/>
          <w:bCs/>
          <w:iCs/>
          <w:color w:val="auto"/>
        </w:rPr>
        <w:t xml:space="preserve"> justify the approach taken</w:t>
      </w:r>
      <w:r w:rsidR="00EC17AE" w:rsidRPr="00321EDD">
        <w:rPr>
          <w:rFonts w:cs="Arial"/>
          <w:bCs/>
          <w:iCs/>
          <w:color w:val="auto"/>
        </w:rPr>
        <w:t>.</w:t>
      </w:r>
      <w:r w:rsidR="00A77178" w:rsidRPr="00321EDD">
        <w:rPr>
          <w:rFonts w:cs="Arial"/>
          <w:bCs/>
          <w:iCs/>
          <w:color w:val="auto"/>
        </w:rPr>
        <w:t xml:space="preserve"> </w:t>
      </w:r>
      <w:r w:rsidR="00EC17AE" w:rsidRPr="00321EDD">
        <w:rPr>
          <w:rFonts w:cs="Arial"/>
          <w:bCs/>
          <w:iCs/>
          <w:color w:val="auto"/>
        </w:rPr>
        <w:t xml:space="preserve"> </w:t>
      </w:r>
    </w:p>
    <w:p w14:paraId="0CA40723" w14:textId="77777777" w:rsidR="00CC6B87" w:rsidRPr="00321EDD" w:rsidRDefault="00887463" w:rsidP="00A77178">
      <w:pPr>
        <w:spacing w:before="240" w:after="240" w:line="276" w:lineRule="auto"/>
        <w:jc w:val="both"/>
        <w:rPr>
          <w:color w:val="auto"/>
        </w:rPr>
      </w:pPr>
      <w:r w:rsidRPr="00321EDD">
        <w:rPr>
          <w:rFonts w:cs="Arial"/>
          <w:bCs/>
          <w:iCs/>
          <w:color w:val="auto"/>
        </w:rPr>
        <w:t xml:space="preserve">I refer </w:t>
      </w:r>
      <w:r w:rsidR="00EC17AE" w:rsidRPr="00321EDD">
        <w:rPr>
          <w:rFonts w:cs="Arial"/>
          <w:bCs/>
          <w:iCs/>
          <w:color w:val="auto"/>
        </w:rPr>
        <w:t xml:space="preserve">in particular to section 3.4 / page 54 of </w:t>
      </w:r>
      <w:r w:rsidRPr="00321EDD">
        <w:rPr>
          <w:rFonts w:cs="Arial"/>
          <w:bCs/>
          <w:iCs/>
          <w:color w:val="auto"/>
        </w:rPr>
        <w:t>the EAG’s Assessment Report</w:t>
      </w:r>
      <w:r w:rsidR="00EC17AE" w:rsidRPr="00321EDD">
        <w:rPr>
          <w:rStyle w:val="FootnoteReference"/>
          <w:rFonts w:cs="Arial"/>
          <w:bCs/>
          <w:iCs/>
          <w:color w:val="auto"/>
        </w:rPr>
        <w:footnoteReference w:id="3"/>
      </w:r>
      <w:r w:rsidR="00EC17AE" w:rsidRPr="00321EDD">
        <w:rPr>
          <w:rFonts w:cs="Arial"/>
          <w:bCs/>
          <w:iCs/>
          <w:color w:val="auto"/>
        </w:rPr>
        <w:t xml:space="preserve">, which </w:t>
      </w:r>
      <w:r w:rsidR="00A77178" w:rsidRPr="00321EDD">
        <w:rPr>
          <w:rFonts w:cs="Arial"/>
          <w:bCs/>
          <w:iCs/>
          <w:color w:val="auto"/>
        </w:rPr>
        <w:t xml:space="preserve">explains the EAG’s approach in detail, noting that </w:t>
      </w:r>
      <w:r w:rsidR="00437BD4" w:rsidRPr="00321EDD">
        <w:rPr>
          <w:color w:val="auto"/>
        </w:rPr>
        <w:t xml:space="preserve">three deterministic analyses were run to </w:t>
      </w:r>
      <w:r w:rsidR="00A77178" w:rsidRPr="00321EDD">
        <w:rPr>
          <w:color w:val="auto"/>
        </w:rPr>
        <w:t>“</w:t>
      </w:r>
      <w:r w:rsidR="00437BD4" w:rsidRPr="00321EDD">
        <w:rPr>
          <w:color w:val="auto"/>
        </w:rPr>
        <w:t>circumvent</w:t>
      </w:r>
      <w:r w:rsidR="00A77178" w:rsidRPr="00321EDD">
        <w:rPr>
          <w:color w:val="auto"/>
        </w:rPr>
        <w:t xml:space="preserve">” the </w:t>
      </w:r>
      <w:r w:rsidR="003744A8" w:rsidRPr="00321EDD">
        <w:rPr>
          <w:color w:val="auto"/>
        </w:rPr>
        <w:t xml:space="preserve">additional time required by a PSA and that </w:t>
      </w:r>
      <w:r w:rsidR="00CC6B87" w:rsidRPr="00321EDD">
        <w:rPr>
          <w:color w:val="auto"/>
        </w:rPr>
        <w:t>these:</w:t>
      </w:r>
    </w:p>
    <w:p w14:paraId="5B05A8A0" w14:textId="213A2F7E" w:rsidR="00887463" w:rsidRPr="00321EDD" w:rsidRDefault="00CC6B87" w:rsidP="00CC6B87">
      <w:pPr>
        <w:spacing w:before="240" w:after="240" w:line="276" w:lineRule="auto"/>
        <w:ind w:left="360"/>
        <w:jc w:val="both"/>
        <w:rPr>
          <w:rFonts w:cs="Arial"/>
          <w:bCs/>
          <w:i/>
          <w:iCs/>
          <w:color w:val="auto"/>
        </w:rPr>
      </w:pPr>
      <w:r w:rsidRPr="00321EDD">
        <w:rPr>
          <w:i/>
          <w:iCs/>
          <w:color w:val="auto"/>
        </w:rPr>
        <w:t>“analyses were supplemented by sensitivity analyses and are believed to provide the NICE appraisal committee with pertinent information relating to the true uncertainty in the decision problem, which will be much larger than any difference between the mean results from a PSA and from a deterministic analysis using the mean of the distribution.”</w:t>
      </w:r>
    </w:p>
    <w:p w14:paraId="22AA34AC" w14:textId="2948B952" w:rsidR="00342733" w:rsidRPr="00321EDD" w:rsidRDefault="00AF5617" w:rsidP="00AF5617">
      <w:pPr>
        <w:spacing w:before="240" w:after="240" w:line="276" w:lineRule="auto"/>
        <w:jc w:val="both"/>
        <w:rPr>
          <w:rFonts w:cs="Arial"/>
          <w:bCs/>
          <w:iCs/>
          <w:color w:val="auto"/>
        </w:rPr>
      </w:pPr>
      <w:r w:rsidRPr="00321EDD">
        <w:rPr>
          <w:color w:val="auto"/>
        </w:rPr>
        <w:t xml:space="preserve">In other words, the EAG </w:t>
      </w:r>
      <w:r w:rsidR="00455F95" w:rsidRPr="00321EDD">
        <w:rPr>
          <w:color w:val="auto"/>
        </w:rPr>
        <w:t xml:space="preserve">believed </w:t>
      </w:r>
      <w:r w:rsidR="00DC4FC3" w:rsidRPr="00321EDD">
        <w:rPr>
          <w:color w:val="auto"/>
        </w:rPr>
        <w:t>that</w:t>
      </w:r>
      <w:r w:rsidRPr="00321EDD">
        <w:rPr>
          <w:color w:val="auto"/>
        </w:rPr>
        <w:t xml:space="preserve"> its analys</w:t>
      </w:r>
      <w:r w:rsidR="00455F95" w:rsidRPr="00321EDD">
        <w:rPr>
          <w:color w:val="auto"/>
        </w:rPr>
        <w:t>es</w:t>
      </w:r>
      <w:r w:rsidRPr="00321EDD">
        <w:rPr>
          <w:color w:val="auto"/>
        </w:rPr>
        <w:t xml:space="preserve"> </w:t>
      </w:r>
      <w:r w:rsidR="00455F95" w:rsidRPr="00321EDD">
        <w:rPr>
          <w:color w:val="auto"/>
        </w:rPr>
        <w:t xml:space="preserve">provided </w:t>
      </w:r>
      <w:r w:rsidRPr="00321EDD">
        <w:rPr>
          <w:color w:val="auto"/>
        </w:rPr>
        <w:t>the Committee relevant information</w:t>
      </w:r>
      <w:r w:rsidR="00342733" w:rsidRPr="00321EDD">
        <w:rPr>
          <w:color w:val="auto"/>
        </w:rPr>
        <w:t xml:space="preserve"> relating to the true uncertaint</w:t>
      </w:r>
      <w:r w:rsidRPr="00321EDD">
        <w:rPr>
          <w:color w:val="auto"/>
        </w:rPr>
        <w:t>y and that</w:t>
      </w:r>
      <w:r w:rsidR="003D6CD5" w:rsidRPr="00321EDD">
        <w:rPr>
          <w:color w:val="auto"/>
        </w:rPr>
        <w:t xml:space="preserve"> considering</w:t>
      </w:r>
      <w:r w:rsidRPr="00321EDD">
        <w:rPr>
          <w:color w:val="auto"/>
        </w:rPr>
        <w:t xml:space="preserve"> the </w:t>
      </w:r>
      <w:r w:rsidR="00BE58F9" w:rsidRPr="00321EDD">
        <w:rPr>
          <w:color w:val="auto"/>
        </w:rPr>
        <w:t xml:space="preserve">sensitivity </w:t>
      </w:r>
      <w:r w:rsidRPr="00321EDD">
        <w:rPr>
          <w:color w:val="auto"/>
        </w:rPr>
        <w:t>analyses</w:t>
      </w:r>
      <w:r w:rsidR="00BE58F9" w:rsidRPr="00321EDD">
        <w:rPr>
          <w:color w:val="auto"/>
        </w:rPr>
        <w:t xml:space="preserve"> </w:t>
      </w:r>
      <w:r w:rsidR="003D6CD5" w:rsidRPr="00321EDD">
        <w:rPr>
          <w:color w:val="auto"/>
        </w:rPr>
        <w:t xml:space="preserve">in this appraisal would be </w:t>
      </w:r>
      <w:r w:rsidR="00BE58F9" w:rsidRPr="00321EDD">
        <w:rPr>
          <w:color w:val="auto"/>
        </w:rPr>
        <w:t xml:space="preserve">more </w:t>
      </w:r>
      <w:r w:rsidR="003D6CD5" w:rsidRPr="00321EDD">
        <w:rPr>
          <w:color w:val="auto"/>
        </w:rPr>
        <w:t>important</w:t>
      </w:r>
      <w:r w:rsidR="00BE58F9" w:rsidRPr="00321EDD">
        <w:rPr>
          <w:color w:val="auto"/>
        </w:rPr>
        <w:t xml:space="preserve"> </w:t>
      </w:r>
      <w:r w:rsidR="0058520C" w:rsidRPr="00321EDD">
        <w:rPr>
          <w:color w:val="auto"/>
        </w:rPr>
        <w:t xml:space="preserve">/ relevant for the decision problem </w:t>
      </w:r>
      <w:r w:rsidR="00BE58F9" w:rsidRPr="00321EDD">
        <w:rPr>
          <w:color w:val="auto"/>
        </w:rPr>
        <w:t xml:space="preserve">than </w:t>
      </w:r>
      <w:r w:rsidR="003D6CD5" w:rsidRPr="00321EDD">
        <w:rPr>
          <w:color w:val="auto"/>
        </w:rPr>
        <w:t xml:space="preserve">any </w:t>
      </w:r>
      <w:r w:rsidR="0058520C" w:rsidRPr="00321EDD">
        <w:rPr>
          <w:color w:val="auto"/>
        </w:rPr>
        <w:t>difference</w:t>
      </w:r>
      <w:r w:rsidR="00BE58F9" w:rsidRPr="00321EDD">
        <w:rPr>
          <w:color w:val="auto"/>
        </w:rPr>
        <w:t xml:space="preserve"> between </w:t>
      </w:r>
      <w:r w:rsidR="0058520C" w:rsidRPr="00321EDD">
        <w:rPr>
          <w:color w:val="auto"/>
        </w:rPr>
        <w:t xml:space="preserve">a </w:t>
      </w:r>
      <w:r w:rsidR="00BE58F9" w:rsidRPr="00321EDD">
        <w:rPr>
          <w:color w:val="auto"/>
        </w:rPr>
        <w:t xml:space="preserve">probabilistic </w:t>
      </w:r>
      <w:r w:rsidR="0058520C" w:rsidRPr="00321EDD">
        <w:rPr>
          <w:color w:val="auto"/>
        </w:rPr>
        <w:t>or</w:t>
      </w:r>
      <w:r w:rsidR="00BE58F9" w:rsidRPr="00321EDD">
        <w:rPr>
          <w:color w:val="auto"/>
        </w:rPr>
        <w:t xml:space="preserve"> deterministic</w:t>
      </w:r>
      <w:r w:rsidR="0058520C" w:rsidRPr="00321EDD">
        <w:rPr>
          <w:color w:val="auto"/>
        </w:rPr>
        <w:t xml:space="preserve"> </w:t>
      </w:r>
      <w:r w:rsidR="00183604" w:rsidRPr="00321EDD">
        <w:rPr>
          <w:color w:val="auto"/>
        </w:rPr>
        <w:t>analysis</w:t>
      </w:r>
      <w:r w:rsidR="0058520C" w:rsidRPr="00321EDD">
        <w:rPr>
          <w:color w:val="auto"/>
        </w:rPr>
        <w:t xml:space="preserve">. </w:t>
      </w:r>
    </w:p>
    <w:p w14:paraId="17AB3AD7" w14:textId="2D5FF24A" w:rsidR="00BE58F9" w:rsidRPr="00321EDD" w:rsidRDefault="00622047" w:rsidP="00BE58F9">
      <w:pPr>
        <w:spacing w:before="240" w:after="240" w:line="276" w:lineRule="auto"/>
        <w:jc w:val="both"/>
        <w:rPr>
          <w:rFonts w:cs="Arial"/>
          <w:bCs/>
          <w:iCs/>
          <w:color w:val="auto"/>
        </w:rPr>
      </w:pPr>
      <w:r w:rsidRPr="00321EDD">
        <w:rPr>
          <w:rFonts w:cs="Arial"/>
          <w:bCs/>
          <w:iCs/>
          <w:color w:val="auto"/>
        </w:rPr>
        <w:lastRenderedPageBreak/>
        <w:t>Therefore I consider it unarguable that th</w:t>
      </w:r>
      <w:r w:rsidR="00022FB4" w:rsidRPr="00321EDD">
        <w:rPr>
          <w:rFonts w:cs="Arial"/>
          <w:bCs/>
          <w:iCs/>
          <w:color w:val="auto"/>
        </w:rPr>
        <w:t>is</w:t>
      </w:r>
      <w:r w:rsidRPr="00321EDD">
        <w:rPr>
          <w:rFonts w:cs="Arial"/>
          <w:bCs/>
          <w:iCs/>
          <w:color w:val="auto"/>
        </w:rPr>
        <w:t xml:space="preserve"> appraisal unfairly departed from NICE’s published process or </w:t>
      </w:r>
      <w:r w:rsidR="00DC4FC3" w:rsidRPr="00321EDD">
        <w:rPr>
          <w:rFonts w:cs="Arial"/>
          <w:bCs/>
          <w:iCs/>
          <w:color w:val="auto"/>
        </w:rPr>
        <w:t xml:space="preserve">that it </w:t>
      </w:r>
      <w:r w:rsidRPr="00321EDD">
        <w:rPr>
          <w:rFonts w:cs="Arial"/>
          <w:bCs/>
          <w:iCs/>
          <w:color w:val="auto"/>
        </w:rPr>
        <w:t xml:space="preserve">otherwise followed a procedurally unfair process in </w:t>
      </w:r>
      <w:r w:rsidR="00183604" w:rsidRPr="00321EDD">
        <w:rPr>
          <w:rFonts w:cs="Arial"/>
          <w:bCs/>
          <w:iCs/>
          <w:color w:val="auto"/>
        </w:rPr>
        <w:t xml:space="preserve">its approach to sensitivity analyses. </w:t>
      </w:r>
    </w:p>
    <w:p w14:paraId="6031384C" w14:textId="77777777" w:rsidR="003C618E" w:rsidRPr="00321EDD" w:rsidRDefault="003C618E" w:rsidP="003C618E">
      <w:pPr>
        <w:pStyle w:val="StyleParagraph11pt"/>
        <w:rPr>
          <w:rFonts w:cs="Arial"/>
          <w:b/>
          <w:bCs/>
          <w:sz w:val="20"/>
          <w:szCs w:val="20"/>
        </w:rPr>
      </w:pPr>
      <w:r w:rsidRPr="00321EDD">
        <w:rPr>
          <w:rFonts w:cs="Arial"/>
          <w:b/>
          <w:bCs/>
          <w:sz w:val="20"/>
          <w:szCs w:val="20"/>
        </w:rPr>
        <w:t>1(a).4</w:t>
      </w:r>
      <w:r w:rsidRPr="00321EDD">
        <w:rPr>
          <w:rFonts w:cs="Arial"/>
          <w:b/>
          <w:bCs/>
          <w:sz w:val="20"/>
          <w:szCs w:val="20"/>
        </w:rPr>
        <w:tab/>
        <w:t>The Committee did not consider the cost</w:t>
      </w:r>
      <w:r w:rsidRPr="00321EDD">
        <w:rPr>
          <w:rFonts w:cs="Arial"/>
          <w:b/>
          <w:bCs/>
          <w:sz w:val="20"/>
          <w:szCs w:val="20"/>
          <w:lang w:val="en-US"/>
        </w:rPr>
        <w:t>-</w:t>
      </w:r>
      <w:r w:rsidRPr="00321EDD">
        <w:rPr>
          <w:rFonts w:cs="Arial"/>
          <w:b/>
          <w:bCs/>
          <w:sz w:val="20"/>
          <w:szCs w:val="20"/>
        </w:rPr>
        <w:t>effectiveness of remdesivir for severe COVID-19 and so denied Gilead the opportunity to discuss commercial agreements that would mitigate or resolve the uncertainty around the ICERs.</w:t>
      </w:r>
    </w:p>
    <w:p w14:paraId="6A2DDC10" w14:textId="4EE56F86" w:rsidR="003C618E" w:rsidRPr="00321EDD" w:rsidRDefault="003C618E" w:rsidP="003C618E">
      <w:pPr>
        <w:spacing w:before="240" w:after="240" w:line="276" w:lineRule="auto"/>
        <w:jc w:val="both"/>
        <w:rPr>
          <w:rFonts w:cs="Arial"/>
          <w:bCs/>
          <w:iCs/>
          <w:color w:val="auto"/>
        </w:rPr>
      </w:pPr>
      <w:r w:rsidRPr="00321EDD">
        <w:rPr>
          <w:rFonts w:cs="Arial"/>
          <w:color w:val="auto"/>
        </w:rPr>
        <w:t xml:space="preserve">I do not regard this as a valid appeal point. </w:t>
      </w:r>
    </w:p>
    <w:p w14:paraId="2CA1A724" w14:textId="242DC5E3" w:rsidR="00AC6C51" w:rsidRPr="00321EDD" w:rsidRDefault="00865D59" w:rsidP="00B242AA">
      <w:pPr>
        <w:pStyle w:val="StyleParagraph11pt"/>
        <w:rPr>
          <w:rFonts w:cs="Arial"/>
          <w:sz w:val="20"/>
          <w:szCs w:val="20"/>
        </w:rPr>
      </w:pPr>
      <w:r w:rsidRPr="00321EDD">
        <w:rPr>
          <w:rFonts w:cs="Arial"/>
          <w:sz w:val="20"/>
          <w:szCs w:val="20"/>
        </w:rPr>
        <w:t>I refer to p</w:t>
      </w:r>
      <w:r w:rsidR="002110B7" w:rsidRPr="00321EDD">
        <w:rPr>
          <w:rFonts w:cs="Arial"/>
          <w:sz w:val="20"/>
          <w:szCs w:val="20"/>
        </w:rPr>
        <w:t>age</w:t>
      </w:r>
      <w:r w:rsidR="001C6258" w:rsidRPr="00321EDD">
        <w:rPr>
          <w:rFonts w:cs="Arial"/>
          <w:sz w:val="20"/>
          <w:szCs w:val="20"/>
        </w:rPr>
        <w:t>s</w:t>
      </w:r>
      <w:r w:rsidR="002110B7" w:rsidRPr="00321EDD">
        <w:rPr>
          <w:rFonts w:cs="Arial"/>
          <w:sz w:val="20"/>
          <w:szCs w:val="20"/>
        </w:rPr>
        <w:t xml:space="preserve"> 3</w:t>
      </w:r>
      <w:r w:rsidR="001C6258" w:rsidRPr="00321EDD">
        <w:rPr>
          <w:rFonts w:cs="Arial"/>
          <w:sz w:val="20"/>
          <w:szCs w:val="20"/>
        </w:rPr>
        <w:t>-4</w:t>
      </w:r>
      <w:r w:rsidR="002110B7" w:rsidRPr="00321EDD">
        <w:rPr>
          <w:rFonts w:cs="Arial"/>
          <w:sz w:val="20"/>
          <w:szCs w:val="20"/>
        </w:rPr>
        <w:t xml:space="preserve"> of the FDG</w:t>
      </w:r>
      <w:r w:rsidRPr="00321EDD">
        <w:rPr>
          <w:rFonts w:cs="Arial"/>
          <w:sz w:val="20"/>
          <w:szCs w:val="20"/>
        </w:rPr>
        <w:t xml:space="preserve"> which</w:t>
      </w:r>
      <w:r w:rsidR="002110B7" w:rsidRPr="00321EDD">
        <w:rPr>
          <w:rFonts w:cs="Arial"/>
          <w:sz w:val="20"/>
          <w:szCs w:val="20"/>
        </w:rPr>
        <w:t xml:space="preserve"> </w:t>
      </w:r>
      <w:r w:rsidRPr="00321EDD">
        <w:rPr>
          <w:rFonts w:cs="Arial"/>
          <w:sz w:val="20"/>
          <w:szCs w:val="20"/>
        </w:rPr>
        <w:t>summarise</w:t>
      </w:r>
      <w:r w:rsidR="00F20244" w:rsidRPr="00321EDD">
        <w:rPr>
          <w:rFonts w:cs="Arial"/>
          <w:sz w:val="20"/>
          <w:szCs w:val="20"/>
        </w:rPr>
        <w:t xml:space="preserve"> why</w:t>
      </w:r>
      <w:r w:rsidR="002110B7" w:rsidRPr="00321EDD">
        <w:rPr>
          <w:rFonts w:cs="Arial"/>
          <w:sz w:val="20"/>
          <w:szCs w:val="20"/>
        </w:rPr>
        <w:t xml:space="preserve"> the C</w:t>
      </w:r>
      <w:r w:rsidR="00F20244" w:rsidRPr="00321EDD">
        <w:rPr>
          <w:rFonts w:cs="Arial"/>
          <w:sz w:val="20"/>
          <w:szCs w:val="20"/>
        </w:rPr>
        <w:t>ommittee made</w:t>
      </w:r>
      <w:r w:rsidR="002110B7" w:rsidRPr="00321EDD">
        <w:rPr>
          <w:rFonts w:cs="Arial"/>
          <w:sz w:val="20"/>
          <w:szCs w:val="20"/>
        </w:rPr>
        <w:t xml:space="preserve"> its</w:t>
      </w:r>
      <w:r w:rsidR="00F20244" w:rsidRPr="00321EDD">
        <w:rPr>
          <w:rFonts w:cs="Arial"/>
          <w:sz w:val="20"/>
          <w:szCs w:val="20"/>
        </w:rPr>
        <w:t xml:space="preserve"> recommendations</w:t>
      </w:r>
      <w:r w:rsidR="00AC6C51" w:rsidRPr="00321EDD">
        <w:rPr>
          <w:rFonts w:cs="Arial"/>
          <w:sz w:val="20"/>
          <w:szCs w:val="20"/>
        </w:rPr>
        <w:t>:</w:t>
      </w:r>
    </w:p>
    <w:p w14:paraId="2E8186AF" w14:textId="552E4941" w:rsidR="00AC6C51" w:rsidRPr="00321EDD" w:rsidRDefault="00B242AA" w:rsidP="00AC6C51">
      <w:pPr>
        <w:pStyle w:val="StyleParagraph11pt"/>
        <w:numPr>
          <w:ilvl w:val="0"/>
          <w:numId w:val="42"/>
        </w:numPr>
        <w:rPr>
          <w:rFonts w:cs="Arial"/>
          <w:sz w:val="20"/>
          <w:szCs w:val="20"/>
        </w:rPr>
      </w:pPr>
      <w:r w:rsidRPr="00321EDD">
        <w:rPr>
          <w:rFonts w:cs="Arial"/>
          <w:sz w:val="20"/>
          <w:szCs w:val="20"/>
        </w:rPr>
        <w:t>For mild COVID-19</w:t>
      </w:r>
      <w:r w:rsidR="00865D59" w:rsidRPr="00321EDD">
        <w:rPr>
          <w:rFonts w:cs="Arial"/>
          <w:sz w:val="20"/>
          <w:szCs w:val="20"/>
        </w:rPr>
        <w:t xml:space="preserve">, </w:t>
      </w:r>
      <w:r w:rsidR="00A347CB" w:rsidRPr="00321EDD">
        <w:rPr>
          <w:rFonts w:cs="Arial"/>
          <w:sz w:val="20"/>
          <w:szCs w:val="20"/>
        </w:rPr>
        <w:t>clinical evidence suggests that</w:t>
      </w:r>
      <w:r w:rsidR="001C6258" w:rsidRPr="00321EDD">
        <w:rPr>
          <w:rFonts w:cs="Arial"/>
          <w:sz w:val="20"/>
          <w:szCs w:val="20"/>
        </w:rPr>
        <w:t xml:space="preserve"> </w:t>
      </w:r>
      <w:r w:rsidR="00A347CB" w:rsidRPr="00321EDD">
        <w:rPr>
          <w:rFonts w:cs="Arial"/>
          <w:sz w:val="20"/>
          <w:szCs w:val="20"/>
        </w:rPr>
        <w:t xml:space="preserve">remdesivir </w:t>
      </w:r>
      <w:r w:rsidR="001C6258" w:rsidRPr="00321EDD">
        <w:rPr>
          <w:rFonts w:cs="Arial"/>
          <w:sz w:val="20"/>
          <w:szCs w:val="20"/>
          <w:u w:val="single"/>
        </w:rPr>
        <w:t xml:space="preserve">is </w:t>
      </w:r>
      <w:r w:rsidR="00A347CB" w:rsidRPr="00321EDD">
        <w:rPr>
          <w:rFonts w:cs="Arial"/>
          <w:sz w:val="20"/>
          <w:szCs w:val="20"/>
          <w:u w:val="single"/>
        </w:rPr>
        <w:t>effective</w:t>
      </w:r>
      <w:r w:rsidR="00A347CB" w:rsidRPr="00321EDD">
        <w:rPr>
          <w:rFonts w:cs="Arial"/>
          <w:sz w:val="20"/>
          <w:szCs w:val="20"/>
        </w:rPr>
        <w:t xml:space="preserve"> compared with standard car</w:t>
      </w:r>
      <w:r w:rsidRPr="00321EDD">
        <w:rPr>
          <w:rFonts w:cs="Arial"/>
          <w:sz w:val="20"/>
          <w:szCs w:val="20"/>
        </w:rPr>
        <w:t>e</w:t>
      </w:r>
      <w:r w:rsidR="001C6258" w:rsidRPr="00321EDD">
        <w:rPr>
          <w:rFonts w:cs="Arial"/>
          <w:sz w:val="20"/>
          <w:szCs w:val="20"/>
        </w:rPr>
        <w:t xml:space="preserve"> </w:t>
      </w:r>
      <w:r w:rsidRPr="00321EDD">
        <w:rPr>
          <w:rFonts w:cs="Arial"/>
          <w:sz w:val="20"/>
          <w:szCs w:val="20"/>
        </w:rPr>
        <w:t>but “</w:t>
      </w:r>
      <w:r w:rsidRPr="00321EDD">
        <w:rPr>
          <w:rFonts w:cs="Arial"/>
          <w:i/>
          <w:iCs/>
          <w:sz w:val="20"/>
          <w:szCs w:val="20"/>
        </w:rPr>
        <w:t>is not recommended because the likely cost-effectiveness estimates are higher than what NICE usually considers an acceptable use of NHS resources</w:t>
      </w:r>
      <w:r w:rsidRPr="00321EDD">
        <w:rPr>
          <w:rFonts w:cs="Arial"/>
          <w:sz w:val="20"/>
          <w:szCs w:val="20"/>
        </w:rPr>
        <w:t>”</w:t>
      </w:r>
      <w:r w:rsidR="00AC6C51" w:rsidRPr="00321EDD">
        <w:rPr>
          <w:rFonts w:cs="Arial"/>
          <w:sz w:val="20"/>
          <w:szCs w:val="20"/>
        </w:rPr>
        <w:t>.</w:t>
      </w:r>
      <w:r w:rsidR="004E3B11" w:rsidRPr="00321EDD">
        <w:rPr>
          <w:rFonts w:cs="Arial"/>
          <w:sz w:val="20"/>
          <w:szCs w:val="20"/>
        </w:rPr>
        <w:t xml:space="preserve"> Para </w:t>
      </w:r>
      <w:r w:rsidR="00676DB8" w:rsidRPr="00321EDD">
        <w:rPr>
          <w:rFonts w:cs="Arial"/>
          <w:sz w:val="20"/>
          <w:szCs w:val="20"/>
        </w:rPr>
        <w:t>3.28</w:t>
      </w:r>
      <w:r w:rsidR="004E3B11" w:rsidRPr="00321EDD">
        <w:rPr>
          <w:rFonts w:cs="Arial"/>
          <w:sz w:val="20"/>
          <w:szCs w:val="20"/>
        </w:rPr>
        <w:t xml:space="preserve"> of the FDG </w:t>
      </w:r>
      <w:r w:rsidR="00676DB8" w:rsidRPr="00321EDD">
        <w:rPr>
          <w:rFonts w:cs="Arial"/>
          <w:sz w:val="20"/>
          <w:szCs w:val="20"/>
        </w:rPr>
        <w:t>provides</w:t>
      </w:r>
      <w:r w:rsidR="004E3B11" w:rsidRPr="00321EDD">
        <w:rPr>
          <w:rFonts w:cs="Arial"/>
          <w:sz w:val="20"/>
          <w:szCs w:val="20"/>
        </w:rPr>
        <w:t xml:space="preserve"> the ICER</w:t>
      </w:r>
      <w:r w:rsidR="00676DB8" w:rsidRPr="00321EDD">
        <w:rPr>
          <w:rFonts w:cs="Arial"/>
          <w:sz w:val="20"/>
          <w:szCs w:val="20"/>
        </w:rPr>
        <w:t>s</w:t>
      </w:r>
      <w:r w:rsidR="004E3B11" w:rsidRPr="00321EDD">
        <w:rPr>
          <w:rFonts w:cs="Arial"/>
          <w:sz w:val="20"/>
          <w:szCs w:val="20"/>
        </w:rPr>
        <w:t>.</w:t>
      </w:r>
    </w:p>
    <w:p w14:paraId="6F671144" w14:textId="31062E63" w:rsidR="008E1154" w:rsidRPr="00321EDD" w:rsidRDefault="008E1154" w:rsidP="00F20244">
      <w:pPr>
        <w:pStyle w:val="StyleParagraph11pt"/>
        <w:numPr>
          <w:ilvl w:val="0"/>
          <w:numId w:val="42"/>
        </w:numPr>
        <w:rPr>
          <w:rFonts w:cs="Arial"/>
          <w:sz w:val="20"/>
          <w:szCs w:val="20"/>
        </w:rPr>
      </w:pPr>
      <w:r w:rsidRPr="00321EDD">
        <w:rPr>
          <w:rFonts w:cs="Arial"/>
          <w:sz w:val="20"/>
          <w:szCs w:val="20"/>
        </w:rPr>
        <w:t xml:space="preserve">For severe COVID-19, </w:t>
      </w:r>
      <w:r w:rsidR="00676DB8" w:rsidRPr="00321EDD">
        <w:rPr>
          <w:rFonts w:cs="Arial"/>
          <w:sz w:val="20"/>
          <w:szCs w:val="20"/>
        </w:rPr>
        <w:t>c</w:t>
      </w:r>
      <w:r w:rsidRPr="00321EDD">
        <w:rPr>
          <w:rFonts w:cs="Arial"/>
          <w:sz w:val="20"/>
          <w:szCs w:val="20"/>
        </w:rPr>
        <w:t xml:space="preserve">linical evidence suggests that remdesivir has </w:t>
      </w:r>
      <w:r w:rsidRPr="00321EDD">
        <w:rPr>
          <w:rFonts w:cs="Arial"/>
          <w:sz w:val="20"/>
          <w:szCs w:val="20"/>
          <w:u w:val="single"/>
        </w:rPr>
        <w:t>limited effectiveness</w:t>
      </w:r>
      <w:r w:rsidRPr="00321EDD">
        <w:rPr>
          <w:rFonts w:cs="Arial"/>
          <w:sz w:val="20"/>
          <w:szCs w:val="20"/>
        </w:rPr>
        <w:t xml:space="preserve"> compared with standard care</w:t>
      </w:r>
      <w:r w:rsidR="00676DB8" w:rsidRPr="00321EDD">
        <w:rPr>
          <w:rFonts w:cs="Arial"/>
          <w:i/>
          <w:iCs/>
          <w:sz w:val="20"/>
          <w:szCs w:val="20"/>
        </w:rPr>
        <w:t xml:space="preserve"> (“</w:t>
      </w:r>
      <w:r w:rsidRPr="00321EDD">
        <w:rPr>
          <w:rFonts w:cs="Arial"/>
          <w:i/>
          <w:iCs/>
          <w:sz w:val="20"/>
          <w:szCs w:val="20"/>
        </w:rPr>
        <w:t>because it does not reduce mortality rates, but the evidence is uncertain</w:t>
      </w:r>
      <w:r w:rsidRPr="00321EDD">
        <w:rPr>
          <w:rFonts w:cs="Arial"/>
          <w:sz w:val="20"/>
          <w:szCs w:val="20"/>
        </w:rPr>
        <w:t>”</w:t>
      </w:r>
      <w:r w:rsidR="00676DB8" w:rsidRPr="00321EDD">
        <w:rPr>
          <w:rFonts w:cs="Arial"/>
          <w:sz w:val="20"/>
          <w:szCs w:val="20"/>
        </w:rPr>
        <w:t xml:space="preserve">); accordingly, </w:t>
      </w:r>
      <w:r w:rsidR="00BB4CCF" w:rsidRPr="00321EDD">
        <w:rPr>
          <w:rFonts w:cs="Arial"/>
          <w:sz w:val="20"/>
          <w:szCs w:val="20"/>
        </w:rPr>
        <w:t>remdesivir is “</w:t>
      </w:r>
      <w:r w:rsidR="00BB4CCF" w:rsidRPr="00321EDD">
        <w:rPr>
          <w:rFonts w:cs="Arial"/>
          <w:i/>
          <w:iCs/>
          <w:sz w:val="20"/>
          <w:szCs w:val="20"/>
        </w:rPr>
        <w:t>not recommended because [it is] unlikely to be effective at treating severe COVID-19 and it is not possible to reliably estimate [its] cost effectiveness</w:t>
      </w:r>
      <w:r w:rsidR="00BB4CCF" w:rsidRPr="00321EDD">
        <w:rPr>
          <w:rFonts w:cs="Arial"/>
          <w:sz w:val="20"/>
          <w:szCs w:val="20"/>
        </w:rPr>
        <w:t>.”</w:t>
      </w:r>
    </w:p>
    <w:p w14:paraId="4C4FEEF2" w14:textId="629676F6" w:rsidR="00DF5DE6" w:rsidRPr="00321EDD" w:rsidRDefault="00303D93" w:rsidP="00D640B7">
      <w:pPr>
        <w:pStyle w:val="StyleParagraph11pt"/>
        <w:rPr>
          <w:rFonts w:cs="Arial"/>
          <w:sz w:val="20"/>
          <w:szCs w:val="20"/>
        </w:rPr>
      </w:pPr>
      <w:r w:rsidRPr="00321EDD">
        <w:rPr>
          <w:rFonts w:cs="Arial"/>
          <w:sz w:val="20"/>
          <w:szCs w:val="20"/>
        </w:rPr>
        <w:t xml:space="preserve">As you acknowledge in your appeal, the Committee </w:t>
      </w:r>
      <w:r w:rsidR="00EC32C9" w:rsidRPr="00321EDD">
        <w:rPr>
          <w:rFonts w:cs="Arial"/>
          <w:sz w:val="20"/>
          <w:szCs w:val="20"/>
        </w:rPr>
        <w:t xml:space="preserve">provides a detailed rationale for its approach to both clinical and cost effectiveness, particularly </w:t>
      </w:r>
      <w:r w:rsidRPr="00321EDD">
        <w:rPr>
          <w:rFonts w:cs="Arial"/>
          <w:sz w:val="20"/>
          <w:szCs w:val="20"/>
        </w:rPr>
        <w:t>at paras 3.20</w:t>
      </w:r>
      <w:r w:rsidR="00D04BB0" w:rsidRPr="00321EDD">
        <w:rPr>
          <w:rFonts w:cs="Arial"/>
          <w:sz w:val="20"/>
          <w:szCs w:val="20"/>
        </w:rPr>
        <w:t xml:space="preserve"> </w:t>
      </w:r>
      <w:r w:rsidRPr="00321EDD">
        <w:rPr>
          <w:rFonts w:cs="Arial"/>
          <w:sz w:val="20"/>
          <w:szCs w:val="20"/>
        </w:rPr>
        <w:t>and 3.30 of the FDG</w:t>
      </w:r>
      <w:r w:rsidR="00EC32C9" w:rsidRPr="00321EDD">
        <w:rPr>
          <w:rFonts w:cs="Arial"/>
          <w:sz w:val="20"/>
          <w:szCs w:val="20"/>
        </w:rPr>
        <w:t>. The latter explains</w:t>
      </w:r>
      <w:r w:rsidR="00DF5DE6" w:rsidRPr="00321EDD">
        <w:rPr>
          <w:rFonts w:cs="Arial"/>
          <w:sz w:val="20"/>
          <w:szCs w:val="20"/>
        </w:rPr>
        <w:t>:</w:t>
      </w:r>
    </w:p>
    <w:p w14:paraId="29FBC6BA" w14:textId="7C5ABD70" w:rsidR="00F20244" w:rsidRPr="00321EDD" w:rsidRDefault="00DF5DE6" w:rsidP="00DF5DE6">
      <w:pPr>
        <w:pStyle w:val="StyleParagraph11pt"/>
        <w:ind w:left="720"/>
        <w:rPr>
          <w:rFonts w:cs="Arial"/>
          <w:sz w:val="20"/>
          <w:szCs w:val="20"/>
        </w:rPr>
      </w:pPr>
      <w:r w:rsidRPr="00321EDD">
        <w:rPr>
          <w:rFonts w:cs="Arial"/>
          <w:sz w:val="20"/>
          <w:szCs w:val="20"/>
        </w:rPr>
        <w:t>“</w:t>
      </w:r>
      <w:r w:rsidRPr="00321EDD">
        <w:rPr>
          <w:rFonts w:cs="Arial"/>
          <w:i/>
          <w:iCs/>
          <w:sz w:val="20"/>
          <w:szCs w:val="20"/>
        </w:rPr>
        <w:t>For remdesivir, the committee considered the threshold analysis of mortality rate ratios between 0.85 and 1.00. The committee concluded there was insufficient evidence to show meaningful difference in mortality benefit compared with standard care (see section 3.20). The committee was mindful that when considering uncertainty, it should take into account the likelihood of decision error and its consequences for patients and the NHS. Because there is substantial uncertainty about whether remdesivir is effective (in terms of mortality benefit) at treating COVID-19 it considered that it is not possible to reliably estimate remdesivir’s cost effectiveness</w:t>
      </w:r>
    </w:p>
    <w:p w14:paraId="1FA999D2" w14:textId="623A0317" w:rsidR="00AC3478" w:rsidRPr="00F37581" w:rsidRDefault="00AC3478">
      <w:pPr>
        <w:spacing w:before="240" w:after="240" w:line="276" w:lineRule="auto"/>
        <w:jc w:val="both"/>
        <w:rPr>
          <w:color w:val="auto"/>
        </w:rPr>
      </w:pPr>
      <w:r w:rsidRPr="00F37581">
        <w:rPr>
          <w:color w:val="auto"/>
        </w:rPr>
        <w:t xml:space="preserve">In my initial view if (as here) a committee considers that, based on the available evidence supporting clinical effectiveness, it is highly uncertain that a treatment would be clinically effective in the context of current </w:t>
      </w:r>
      <w:r w:rsidRPr="00321EDD">
        <w:rPr>
          <w:color w:val="auto"/>
        </w:rPr>
        <w:t xml:space="preserve">clinical practice </w:t>
      </w:r>
      <w:r w:rsidR="00D12597" w:rsidRPr="00F37581">
        <w:rPr>
          <w:color w:val="auto"/>
        </w:rPr>
        <w:t>(including changing variant prevalence)</w:t>
      </w:r>
      <w:r w:rsidR="00D12597" w:rsidRPr="00321EDD">
        <w:rPr>
          <w:color w:val="auto"/>
        </w:rPr>
        <w:t xml:space="preserve"> </w:t>
      </w:r>
      <w:r w:rsidRPr="00321EDD">
        <w:rPr>
          <w:color w:val="auto"/>
        </w:rPr>
        <w:t>in England</w:t>
      </w:r>
      <w:r w:rsidRPr="00F37581">
        <w:rPr>
          <w:color w:val="auto"/>
        </w:rPr>
        <w:t>, i.e. the evidence does not suggest QALY gains or any potential QALY gains are highly uncertain in the context of current clinical practice in England, then procedural fairness cannot require the Committee to calculate and publish an ICER or ICER range</w:t>
      </w:r>
      <w:r w:rsidR="00D12597" w:rsidRPr="00F37581">
        <w:rPr>
          <w:color w:val="auto"/>
        </w:rPr>
        <w:t>.</w:t>
      </w:r>
    </w:p>
    <w:p w14:paraId="6E3CAB48" w14:textId="0228699A" w:rsidR="00AE0EB0" w:rsidRPr="00321EDD" w:rsidRDefault="00936C5C" w:rsidP="004E3B11">
      <w:pPr>
        <w:spacing w:before="240" w:after="240" w:line="276" w:lineRule="auto"/>
        <w:jc w:val="both"/>
        <w:rPr>
          <w:rFonts w:cs="Arial"/>
          <w:bCs/>
          <w:iCs/>
          <w:color w:val="auto"/>
        </w:rPr>
      </w:pPr>
      <w:r w:rsidRPr="00321EDD">
        <w:rPr>
          <w:rFonts w:cs="Arial"/>
          <w:bCs/>
          <w:iCs/>
          <w:color w:val="auto"/>
        </w:rPr>
        <w:t xml:space="preserve">I therefore consider this appeal point 1(a).4 unarguable. </w:t>
      </w:r>
    </w:p>
    <w:p w14:paraId="1E709417" w14:textId="37499200" w:rsidR="00F55C53" w:rsidRPr="00321EDD" w:rsidRDefault="0077135B" w:rsidP="00BE58F9">
      <w:pPr>
        <w:spacing w:before="240" w:after="240" w:line="276" w:lineRule="auto"/>
        <w:jc w:val="both"/>
        <w:rPr>
          <w:rFonts w:cs="Arial"/>
          <w:bCs/>
          <w:iCs/>
          <w:color w:val="auto"/>
        </w:rPr>
      </w:pPr>
      <w:r w:rsidRPr="00321EDD">
        <w:rPr>
          <w:rFonts w:cs="Arial"/>
          <w:bCs/>
          <w:iCs/>
          <w:color w:val="auto"/>
        </w:rPr>
        <w:t xml:space="preserve">As to your </w:t>
      </w:r>
      <w:r w:rsidR="00283BEC" w:rsidRPr="00321EDD">
        <w:rPr>
          <w:rFonts w:cs="Arial"/>
          <w:bCs/>
          <w:iCs/>
          <w:color w:val="auto"/>
        </w:rPr>
        <w:t xml:space="preserve">detailed </w:t>
      </w:r>
      <w:r w:rsidRPr="00321EDD">
        <w:rPr>
          <w:rFonts w:cs="Arial"/>
          <w:bCs/>
          <w:iCs/>
          <w:color w:val="auto"/>
        </w:rPr>
        <w:t>arguments against the committee’s approach</w:t>
      </w:r>
      <w:r w:rsidR="00AF1347" w:rsidRPr="00321EDD">
        <w:rPr>
          <w:rFonts w:cs="Arial"/>
          <w:bCs/>
          <w:iCs/>
          <w:color w:val="auto"/>
        </w:rPr>
        <w:t xml:space="preserve"> to </w:t>
      </w:r>
      <w:r w:rsidR="001C38DF" w:rsidRPr="00321EDD">
        <w:rPr>
          <w:rFonts w:cs="Arial"/>
          <w:bCs/>
          <w:iCs/>
          <w:color w:val="auto"/>
        </w:rPr>
        <w:t>generalisability</w:t>
      </w:r>
      <w:r w:rsidR="00AF1347" w:rsidRPr="00321EDD">
        <w:rPr>
          <w:rFonts w:cs="Arial"/>
          <w:bCs/>
          <w:iCs/>
          <w:color w:val="auto"/>
        </w:rPr>
        <w:t xml:space="preserve"> and clinical effectiveness</w:t>
      </w:r>
      <w:r w:rsidR="007242CB" w:rsidRPr="00321EDD">
        <w:rPr>
          <w:rFonts w:cs="Arial"/>
          <w:bCs/>
          <w:iCs/>
          <w:color w:val="auto"/>
        </w:rPr>
        <w:t xml:space="preserve">, including the application </w:t>
      </w:r>
      <w:r w:rsidR="00936C5C" w:rsidRPr="00321EDD">
        <w:rPr>
          <w:rFonts w:cs="Arial"/>
          <w:bCs/>
          <w:iCs/>
          <w:color w:val="auto"/>
        </w:rPr>
        <w:t>o</w:t>
      </w:r>
      <w:r w:rsidR="00EC0B53" w:rsidRPr="00321EDD">
        <w:rPr>
          <w:rFonts w:cs="Arial"/>
          <w:bCs/>
          <w:iCs/>
          <w:color w:val="auto"/>
        </w:rPr>
        <w:t xml:space="preserve">f a “ceiling effect or threshold” </w:t>
      </w:r>
      <w:r w:rsidR="000F605F" w:rsidRPr="00321EDD">
        <w:rPr>
          <w:rFonts w:cs="Arial"/>
          <w:bCs/>
          <w:iCs/>
          <w:color w:val="auto"/>
        </w:rPr>
        <w:t xml:space="preserve">(per para 3.20), I see no arguable </w:t>
      </w:r>
      <w:r w:rsidR="00AD1342" w:rsidRPr="00321EDD">
        <w:rPr>
          <w:rFonts w:cs="Arial"/>
          <w:bCs/>
          <w:iCs/>
          <w:color w:val="auto"/>
        </w:rPr>
        <w:t>ground 1(a) point that any aspect of the</w:t>
      </w:r>
      <w:r w:rsidR="00936C5C" w:rsidRPr="00321EDD">
        <w:rPr>
          <w:rFonts w:cs="Arial"/>
          <w:bCs/>
          <w:iCs/>
          <w:color w:val="auto"/>
        </w:rPr>
        <w:t xml:space="preserve"> Committee’s</w:t>
      </w:r>
      <w:r w:rsidR="00AD1342" w:rsidRPr="00321EDD">
        <w:rPr>
          <w:rFonts w:cs="Arial"/>
          <w:bCs/>
          <w:iCs/>
          <w:color w:val="auto"/>
        </w:rPr>
        <w:t xml:space="preserve"> decision-making was </w:t>
      </w:r>
      <w:r w:rsidR="000F605F" w:rsidRPr="00321EDD">
        <w:rPr>
          <w:rFonts w:cs="Arial"/>
          <w:bCs/>
          <w:iCs/>
          <w:color w:val="auto"/>
        </w:rPr>
        <w:t>procedura</w:t>
      </w:r>
      <w:r w:rsidR="00AD1342" w:rsidRPr="00321EDD">
        <w:rPr>
          <w:rFonts w:cs="Arial"/>
          <w:bCs/>
          <w:iCs/>
          <w:color w:val="auto"/>
        </w:rPr>
        <w:t>l</w:t>
      </w:r>
      <w:r w:rsidR="000F605F" w:rsidRPr="00321EDD">
        <w:rPr>
          <w:rFonts w:cs="Arial"/>
          <w:bCs/>
          <w:iCs/>
          <w:color w:val="auto"/>
        </w:rPr>
        <w:t>l</w:t>
      </w:r>
      <w:r w:rsidR="00AD1342" w:rsidRPr="00321EDD">
        <w:rPr>
          <w:rFonts w:cs="Arial"/>
          <w:bCs/>
          <w:iCs/>
          <w:color w:val="auto"/>
        </w:rPr>
        <w:t>y</w:t>
      </w:r>
      <w:r w:rsidR="000F605F" w:rsidRPr="00321EDD">
        <w:rPr>
          <w:rFonts w:cs="Arial"/>
          <w:bCs/>
          <w:iCs/>
          <w:color w:val="auto"/>
        </w:rPr>
        <w:t xml:space="preserve"> unfair. </w:t>
      </w:r>
    </w:p>
    <w:p w14:paraId="7CBAF80A" w14:textId="77777777" w:rsidR="00CE276E" w:rsidRPr="00321EDD" w:rsidRDefault="00CE276E" w:rsidP="00CE276E">
      <w:pPr>
        <w:pStyle w:val="StyleParagraph11pt"/>
        <w:rPr>
          <w:b/>
          <w:bCs/>
          <w:sz w:val="20"/>
          <w:szCs w:val="20"/>
        </w:rPr>
      </w:pPr>
      <w:r w:rsidRPr="00321EDD">
        <w:rPr>
          <w:b/>
          <w:bCs/>
          <w:sz w:val="20"/>
          <w:szCs w:val="20"/>
        </w:rPr>
        <w:t>1(a).5</w:t>
      </w:r>
      <w:r w:rsidRPr="00321EDD">
        <w:rPr>
          <w:b/>
          <w:bCs/>
          <w:sz w:val="20"/>
          <w:szCs w:val="20"/>
        </w:rPr>
        <w:tab/>
        <w:t>The Committee did not conduct a thorough assessment of treatments for children with severe COVID-19 and the resulting failure to recommend any treatment for children with severe COVID-19 is unfair and discriminatory.</w:t>
      </w:r>
    </w:p>
    <w:p w14:paraId="457DD5FB" w14:textId="637CA59C" w:rsidR="009C2A17" w:rsidRPr="00321EDD" w:rsidRDefault="00B722EF" w:rsidP="00B722EF">
      <w:pPr>
        <w:spacing w:before="240" w:after="240" w:line="276" w:lineRule="auto"/>
        <w:jc w:val="both"/>
        <w:rPr>
          <w:rFonts w:cs="Arial"/>
          <w:color w:val="auto"/>
        </w:rPr>
      </w:pPr>
      <w:r w:rsidRPr="00321EDD">
        <w:rPr>
          <w:rFonts w:cs="Arial"/>
          <w:color w:val="auto"/>
        </w:rPr>
        <w:t xml:space="preserve">I do not regard this as a valid </w:t>
      </w:r>
      <w:r w:rsidR="008B1045" w:rsidRPr="00321EDD">
        <w:rPr>
          <w:rFonts w:cs="Arial"/>
          <w:color w:val="auto"/>
        </w:rPr>
        <w:t xml:space="preserve">ground 1(a) </w:t>
      </w:r>
      <w:r w:rsidRPr="00321EDD">
        <w:rPr>
          <w:rFonts w:cs="Arial"/>
          <w:color w:val="auto"/>
        </w:rPr>
        <w:t xml:space="preserve">appeal point. </w:t>
      </w:r>
    </w:p>
    <w:p w14:paraId="52F4463D" w14:textId="4518D651" w:rsidR="00B722EF" w:rsidRPr="00321EDD" w:rsidRDefault="005B0A43" w:rsidP="00B722EF">
      <w:pPr>
        <w:spacing w:before="240" w:after="240" w:line="276" w:lineRule="auto"/>
        <w:jc w:val="both"/>
        <w:rPr>
          <w:color w:val="auto"/>
        </w:rPr>
      </w:pPr>
      <w:r w:rsidRPr="00321EDD">
        <w:rPr>
          <w:rFonts w:cs="Arial"/>
          <w:color w:val="auto"/>
        </w:rPr>
        <w:lastRenderedPageBreak/>
        <w:t xml:space="preserve">I note para </w:t>
      </w:r>
      <w:r w:rsidR="00B722EF" w:rsidRPr="00321EDD">
        <w:rPr>
          <w:color w:val="auto"/>
        </w:rPr>
        <w:t>6.2.29</w:t>
      </w:r>
      <w:r w:rsidRPr="00321EDD">
        <w:rPr>
          <w:color w:val="auto"/>
        </w:rPr>
        <w:t xml:space="preserve"> of the Manual:</w:t>
      </w:r>
    </w:p>
    <w:p w14:paraId="5FC1EB51" w14:textId="2B39D5E7" w:rsidR="005B0A43" w:rsidRPr="00321EDD" w:rsidRDefault="005B0A43" w:rsidP="004644EB">
      <w:pPr>
        <w:spacing w:before="240" w:after="240" w:line="276" w:lineRule="auto"/>
        <w:ind w:left="720"/>
        <w:jc w:val="both"/>
        <w:rPr>
          <w:i/>
          <w:iCs/>
          <w:color w:val="auto"/>
        </w:rPr>
      </w:pPr>
      <w:r w:rsidRPr="00321EDD">
        <w:rPr>
          <w:i/>
          <w:iCs/>
          <w:color w:val="auto"/>
        </w:rPr>
        <w:t>“The committee will consider carefully…whether there are subgroups of individuals for whom the effectiveness evidence suggests differential cost effectiveness or cost savings. The committee may recommend a technology for subgroups of the population only if there is clear evidence that the characteristics defining the subgroup influence the effectiveness or value for money of the technology.</w:t>
      </w:r>
      <w:r w:rsidR="007E2F29" w:rsidRPr="00321EDD">
        <w:rPr>
          <w:i/>
          <w:iCs/>
          <w:color w:val="auto"/>
        </w:rPr>
        <w:t>.</w:t>
      </w:r>
      <w:r w:rsidRPr="00321EDD">
        <w:rPr>
          <w:i/>
          <w:iCs/>
          <w:color w:val="auto"/>
        </w:rPr>
        <w:t>.</w:t>
      </w:r>
      <w:r w:rsidR="004644EB" w:rsidRPr="00321EDD">
        <w:rPr>
          <w:color w:val="auto"/>
        </w:rPr>
        <w:t xml:space="preserve"> </w:t>
      </w:r>
      <w:r w:rsidR="004644EB" w:rsidRPr="00321EDD">
        <w:rPr>
          <w:i/>
          <w:iCs/>
          <w:color w:val="auto"/>
        </w:rPr>
        <w:t>When considering subgroups, the committee pays particular attention to its legal obligations with respect to legislation on human rights, discrimination and equality.</w:t>
      </w:r>
      <w:r w:rsidRPr="00321EDD">
        <w:rPr>
          <w:i/>
          <w:iCs/>
          <w:color w:val="auto"/>
        </w:rPr>
        <w:t>”</w:t>
      </w:r>
    </w:p>
    <w:p w14:paraId="116E422C" w14:textId="1398D3CD" w:rsidR="004644EB" w:rsidRPr="00321EDD" w:rsidRDefault="004644EB" w:rsidP="00917F42">
      <w:pPr>
        <w:spacing w:before="240" w:after="240" w:line="276" w:lineRule="auto"/>
        <w:jc w:val="both"/>
        <w:rPr>
          <w:rFonts w:cs="Arial"/>
          <w:bCs/>
          <w:color w:val="auto"/>
        </w:rPr>
      </w:pPr>
      <w:r w:rsidRPr="00321EDD">
        <w:rPr>
          <w:rFonts w:cs="Arial"/>
          <w:bCs/>
          <w:color w:val="auto"/>
        </w:rPr>
        <w:t xml:space="preserve">I consider </w:t>
      </w:r>
      <w:r w:rsidR="000565FF" w:rsidRPr="00321EDD">
        <w:rPr>
          <w:rFonts w:cs="Arial"/>
          <w:bCs/>
          <w:color w:val="auto"/>
        </w:rPr>
        <w:t xml:space="preserve">the procedural obligation </w:t>
      </w:r>
      <w:r w:rsidR="00D11855" w:rsidRPr="00321EDD">
        <w:rPr>
          <w:rFonts w:cs="Arial"/>
          <w:bCs/>
          <w:color w:val="auto"/>
        </w:rPr>
        <w:t>on the Committee</w:t>
      </w:r>
      <w:r w:rsidR="000F30F0" w:rsidRPr="00321EDD">
        <w:rPr>
          <w:rFonts w:cs="Arial"/>
          <w:bCs/>
          <w:color w:val="auto"/>
        </w:rPr>
        <w:t xml:space="preserve"> </w:t>
      </w:r>
      <w:r w:rsidRPr="00321EDD">
        <w:rPr>
          <w:rFonts w:cs="Arial"/>
          <w:bCs/>
          <w:color w:val="auto"/>
        </w:rPr>
        <w:t>is</w:t>
      </w:r>
      <w:r w:rsidR="000F30F0" w:rsidRPr="00321EDD">
        <w:rPr>
          <w:rFonts w:cs="Arial"/>
          <w:bCs/>
          <w:color w:val="auto"/>
        </w:rPr>
        <w:t xml:space="preserve"> </w:t>
      </w:r>
      <w:r w:rsidR="000565FF" w:rsidRPr="00321EDD">
        <w:rPr>
          <w:rFonts w:cs="Arial"/>
          <w:bCs/>
          <w:color w:val="auto"/>
        </w:rPr>
        <w:t xml:space="preserve">to consider carefully whether </w:t>
      </w:r>
      <w:r w:rsidR="000F30F0" w:rsidRPr="00321EDD">
        <w:rPr>
          <w:rFonts w:cs="Arial"/>
          <w:bCs/>
          <w:color w:val="auto"/>
        </w:rPr>
        <w:t>the effectiveness evidence suggests differential cost effectiveness or cost saving for any subgroup</w:t>
      </w:r>
      <w:r w:rsidR="00D11855" w:rsidRPr="00321EDD">
        <w:rPr>
          <w:rFonts w:cs="Arial"/>
          <w:bCs/>
          <w:color w:val="auto"/>
        </w:rPr>
        <w:t>.</w:t>
      </w:r>
    </w:p>
    <w:p w14:paraId="44854340" w14:textId="77777777" w:rsidR="00F33B28" w:rsidRPr="00321EDD" w:rsidRDefault="00B55990" w:rsidP="00917F42">
      <w:pPr>
        <w:spacing w:before="240" w:after="240" w:line="276" w:lineRule="auto"/>
        <w:jc w:val="both"/>
        <w:rPr>
          <w:rFonts w:cs="Arial"/>
          <w:bCs/>
          <w:color w:val="auto"/>
        </w:rPr>
      </w:pPr>
      <w:r w:rsidRPr="00321EDD">
        <w:rPr>
          <w:rFonts w:cs="Arial"/>
          <w:bCs/>
          <w:color w:val="auto"/>
        </w:rPr>
        <w:t xml:space="preserve">Para 3.6 </w:t>
      </w:r>
      <w:r w:rsidR="00C40CBC" w:rsidRPr="00321EDD">
        <w:rPr>
          <w:rFonts w:cs="Arial"/>
          <w:bCs/>
          <w:color w:val="auto"/>
        </w:rPr>
        <w:t xml:space="preserve">of the FDG </w:t>
      </w:r>
      <w:r w:rsidRPr="00321EDD">
        <w:rPr>
          <w:rFonts w:cs="Arial"/>
          <w:bCs/>
          <w:color w:val="auto"/>
        </w:rPr>
        <w:t xml:space="preserve">explains </w:t>
      </w:r>
      <w:r w:rsidR="00B94A6B" w:rsidRPr="00321EDD">
        <w:rPr>
          <w:rFonts w:cs="Arial"/>
          <w:bCs/>
          <w:color w:val="auto"/>
        </w:rPr>
        <w:t xml:space="preserve">that age was considered </w:t>
      </w:r>
      <w:r w:rsidR="00C05F06" w:rsidRPr="00321EDD">
        <w:rPr>
          <w:rFonts w:cs="Arial"/>
          <w:bCs/>
          <w:color w:val="auto"/>
        </w:rPr>
        <w:t>by the Committee, who noted it is a protected characteristic under equalities legislation, but was</w:t>
      </w:r>
      <w:r w:rsidR="005F35C4" w:rsidRPr="00321EDD">
        <w:rPr>
          <w:rFonts w:cs="Arial"/>
          <w:bCs/>
          <w:color w:val="auto"/>
        </w:rPr>
        <w:t xml:space="preserve"> not adopted as a</w:t>
      </w:r>
      <w:r w:rsidR="00A154A0" w:rsidRPr="00321EDD">
        <w:rPr>
          <w:rFonts w:cs="Arial"/>
          <w:bCs/>
          <w:color w:val="auto"/>
        </w:rPr>
        <w:t>n independent</w:t>
      </w:r>
      <w:r w:rsidR="005F35C4" w:rsidRPr="00321EDD">
        <w:rPr>
          <w:rFonts w:cs="Arial"/>
          <w:bCs/>
          <w:color w:val="auto"/>
        </w:rPr>
        <w:t xml:space="preserve"> risk factor</w:t>
      </w:r>
      <w:r w:rsidR="00C629A9" w:rsidRPr="00321EDD">
        <w:rPr>
          <w:rFonts w:cs="Arial"/>
          <w:bCs/>
          <w:color w:val="auto"/>
        </w:rPr>
        <w:t xml:space="preserve"> for the reasons at 3.6</w:t>
      </w:r>
      <w:r w:rsidR="00F33B28" w:rsidRPr="00321EDD">
        <w:rPr>
          <w:rFonts w:cs="Arial"/>
          <w:bCs/>
          <w:color w:val="auto"/>
        </w:rPr>
        <w:t xml:space="preserve"> </w:t>
      </w:r>
    </w:p>
    <w:p w14:paraId="054B293F" w14:textId="77777777" w:rsidR="0028619A" w:rsidRPr="00321EDD" w:rsidRDefault="00F33B28" w:rsidP="0028619A">
      <w:pPr>
        <w:spacing w:before="240" w:after="240" w:line="276" w:lineRule="auto"/>
        <w:jc w:val="both"/>
        <w:rPr>
          <w:rFonts w:cs="Arial"/>
          <w:bCs/>
          <w:color w:val="auto"/>
        </w:rPr>
      </w:pPr>
      <w:r w:rsidRPr="00321EDD">
        <w:rPr>
          <w:rFonts w:cs="Arial"/>
          <w:bCs/>
          <w:color w:val="auto"/>
        </w:rPr>
        <w:t>In addition the FDG specifically considers the position of children at para 3.6 FDG under the heading “Treatment for children”</w:t>
      </w:r>
      <w:r w:rsidR="0028619A" w:rsidRPr="00321EDD">
        <w:rPr>
          <w:rFonts w:cs="Arial"/>
          <w:bCs/>
          <w:color w:val="auto"/>
        </w:rPr>
        <w:t>:</w:t>
      </w:r>
    </w:p>
    <w:p w14:paraId="247E6FA8" w14:textId="389737D6" w:rsidR="0028619A" w:rsidRPr="00321EDD" w:rsidRDefault="0028619A" w:rsidP="0028619A">
      <w:pPr>
        <w:spacing w:before="240" w:after="240" w:line="276" w:lineRule="auto"/>
        <w:ind w:left="720"/>
        <w:jc w:val="both"/>
        <w:rPr>
          <w:rFonts w:cs="Arial"/>
          <w:bCs/>
          <w:i/>
          <w:iCs/>
          <w:color w:val="auto"/>
        </w:rPr>
      </w:pPr>
      <w:r w:rsidRPr="00321EDD">
        <w:rPr>
          <w:rFonts w:cs="Arial"/>
          <w:bCs/>
          <w:i/>
          <w:iCs/>
          <w:color w:val="auto"/>
        </w:rPr>
        <w:t>The committee noted that the summary of product characteristics for nirmatrelvir plus ritonavir in the mild COVID19 setting and tocilizumab in the severe COVID-19 setting do not recommend these treatments in people under 18 years. In the mild COVID-19 setting the committee has recommended sotrovimab for</w:t>
      </w:r>
      <w:r w:rsidRPr="00F37581">
        <w:rPr>
          <w:i/>
          <w:iCs/>
          <w:color w:val="auto"/>
        </w:rPr>
        <w:t xml:space="preserve"> </w:t>
      </w:r>
      <w:r w:rsidRPr="00321EDD">
        <w:rPr>
          <w:rFonts w:cs="Arial"/>
          <w:bCs/>
          <w:i/>
          <w:iCs/>
          <w:color w:val="auto"/>
        </w:rPr>
        <w:t>people for whom nirmatrelvir plus ritonavir is unsuitable. Sotrovimab’s marketing authorisation includes adolescents (aged 12 years and over), so this would be an option for them, if they have a high-risk of progression to severe COVID-19 as defined by the McInnes report. For younger children the only option in this setting is remdesivir. However, the ICERs were very high and not considered a cost-effective use of NHS resources. By only recommending tocilizumab in the severe COVID-19 setting there is a risk of indirectly discriminating against children and young people. However, the alternative treatments had substantially higher ICERs and were not considered a cost-effective use of NHS resources.</w:t>
      </w:r>
    </w:p>
    <w:p w14:paraId="439CCE26" w14:textId="6692A776" w:rsidR="00F33B28" w:rsidRPr="00321EDD" w:rsidRDefault="0028619A" w:rsidP="00F33B28">
      <w:pPr>
        <w:spacing w:before="240" w:after="240" w:line="276" w:lineRule="auto"/>
        <w:jc w:val="both"/>
        <w:rPr>
          <w:rFonts w:cs="Arial"/>
          <w:bCs/>
          <w:color w:val="auto"/>
        </w:rPr>
      </w:pPr>
      <w:r w:rsidRPr="00321EDD">
        <w:rPr>
          <w:rFonts w:cs="Arial"/>
          <w:bCs/>
          <w:color w:val="auto"/>
        </w:rPr>
        <w:t>T</w:t>
      </w:r>
      <w:r w:rsidR="00F33B28" w:rsidRPr="00321EDD">
        <w:rPr>
          <w:rFonts w:cs="Arial"/>
          <w:bCs/>
          <w:color w:val="auto"/>
        </w:rPr>
        <w:t xml:space="preserve">his shows the Committee identified children as subgroup, understood that </w:t>
      </w:r>
      <w:r w:rsidRPr="00F37581">
        <w:rPr>
          <w:color w:val="auto"/>
        </w:rPr>
        <w:t>remdesivir is the only licensed option for children aged under 18 in the severe COVID-19 setting</w:t>
      </w:r>
      <w:r w:rsidRPr="00321EDD">
        <w:rPr>
          <w:rFonts w:cs="Arial"/>
          <w:bCs/>
          <w:color w:val="auto"/>
        </w:rPr>
        <w:t xml:space="preserve"> and </w:t>
      </w:r>
      <w:r w:rsidR="00F33B28" w:rsidRPr="00321EDD">
        <w:rPr>
          <w:rFonts w:cs="Arial"/>
          <w:bCs/>
          <w:color w:val="auto"/>
        </w:rPr>
        <w:t xml:space="preserve">for those under </w:t>
      </w:r>
      <w:r w:rsidRPr="00321EDD">
        <w:rPr>
          <w:rFonts w:cs="Arial"/>
          <w:bCs/>
          <w:color w:val="auto"/>
        </w:rPr>
        <w:t>12</w:t>
      </w:r>
      <w:r w:rsidR="00F33B28" w:rsidRPr="00321EDD">
        <w:rPr>
          <w:rFonts w:cs="Arial"/>
          <w:bCs/>
          <w:color w:val="auto"/>
        </w:rPr>
        <w:t xml:space="preserve"> </w:t>
      </w:r>
      <w:r w:rsidRPr="00F37581">
        <w:rPr>
          <w:color w:val="auto"/>
        </w:rPr>
        <w:t xml:space="preserve">in the mild COVID-19 setting and </w:t>
      </w:r>
      <w:r w:rsidR="00F33B28" w:rsidRPr="00F37581">
        <w:rPr>
          <w:color w:val="auto"/>
        </w:rPr>
        <w:t>explored the cost effectiveness of remdesivir</w:t>
      </w:r>
      <w:r w:rsidRPr="00F37581">
        <w:rPr>
          <w:color w:val="auto"/>
        </w:rPr>
        <w:t xml:space="preserve">. Having done so they concluded the </w:t>
      </w:r>
      <w:r w:rsidR="00F33B28" w:rsidRPr="00F37581">
        <w:rPr>
          <w:color w:val="auto"/>
        </w:rPr>
        <w:t xml:space="preserve">ICERs were </w:t>
      </w:r>
      <w:r w:rsidRPr="00F37581">
        <w:rPr>
          <w:color w:val="auto"/>
        </w:rPr>
        <w:t xml:space="preserve">still </w:t>
      </w:r>
      <w:r w:rsidR="00F33B28" w:rsidRPr="00F37581">
        <w:rPr>
          <w:color w:val="auto"/>
        </w:rPr>
        <w:t>very high and not considered a cost-effective use of NHS resources</w:t>
      </w:r>
      <w:r w:rsidRPr="00F37581">
        <w:rPr>
          <w:color w:val="auto"/>
        </w:rPr>
        <w:t>. For this reason remdesivir</w:t>
      </w:r>
      <w:r w:rsidRPr="00321EDD">
        <w:rPr>
          <w:rFonts w:cs="Arial"/>
          <w:bCs/>
          <w:color w:val="auto"/>
        </w:rPr>
        <w:t xml:space="preserve"> could not be recommended for children with severe</w:t>
      </w:r>
      <w:r w:rsidR="005A1B74" w:rsidRPr="00321EDD">
        <w:rPr>
          <w:rFonts w:cs="Arial"/>
          <w:bCs/>
          <w:color w:val="auto"/>
        </w:rPr>
        <w:t xml:space="preserve"> (or mild)</w:t>
      </w:r>
      <w:r w:rsidRPr="00321EDD">
        <w:rPr>
          <w:rFonts w:cs="Arial"/>
          <w:bCs/>
          <w:color w:val="auto"/>
        </w:rPr>
        <w:t xml:space="preserve"> COVID-19</w:t>
      </w:r>
      <w:r w:rsidRPr="00F37581">
        <w:rPr>
          <w:color w:val="auto"/>
        </w:rPr>
        <w:t>. In my view the Committee has followed an appropriate process in its consideration</w:t>
      </w:r>
      <w:r w:rsidR="005A1B74" w:rsidRPr="00F37581">
        <w:rPr>
          <w:color w:val="auto"/>
        </w:rPr>
        <w:t xml:space="preserve"> of children with severe COVID-19</w:t>
      </w:r>
      <w:r w:rsidRPr="00F37581">
        <w:rPr>
          <w:color w:val="auto"/>
        </w:rPr>
        <w:t xml:space="preserve">. </w:t>
      </w:r>
    </w:p>
    <w:p w14:paraId="76B489CF" w14:textId="1DFD8092" w:rsidR="00C629A9" w:rsidRPr="00321EDD" w:rsidRDefault="00C629A9" w:rsidP="00917F42">
      <w:pPr>
        <w:spacing w:before="240" w:after="240" w:line="276" w:lineRule="auto"/>
        <w:jc w:val="both"/>
        <w:rPr>
          <w:rFonts w:cs="Arial"/>
          <w:bCs/>
          <w:color w:val="auto"/>
        </w:rPr>
      </w:pPr>
      <w:r w:rsidRPr="00321EDD">
        <w:rPr>
          <w:rFonts w:cs="Arial"/>
          <w:bCs/>
          <w:color w:val="auto"/>
        </w:rPr>
        <w:t>I therefore consider it unarguable that the Committee</w:t>
      </w:r>
      <w:r w:rsidR="0028619A" w:rsidRPr="00321EDD">
        <w:rPr>
          <w:rFonts w:cs="Arial"/>
          <w:bCs/>
          <w:color w:val="auto"/>
        </w:rPr>
        <w:t xml:space="preserve"> unfairly</w:t>
      </w:r>
      <w:r w:rsidRPr="00321EDD">
        <w:rPr>
          <w:rFonts w:cs="Arial"/>
          <w:bCs/>
          <w:color w:val="auto"/>
        </w:rPr>
        <w:t xml:space="preserve"> failed to consider </w:t>
      </w:r>
      <w:r w:rsidR="00724D19" w:rsidRPr="00321EDD">
        <w:rPr>
          <w:rFonts w:cs="Arial"/>
          <w:bCs/>
          <w:color w:val="auto"/>
        </w:rPr>
        <w:t xml:space="preserve">the possibility of subgroups by age or that </w:t>
      </w:r>
      <w:r w:rsidR="00EF0EC5" w:rsidRPr="00321EDD">
        <w:rPr>
          <w:rFonts w:cs="Arial"/>
          <w:bCs/>
          <w:color w:val="auto"/>
        </w:rPr>
        <w:t>the Manual imposed a</w:t>
      </w:r>
      <w:r w:rsidR="00E23FA1" w:rsidRPr="00321EDD">
        <w:rPr>
          <w:rFonts w:cs="Arial"/>
          <w:bCs/>
          <w:color w:val="auto"/>
        </w:rPr>
        <w:t xml:space="preserve"> procedural obligation</w:t>
      </w:r>
      <w:r w:rsidR="00EF0EC5" w:rsidRPr="00321EDD">
        <w:rPr>
          <w:rFonts w:cs="Arial"/>
          <w:bCs/>
          <w:color w:val="auto"/>
        </w:rPr>
        <w:t xml:space="preserve"> on the Committee </w:t>
      </w:r>
      <w:r w:rsidR="00E23FA1" w:rsidRPr="00321EDD">
        <w:rPr>
          <w:rFonts w:cs="Arial"/>
          <w:bCs/>
          <w:color w:val="auto"/>
        </w:rPr>
        <w:t xml:space="preserve">to adopt a subgroup of children with severe COVID-19. </w:t>
      </w:r>
    </w:p>
    <w:p w14:paraId="69351AEA" w14:textId="67364DE4" w:rsidR="008D60AB" w:rsidRPr="00321EDD" w:rsidRDefault="00EF0EC5" w:rsidP="00917F42">
      <w:pPr>
        <w:spacing w:before="240" w:after="240" w:line="276" w:lineRule="auto"/>
        <w:jc w:val="both"/>
        <w:rPr>
          <w:rFonts w:cs="Arial"/>
          <w:bCs/>
          <w:color w:val="auto"/>
        </w:rPr>
      </w:pPr>
      <w:r w:rsidRPr="00321EDD">
        <w:rPr>
          <w:rFonts w:cs="Arial"/>
          <w:bCs/>
          <w:color w:val="auto"/>
        </w:rPr>
        <w:t>I note y</w:t>
      </w:r>
      <w:r w:rsidR="00934D6E" w:rsidRPr="00321EDD">
        <w:rPr>
          <w:rFonts w:cs="Arial"/>
          <w:bCs/>
          <w:color w:val="auto"/>
        </w:rPr>
        <w:t xml:space="preserve">our appeal letter does not appear to argue that the effectiveness evidence suggests differential cost effectiveness or cost savings for children. </w:t>
      </w:r>
      <w:r w:rsidR="00F96890" w:rsidRPr="00321EDD">
        <w:rPr>
          <w:rFonts w:cs="Arial"/>
          <w:bCs/>
          <w:color w:val="auto"/>
        </w:rPr>
        <w:t xml:space="preserve">Rather your argument is that children with severe COVID-19 should have been considered as a subgroup </w:t>
      </w:r>
      <w:r w:rsidR="001A5B07" w:rsidRPr="00321EDD">
        <w:rPr>
          <w:rFonts w:cs="Arial"/>
          <w:bCs/>
          <w:color w:val="auto"/>
        </w:rPr>
        <w:t xml:space="preserve">because </w:t>
      </w:r>
      <w:r w:rsidR="00E60824" w:rsidRPr="00321EDD">
        <w:rPr>
          <w:rFonts w:cs="Arial"/>
          <w:bCs/>
          <w:color w:val="auto"/>
        </w:rPr>
        <w:t>remdesivir</w:t>
      </w:r>
      <w:r w:rsidR="0052537E" w:rsidRPr="00321EDD">
        <w:rPr>
          <w:rFonts w:cs="Arial"/>
          <w:bCs/>
          <w:color w:val="auto"/>
        </w:rPr>
        <w:t xml:space="preserve"> is the only COVID-19 treatment that is licensed in the UK for paediatric patients. </w:t>
      </w:r>
      <w:r w:rsidR="000368B9" w:rsidRPr="00321EDD">
        <w:rPr>
          <w:rFonts w:cs="Arial"/>
          <w:bCs/>
          <w:color w:val="auto"/>
        </w:rPr>
        <w:t xml:space="preserve">I </w:t>
      </w:r>
      <w:r w:rsidR="00034338" w:rsidRPr="00321EDD">
        <w:rPr>
          <w:rFonts w:cs="Arial"/>
          <w:bCs/>
          <w:color w:val="auto"/>
        </w:rPr>
        <w:t xml:space="preserve">see nothing in </w:t>
      </w:r>
      <w:r w:rsidR="000368B9" w:rsidRPr="00321EDD">
        <w:rPr>
          <w:rFonts w:cs="Arial"/>
          <w:bCs/>
          <w:color w:val="auto"/>
        </w:rPr>
        <w:t xml:space="preserve">the Manual </w:t>
      </w:r>
      <w:r w:rsidR="00034338" w:rsidRPr="00321EDD">
        <w:rPr>
          <w:rFonts w:cs="Arial"/>
          <w:bCs/>
          <w:color w:val="auto"/>
        </w:rPr>
        <w:t xml:space="preserve">that </w:t>
      </w:r>
      <w:r w:rsidR="000368B9" w:rsidRPr="00321EDD">
        <w:rPr>
          <w:rFonts w:cs="Arial"/>
          <w:bCs/>
          <w:color w:val="auto"/>
        </w:rPr>
        <w:t xml:space="preserve">requires the Committee to carry out subgroup analysis </w:t>
      </w:r>
      <w:r w:rsidR="003538D5" w:rsidRPr="00321EDD">
        <w:rPr>
          <w:rFonts w:cs="Arial"/>
          <w:bCs/>
          <w:color w:val="auto"/>
        </w:rPr>
        <w:t>in these circumstances</w:t>
      </w:r>
      <w:r w:rsidR="00986E50" w:rsidRPr="00321EDD">
        <w:rPr>
          <w:rFonts w:cs="Arial"/>
          <w:bCs/>
          <w:color w:val="auto"/>
        </w:rPr>
        <w:t xml:space="preserve"> as a matter of procedural fairness</w:t>
      </w:r>
      <w:r w:rsidR="00034338" w:rsidRPr="00321EDD">
        <w:rPr>
          <w:rFonts w:cs="Arial"/>
          <w:bCs/>
          <w:color w:val="auto"/>
        </w:rPr>
        <w:t xml:space="preserve">.  </w:t>
      </w:r>
    </w:p>
    <w:p w14:paraId="5A73B6DE" w14:textId="017A0D73" w:rsidR="00CE276E" w:rsidRPr="00321EDD" w:rsidRDefault="00986E50" w:rsidP="00BE58F9">
      <w:pPr>
        <w:spacing w:before="240" w:after="240" w:line="276" w:lineRule="auto"/>
        <w:jc w:val="both"/>
        <w:rPr>
          <w:rFonts w:cs="Arial"/>
          <w:bCs/>
          <w:color w:val="auto"/>
        </w:rPr>
      </w:pPr>
      <w:r w:rsidRPr="00321EDD">
        <w:rPr>
          <w:rFonts w:cs="Arial"/>
          <w:bCs/>
          <w:color w:val="auto"/>
        </w:rPr>
        <w:t xml:space="preserve">I do not consider it arguable that </w:t>
      </w:r>
      <w:r w:rsidR="00AA6FB6" w:rsidRPr="00321EDD">
        <w:rPr>
          <w:rFonts w:cs="Arial"/>
          <w:bCs/>
          <w:color w:val="auto"/>
        </w:rPr>
        <w:t xml:space="preserve">the </w:t>
      </w:r>
      <w:r w:rsidR="003E188F" w:rsidRPr="00321EDD">
        <w:rPr>
          <w:rFonts w:cs="Arial"/>
          <w:bCs/>
          <w:color w:val="auto"/>
        </w:rPr>
        <w:t>European Convention on Human rights (</w:t>
      </w:r>
      <w:r w:rsidR="00AA6FB6" w:rsidRPr="00321EDD">
        <w:rPr>
          <w:rFonts w:cs="Arial"/>
          <w:bCs/>
          <w:color w:val="auto"/>
        </w:rPr>
        <w:t>ECHR</w:t>
      </w:r>
      <w:r w:rsidR="003E188F" w:rsidRPr="00321EDD">
        <w:rPr>
          <w:rFonts w:cs="Arial"/>
          <w:bCs/>
          <w:color w:val="auto"/>
        </w:rPr>
        <w:t>)</w:t>
      </w:r>
      <w:r w:rsidR="00AA6FB6" w:rsidRPr="00321EDD">
        <w:rPr>
          <w:rFonts w:cs="Arial"/>
          <w:bCs/>
          <w:color w:val="auto"/>
        </w:rPr>
        <w:t xml:space="preserve"> or Equality Act 2010 can form the basis of a </w:t>
      </w:r>
      <w:r w:rsidR="008D60AB" w:rsidRPr="00321EDD">
        <w:rPr>
          <w:rFonts w:cs="Arial"/>
          <w:bCs/>
          <w:color w:val="auto"/>
        </w:rPr>
        <w:t xml:space="preserve">1(a) point here. </w:t>
      </w:r>
      <w:r w:rsidR="00E74074" w:rsidRPr="00321EDD">
        <w:rPr>
          <w:rFonts w:cs="Arial"/>
          <w:bCs/>
          <w:color w:val="auto"/>
        </w:rPr>
        <w:t>I note</w:t>
      </w:r>
      <w:r w:rsidR="00A742D2" w:rsidRPr="00321EDD">
        <w:rPr>
          <w:rFonts w:cs="Arial"/>
          <w:bCs/>
          <w:color w:val="auto"/>
        </w:rPr>
        <w:t xml:space="preserve"> the Committee </w:t>
      </w:r>
      <w:r w:rsidR="00AF28FD" w:rsidRPr="00321EDD">
        <w:rPr>
          <w:rFonts w:cs="Arial"/>
          <w:bCs/>
          <w:color w:val="auto"/>
        </w:rPr>
        <w:t xml:space="preserve">was aware </w:t>
      </w:r>
      <w:r w:rsidR="009B2E41" w:rsidRPr="00321EDD">
        <w:rPr>
          <w:rFonts w:cs="Arial"/>
          <w:bCs/>
          <w:color w:val="auto"/>
        </w:rPr>
        <w:t xml:space="preserve">that it was recommending </w:t>
      </w:r>
      <w:r w:rsidR="009B2E41" w:rsidRPr="00321EDD">
        <w:rPr>
          <w:rFonts w:cs="Arial"/>
          <w:bCs/>
          <w:color w:val="auto"/>
        </w:rPr>
        <w:lastRenderedPageBreak/>
        <w:t xml:space="preserve">no licensed treatment for </w:t>
      </w:r>
      <w:r w:rsidR="00AF47F9" w:rsidRPr="00321EDD">
        <w:rPr>
          <w:rFonts w:cs="Arial"/>
          <w:bCs/>
          <w:color w:val="auto"/>
        </w:rPr>
        <w:t xml:space="preserve">under 18s </w:t>
      </w:r>
      <w:r w:rsidR="00F26A49" w:rsidRPr="00321EDD">
        <w:rPr>
          <w:rFonts w:cs="Arial"/>
          <w:bCs/>
          <w:color w:val="auto"/>
        </w:rPr>
        <w:t>and</w:t>
      </w:r>
      <w:r w:rsidR="00E74074" w:rsidRPr="00321EDD">
        <w:rPr>
          <w:rFonts w:cs="Arial"/>
          <w:bCs/>
          <w:color w:val="auto"/>
        </w:rPr>
        <w:t xml:space="preserve"> was mindful </w:t>
      </w:r>
      <w:r w:rsidR="00F26A49" w:rsidRPr="00321EDD">
        <w:rPr>
          <w:rFonts w:cs="Arial"/>
          <w:bCs/>
          <w:color w:val="auto"/>
        </w:rPr>
        <w:t xml:space="preserve">of the requirements of equalities legislation </w:t>
      </w:r>
      <w:r w:rsidR="00E74074" w:rsidRPr="00321EDD">
        <w:rPr>
          <w:rFonts w:cs="Arial"/>
          <w:bCs/>
          <w:color w:val="auto"/>
        </w:rPr>
        <w:t xml:space="preserve">and of NICE’s statutory function to recommend </w:t>
      </w:r>
      <w:r w:rsidR="005531BC" w:rsidRPr="00321EDD">
        <w:rPr>
          <w:rFonts w:cs="Arial"/>
          <w:bCs/>
          <w:color w:val="auto"/>
        </w:rPr>
        <w:t xml:space="preserve">treatments that are cost effective </w:t>
      </w:r>
      <w:r w:rsidR="00AF28FD" w:rsidRPr="00321EDD">
        <w:rPr>
          <w:rFonts w:cs="Arial"/>
          <w:bCs/>
          <w:color w:val="auto"/>
        </w:rPr>
        <w:t>(see p</w:t>
      </w:r>
      <w:r w:rsidR="00C40CBC" w:rsidRPr="00321EDD">
        <w:rPr>
          <w:rFonts w:cs="Arial"/>
          <w:bCs/>
          <w:color w:val="auto"/>
        </w:rPr>
        <w:t>ara 3.32 (Equality issues) of the FDG</w:t>
      </w:r>
      <w:r w:rsidR="00AF28FD" w:rsidRPr="00321EDD">
        <w:rPr>
          <w:rFonts w:cs="Arial"/>
          <w:bCs/>
          <w:color w:val="auto"/>
        </w:rPr>
        <w:t>)</w:t>
      </w:r>
      <w:r w:rsidR="00E74074" w:rsidRPr="00321EDD">
        <w:rPr>
          <w:rFonts w:cs="Arial"/>
          <w:bCs/>
          <w:color w:val="auto"/>
        </w:rPr>
        <w:t xml:space="preserve">. </w:t>
      </w:r>
      <w:r w:rsidR="005531BC" w:rsidRPr="00321EDD">
        <w:rPr>
          <w:rFonts w:cs="Arial"/>
          <w:bCs/>
          <w:color w:val="auto"/>
        </w:rPr>
        <w:t xml:space="preserve">If you wish to make an appeal point that the </w:t>
      </w:r>
      <w:r w:rsidR="00435B54" w:rsidRPr="00321EDD">
        <w:rPr>
          <w:rFonts w:cs="Arial"/>
          <w:bCs/>
          <w:color w:val="auto"/>
        </w:rPr>
        <w:t>FDG breaches</w:t>
      </w:r>
      <w:r w:rsidR="005531BC" w:rsidRPr="00321EDD">
        <w:rPr>
          <w:rFonts w:cs="Arial"/>
          <w:bCs/>
          <w:color w:val="auto"/>
        </w:rPr>
        <w:t xml:space="preserve"> human rights and/or equalities legislation then I invite you to put </w:t>
      </w:r>
      <w:r w:rsidR="00435B54" w:rsidRPr="00321EDD">
        <w:rPr>
          <w:rFonts w:cs="Arial"/>
          <w:bCs/>
          <w:color w:val="auto"/>
        </w:rPr>
        <w:t xml:space="preserve">that </w:t>
      </w:r>
      <w:r w:rsidR="005531BC" w:rsidRPr="00321EDD">
        <w:rPr>
          <w:rFonts w:cs="Arial"/>
          <w:bCs/>
          <w:color w:val="auto"/>
        </w:rPr>
        <w:t xml:space="preserve">as a </w:t>
      </w:r>
      <w:r w:rsidR="00435B54" w:rsidRPr="00321EDD">
        <w:rPr>
          <w:rFonts w:cs="Arial"/>
          <w:bCs/>
          <w:color w:val="auto"/>
        </w:rPr>
        <w:t xml:space="preserve">new appeal point </w:t>
      </w:r>
      <w:proofErr w:type="spellStart"/>
      <w:r w:rsidR="00435B54" w:rsidRPr="00321EDD">
        <w:rPr>
          <w:rFonts w:cs="Arial"/>
          <w:bCs/>
          <w:color w:val="auto"/>
        </w:rPr>
        <w:t xml:space="preserve">under </w:t>
      </w:r>
      <w:r w:rsidR="005531BC" w:rsidRPr="00321EDD">
        <w:rPr>
          <w:rFonts w:cs="Arial"/>
          <w:bCs/>
          <w:color w:val="auto"/>
        </w:rPr>
        <w:t>ground</w:t>
      </w:r>
      <w:proofErr w:type="spellEnd"/>
      <w:r w:rsidR="005531BC" w:rsidRPr="00321EDD">
        <w:rPr>
          <w:rFonts w:cs="Arial"/>
          <w:bCs/>
          <w:color w:val="auto"/>
        </w:rPr>
        <w:t xml:space="preserve"> 1(b) in your response to this letter</w:t>
      </w:r>
      <w:r w:rsidR="00435B54" w:rsidRPr="00321EDD">
        <w:rPr>
          <w:rFonts w:cs="Arial"/>
          <w:bCs/>
          <w:color w:val="auto"/>
        </w:rPr>
        <w:t xml:space="preserve"> and explain specifically why</w:t>
      </w:r>
      <w:r w:rsidR="00BC021C" w:rsidRPr="00321EDD">
        <w:rPr>
          <w:rFonts w:cs="Arial"/>
          <w:bCs/>
          <w:color w:val="auto"/>
        </w:rPr>
        <w:t xml:space="preserve"> </w:t>
      </w:r>
      <w:r w:rsidR="00435B54" w:rsidRPr="00321EDD">
        <w:rPr>
          <w:rFonts w:cs="Arial"/>
          <w:bCs/>
          <w:color w:val="auto"/>
        </w:rPr>
        <w:t>you consider the Committee’s approach was unlawful</w:t>
      </w:r>
      <w:r w:rsidR="00935F13" w:rsidRPr="00321EDD">
        <w:rPr>
          <w:rFonts w:cs="Arial"/>
          <w:bCs/>
          <w:color w:val="auto"/>
        </w:rPr>
        <w:t xml:space="preserve"> in breach of human rights and/or equalities legislation</w:t>
      </w:r>
      <w:r w:rsidR="00FB6A4B" w:rsidRPr="00321EDD">
        <w:rPr>
          <w:rFonts w:cs="Arial"/>
          <w:bCs/>
          <w:color w:val="auto"/>
        </w:rPr>
        <w:t xml:space="preserve">. </w:t>
      </w:r>
    </w:p>
    <w:p w14:paraId="06779AAE" w14:textId="4628D895" w:rsidR="00CC0DBB" w:rsidRPr="00321EDD" w:rsidRDefault="00FE7F17" w:rsidP="00BE58F9">
      <w:pPr>
        <w:spacing w:before="240" w:after="240" w:line="276" w:lineRule="auto"/>
        <w:jc w:val="both"/>
        <w:rPr>
          <w:rFonts w:cs="Arial"/>
          <w:bCs/>
          <w:iCs/>
          <w:color w:val="auto"/>
        </w:rPr>
      </w:pPr>
      <w:r w:rsidRPr="00321EDD">
        <w:rPr>
          <w:rFonts w:cs="Arial"/>
          <w:bCs/>
          <w:color w:val="auto"/>
        </w:rPr>
        <w:t xml:space="preserve">In reaching the above initial view, I have had regard to the appeal decision </w:t>
      </w:r>
      <w:r w:rsidR="00AF05BA" w:rsidRPr="00321EDD">
        <w:rPr>
          <w:rFonts w:cs="Arial"/>
          <w:bCs/>
          <w:color w:val="auto"/>
        </w:rPr>
        <w:t xml:space="preserve">to which you refer in your appeal letter (against </w:t>
      </w:r>
      <w:proofErr w:type="spellStart"/>
      <w:r w:rsidR="00AD5358" w:rsidRPr="00321EDD">
        <w:rPr>
          <w:rFonts w:cs="Arial"/>
          <w:bCs/>
          <w:color w:val="auto"/>
        </w:rPr>
        <w:t>Dinutuximab</w:t>
      </w:r>
      <w:proofErr w:type="spellEnd"/>
      <w:r w:rsidR="00AD5358" w:rsidRPr="00321EDD">
        <w:rPr>
          <w:rFonts w:cs="Arial"/>
          <w:bCs/>
          <w:color w:val="auto"/>
        </w:rPr>
        <w:t xml:space="preserve"> for treating high-risk neuroblastoma [ID799]</w:t>
      </w:r>
      <w:r w:rsidR="00AF05BA" w:rsidRPr="00321EDD">
        <w:rPr>
          <w:rFonts w:cs="Arial"/>
          <w:bCs/>
          <w:color w:val="auto"/>
        </w:rPr>
        <w:t>).</w:t>
      </w:r>
      <w:r w:rsidR="004C209B" w:rsidRPr="00321EDD">
        <w:rPr>
          <w:rStyle w:val="FootnoteReference"/>
          <w:rFonts w:cs="Arial"/>
          <w:bCs/>
          <w:color w:val="auto"/>
        </w:rPr>
        <w:footnoteReference w:id="4"/>
      </w:r>
      <w:r w:rsidR="00AF05BA" w:rsidRPr="00321EDD">
        <w:rPr>
          <w:rFonts w:cs="Arial"/>
          <w:bCs/>
          <w:color w:val="auto"/>
        </w:rPr>
        <w:t xml:space="preserve"> At paragraphs 14-28 of </w:t>
      </w:r>
      <w:r w:rsidR="00AD5358" w:rsidRPr="00321EDD">
        <w:rPr>
          <w:rFonts w:cs="Arial"/>
          <w:bCs/>
          <w:color w:val="auto"/>
        </w:rPr>
        <w:t>th</w:t>
      </w:r>
      <w:r w:rsidR="00AF05BA" w:rsidRPr="00321EDD">
        <w:rPr>
          <w:rFonts w:cs="Arial"/>
          <w:bCs/>
          <w:color w:val="auto"/>
        </w:rPr>
        <w:t>e decision the</w:t>
      </w:r>
      <w:r w:rsidR="00AD5358" w:rsidRPr="00321EDD">
        <w:rPr>
          <w:rFonts w:cs="Arial"/>
          <w:bCs/>
          <w:color w:val="auto"/>
        </w:rPr>
        <w:t xml:space="preserve"> Panel discussed an appeal point </w:t>
      </w:r>
      <w:proofErr w:type="spellStart"/>
      <w:r w:rsidR="00AD5358" w:rsidRPr="00321EDD">
        <w:rPr>
          <w:rFonts w:cs="Arial"/>
          <w:bCs/>
          <w:color w:val="auto"/>
        </w:rPr>
        <w:t>under g</w:t>
      </w:r>
      <w:r w:rsidR="008B5D77" w:rsidRPr="00321EDD">
        <w:rPr>
          <w:rFonts w:cs="Arial"/>
          <w:bCs/>
          <w:color w:val="auto"/>
        </w:rPr>
        <w:t>round</w:t>
      </w:r>
      <w:proofErr w:type="spellEnd"/>
      <w:r w:rsidR="008B5D77" w:rsidRPr="00321EDD">
        <w:rPr>
          <w:rFonts w:cs="Arial"/>
          <w:bCs/>
          <w:color w:val="auto"/>
        </w:rPr>
        <w:t xml:space="preserve"> 1b </w:t>
      </w:r>
      <w:r w:rsidR="00AD5358" w:rsidRPr="00321EDD">
        <w:rPr>
          <w:rFonts w:cs="Arial"/>
          <w:bCs/>
          <w:color w:val="auto"/>
        </w:rPr>
        <w:t>that “</w:t>
      </w:r>
      <w:r w:rsidR="008B5D77" w:rsidRPr="00321EDD">
        <w:rPr>
          <w:rFonts w:cs="Arial"/>
          <w:bCs/>
          <w:i/>
          <w:iCs/>
          <w:color w:val="auto"/>
        </w:rPr>
        <w:t>There has been a breach of Section 11 of the Children Act 2004, Article 3 of the UN Convention on the Rights of the Child and human rights legislation</w:t>
      </w:r>
      <w:r w:rsidR="00AD5358" w:rsidRPr="00321EDD">
        <w:rPr>
          <w:rFonts w:cs="Arial"/>
          <w:bCs/>
          <w:color w:val="auto"/>
        </w:rPr>
        <w:t>.”</w:t>
      </w:r>
      <w:r w:rsidR="007D39AD" w:rsidRPr="00321EDD">
        <w:rPr>
          <w:rFonts w:cs="Arial"/>
          <w:bCs/>
          <w:color w:val="auto"/>
        </w:rPr>
        <w:t xml:space="preserve"> In that case the fundamental issue for the panel expressed in lay terms was whether NICE's processes had properly accounted for the fact that the target population for this technology was a paediatric patient group. </w:t>
      </w:r>
      <w:r w:rsidR="000235A7" w:rsidRPr="00321EDD">
        <w:rPr>
          <w:rFonts w:cs="Arial"/>
          <w:bCs/>
          <w:color w:val="auto"/>
        </w:rPr>
        <w:t>I</w:t>
      </w:r>
      <w:r w:rsidR="00E3761A" w:rsidRPr="00321EDD">
        <w:rPr>
          <w:rFonts w:cs="Arial"/>
          <w:bCs/>
          <w:color w:val="auto"/>
        </w:rPr>
        <w:t>n my view that appeal is</w:t>
      </w:r>
      <w:r w:rsidR="003F5C82" w:rsidRPr="00321EDD">
        <w:rPr>
          <w:rFonts w:cs="Arial"/>
          <w:bCs/>
          <w:color w:val="auto"/>
        </w:rPr>
        <w:t xml:space="preserve"> not obviously comparable to the present appeal. I am also mindful that in</w:t>
      </w:r>
      <w:r w:rsidR="003F5C82" w:rsidRPr="00321EDD">
        <w:rPr>
          <w:color w:val="auto"/>
        </w:rPr>
        <w:t xml:space="preserve"> determining the prospects of success of appeal points, I </w:t>
      </w:r>
      <w:r w:rsidR="00D65B92" w:rsidRPr="00321EDD">
        <w:rPr>
          <w:color w:val="auto"/>
        </w:rPr>
        <w:t>can have</w:t>
      </w:r>
      <w:r w:rsidR="003F5C82" w:rsidRPr="00321EDD">
        <w:rPr>
          <w:color w:val="auto"/>
        </w:rPr>
        <w:t xml:space="preserve"> regard to and </w:t>
      </w:r>
      <w:r w:rsidR="00D65B92" w:rsidRPr="00321EDD">
        <w:rPr>
          <w:color w:val="auto"/>
        </w:rPr>
        <w:t>be</w:t>
      </w:r>
      <w:r w:rsidR="003F5C82" w:rsidRPr="00321EDD">
        <w:rPr>
          <w:color w:val="auto"/>
        </w:rPr>
        <w:t xml:space="preserve"> guided by past decisions of the Appeal Panel, but </w:t>
      </w:r>
      <w:r w:rsidR="00D65B92" w:rsidRPr="00321EDD">
        <w:rPr>
          <w:color w:val="auto"/>
        </w:rPr>
        <w:t>I am</w:t>
      </w:r>
      <w:r w:rsidR="003F5C82" w:rsidRPr="00321EDD">
        <w:rPr>
          <w:color w:val="auto"/>
        </w:rPr>
        <w:t xml:space="preserve"> not strictly bound by them</w:t>
      </w:r>
      <w:r w:rsidR="00E3761A" w:rsidRPr="00321EDD">
        <w:rPr>
          <w:rFonts w:cs="Arial"/>
          <w:bCs/>
          <w:color w:val="auto"/>
        </w:rPr>
        <w:t xml:space="preserve"> </w:t>
      </w:r>
      <w:r w:rsidR="000235A7" w:rsidRPr="00321EDD">
        <w:rPr>
          <w:rFonts w:cs="Arial"/>
          <w:bCs/>
          <w:color w:val="auto"/>
        </w:rPr>
        <w:t xml:space="preserve"> </w:t>
      </w:r>
      <w:r w:rsidR="00D65B92" w:rsidRPr="00321EDD">
        <w:rPr>
          <w:rFonts w:cs="Arial"/>
          <w:bCs/>
          <w:color w:val="auto"/>
        </w:rPr>
        <w:t xml:space="preserve">(see the NICE appeal process guide). I </w:t>
      </w:r>
      <w:r w:rsidR="000235A7" w:rsidRPr="00321EDD">
        <w:rPr>
          <w:rFonts w:cs="Arial"/>
          <w:bCs/>
          <w:color w:val="auto"/>
        </w:rPr>
        <w:t xml:space="preserve">invite you to explain </w:t>
      </w:r>
      <w:r w:rsidR="00AD3767" w:rsidRPr="00321EDD">
        <w:rPr>
          <w:rFonts w:cs="Arial"/>
          <w:bCs/>
          <w:color w:val="auto"/>
        </w:rPr>
        <w:t xml:space="preserve">specifically which part of the appeal decision you consider supports any ground 1(b) appeal point you make in your response to this letter. </w:t>
      </w:r>
    </w:p>
    <w:p w14:paraId="24AEC6E1" w14:textId="77777777" w:rsidR="00CA69A3" w:rsidRPr="00321EDD" w:rsidRDefault="00CA69A3" w:rsidP="00CA69A3">
      <w:pPr>
        <w:pStyle w:val="StyleParagraph11pt"/>
        <w:rPr>
          <w:b/>
          <w:bCs/>
          <w:sz w:val="20"/>
          <w:szCs w:val="20"/>
        </w:rPr>
      </w:pPr>
      <w:r w:rsidRPr="00321EDD">
        <w:rPr>
          <w:b/>
          <w:bCs/>
          <w:sz w:val="20"/>
          <w:szCs w:val="20"/>
        </w:rPr>
        <w:t>1(a).6</w:t>
      </w:r>
      <w:r w:rsidRPr="00321EDD">
        <w:rPr>
          <w:b/>
          <w:bCs/>
          <w:sz w:val="20"/>
          <w:szCs w:val="20"/>
        </w:rPr>
        <w:tab/>
        <w:t xml:space="preserve">The Committee has not given any adequate reasons for not addressing the distinction </w:t>
      </w:r>
      <w:r w:rsidRPr="00321EDD">
        <w:rPr>
          <w:b/>
          <w:bCs/>
          <w:sz w:val="20"/>
          <w:szCs w:val="20"/>
          <w:lang w:val="x-none"/>
        </w:rPr>
        <w:t>between</w:t>
      </w:r>
      <w:r w:rsidRPr="00321EDD">
        <w:rPr>
          <w:b/>
          <w:bCs/>
          <w:sz w:val="20"/>
          <w:szCs w:val="20"/>
        </w:rPr>
        <w:t xml:space="preserve"> patients with severe COVID-19 on low-flow oxygen and those on high-flow oxygen despite this clear distinction being made in current guidance.</w:t>
      </w:r>
    </w:p>
    <w:p w14:paraId="43D4B3C0" w14:textId="77777777" w:rsidR="00872328" w:rsidRPr="00321EDD" w:rsidRDefault="00723569" w:rsidP="00E87F1E">
      <w:pPr>
        <w:spacing w:before="240" w:after="240" w:line="276" w:lineRule="auto"/>
        <w:jc w:val="both"/>
        <w:rPr>
          <w:rFonts w:cs="Arial"/>
          <w:bCs/>
          <w:iCs/>
          <w:color w:val="auto"/>
        </w:rPr>
      </w:pPr>
      <w:r w:rsidRPr="00321EDD">
        <w:rPr>
          <w:rFonts w:cs="Arial"/>
          <w:bCs/>
          <w:iCs/>
          <w:color w:val="auto"/>
        </w:rPr>
        <w:t>A valid appeal point</w:t>
      </w:r>
      <w:r w:rsidR="000A4F51" w:rsidRPr="00321EDD">
        <w:rPr>
          <w:rFonts w:cs="Arial"/>
          <w:bCs/>
          <w:iCs/>
          <w:color w:val="auto"/>
        </w:rPr>
        <w:t xml:space="preserve"> in respect of arguable inadequate reasons</w:t>
      </w:r>
      <w:r w:rsidR="0008211B" w:rsidRPr="00321EDD">
        <w:rPr>
          <w:rFonts w:cs="Arial"/>
          <w:bCs/>
          <w:iCs/>
          <w:color w:val="auto"/>
        </w:rPr>
        <w:t xml:space="preserve">. </w:t>
      </w:r>
    </w:p>
    <w:p w14:paraId="1C1C7A1D" w14:textId="0CA50DD2" w:rsidR="007B5A50" w:rsidRPr="00321EDD" w:rsidRDefault="00872328" w:rsidP="00E87F1E">
      <w:pPr>
        <w:spacing w:before="240" w:after="240" w:line="276" w:lineRule="auto"/>
        <w:jc w:val="both"/>
        <w:rPr>
          <w:rFonts w:cs="Arial"/>
          <w:bCs/>
          <w:iCs/>
          <w:color w:val="auto"/>
        </w:rPr>
      </w:pPr>
      <w:r w:rsidRPr="00321EDD">
        <w:rPr>
          <w:rFonts w:cs="Arial"/>
          <w:bCs/>
          <w:iCs/>
          <w:color w:val="auto"/>
        </w:rPr>
        <w:t>That is because</w:t>
      </w:r>
      <w:r w:rsidR="0047595F" w:rsidRPr="00321EDD">
        <w:rPr>
          <w:rFonts w:cs="Arial"/>
          <w:bCs/>
          <w:iCs/>
          <w:color w:val="auto"/>
        </w:rPr>
        <w:t xml:space="preserve"> the distinction between high and low</w:t>
      </w:r>
      <w:r w:rsidR="00852D38" w:rsidRPr="00321EDD">
        <w:rPr>
          <w:rFonts w:cs="Arial"/>
          <w:bCs/>
          <w:iCs/>
          <w:color w:val="auto"/>
        </w:rPr>
        <w:t>-</w:t>
      </w:r>
      <w:r w:rsidR="0047595F" w:rsidRPr="00321EDD">
        <w:rPr>
          <w:rFonts w:cs="Arial"/>
          <w:bCs/>
          <w:iCs/>
          <w:color w:val="auto"/>
        </w:rPr>
        <w:t xml:space="preserve">flow </w:t>
      </w:r>
      <w:r w:rsidR="00852D38" w:rsidRPr="00321EDD">
        <w:rPr>
          <w:rFonts w:cs="Arial"/>
          <w:bCs/>
          <w:iCs/>
          <w:color w:val="auto"/>
        </w:rPr>
        <w:t xml:space="preserve">oxygen </w:t>
      </w:r>
      <w:r w:rsidR="0047595F" w:rsidRPr="00321EDD">
        <w:rPr>
          <w:rFonts w:cs="Arial"/>
          <w:bCs/>
          <w:iCs/>
          <w:color w:val="auto"/>
        </w:rPr>
        <w:t xml:space="preserve">sub groups seems to have validity </w:t>
      </w:r>
      <w:r w:rsidRPr="00321EDD">
        <w:rPr>
          <w:rFonts w:cs="Arial"/>
          <w:bCs/>
          <w:iCs/>
          <w:color w:val="auto"/>
        </w:rPr>
        <w:t xml:space="preserve">(I consider this at least arguable) </w:t>
      </w:r>
      <w:r w:rsidR="0047595F" w:rsidRPr="00321EDD">
        <w:rPr>
          <w:rFonts w:cs="Arial"/>
          <w:bCs/>
          <w:iCs/>
          <w:color w:val="auto"/>
        </w:rPr>
        <w:t xml:space="preserve">and </w:t>
      </w:r>
      <w:r w:rsidR="0096165D" w:rsidRPr="00321EDD">
        <w:rPr>
          <w:rFonts w:cs="Arial"/>
          <w:bCs/>
          <w:iCs/>
          <w:color w:val="auto"/>
        </w:rPr>
        <w:t>there may be</w:t>
      </w:r>
      <w:r w:rsidR="0047595F" w:rsidRPr="00321EDD">
        <w:rPr>
          <w:rFonts w:cs="Arial"/>
          <w:bCs/>
          <w:iCs/>
          <w:color w:val="auto"/>
        </w:rPr>
        <w:t xml:space="preserve"> a different level of evidence for mortality benefit </w:t>
      </w:r>
      <w:r w:rsidR="0096165D" w:rsidRPr="00321EDD">
        <w:rPr>
          <w:rFonts w:cs="Arial"/>
          <w:bCs/>
          <w:iCs/>
          <w:color w:val="auto"/>
        </w:rPr>
        <w:t>between these two sub groups</w:t>
      </w:r>
      <w:r w:rsidR="007B5A50" w:rsidRPr="00321EDD">
        <w:rPr>
          <w:rFonts w:cs="Arial"/>
          <w:bCs/>
          <w:iCs/>
          <w:color w:val="auto"/>
        </w:rPr>
        <w:t>,</w:t>
      </w:r>
      <w:r w:rsidR="0096165D" w:rsidRPr="00321EDD">
        <w:rPr>
          <w:rFonts w:cs="Arial"/>
          <w:bCs/>
          <w:iCs/>
          <w:color w:val="auto"/>
        </w:rPr>
        <w:t xml:space="preserve"> such that </w:t>
      </w:r>
      <w:r w:rsidR="0047595F" w:rsidRPr="00321EDD">
        <w:rPr>
          <w:rFonts w:cs="Arial"/>
          <w:bCs/>
          <w:iCs/>
          <w:color w:val="auto"/>
        </w:rPr>
        <w:t xml:space="preserve">cost effectiveness </w:t>
      </w:r>
      <w:r w:rsidR="006B4E03" w:rsidRPr="00321EDD">
        <w:rPr>
          <w:rFonts w:cs="Arial"/>
          <w:bCs/>
          <w:iCs/>
          <w:color w:val="auto"/>
        </w:rPr>
        <w:t>may have been different as compared with</w:t>
      </w:r>
      <w:r w:rsidR="0047595F" w:rsidRPr="00321EDD">
        <w:rPr>
          <w:rFonts w:cs="Arial"/>
          <w:bCs/>
          <w:iCs/>
          <w:color w:val="auto"/>
        </w:rPr>
        <w:t xml:space="preserve"> the full p</w:t>
      </w:r>
      <w:r w:rsidR="006B4E03" w:rsidRPr="00321EDD">
        <w:rPr>
          <w:rFonts w:cs="Arial"/>
          <w:bCs/>
          <w:iCs/>
          <w:color w:val="auto"/>
        </w:rPr>
        <w:t>atient p</w:t>
      </w:r>
      <w:r w:rsidR="0047595F" w:rsidRPr="00321EDD">
        <w:rPr>
          <w:rFonts w:cs="Arial"/>
          <w:bCs/>
          <w:iCs/>
          <w:color w:val="auto"/>
        </w:rPr>
        <w:t xml:space="preserve">opulation. </w:t>
      </w:r>
    </w:p>
    <w:p w14:paraId="3385F29D" w14:textId="330FD8ED" w:rsidR="000B2CC8" w:rsidRPr="00321EDD" w:rsidRDefault="007B5A50" w:rsidP="00E87F1E">
      <w:pPr>
        <w:spacing w:before="240" w:after="240" w:line="276" w:lineRule="auto"/>
        <w:jc w:val="both"/>
        <w:rPr>
          <w:rFonts w:cs="Arial"/>
          <w:bCs/>
          <w:iCs/>
          <w:color w:val="auto"/>
        </w:rPr>
      </w:pPr>
      <w:r w:rsidRPr="00321EDD">
        <w:rPr>
          <w:rFonts w:cs="Arial"/>
          <w:bCs/>
          <w:iCs/>
          <w:color w:val="auto"/>
        </w:rPr>
        <w:t xml:space="preserve">In those circumstances </w:t>
      </w:r>
      <w:r w:rsidR="006E59F0" w:rsidRPr="00321EDD">
        <w:rPr>
          <w:rFonts w:cs="Arial"/>
          <w:bCs/>
          <w:iCs/>
          <w:color w:val="auto"/>
        </w:rPr>
        <w:t>it is arguable that</w:t>
      </w:r>
      <w:r w:rsidRPr="00321EDD">
        <w:rPr>
          <w:rFonts w:cs="Arial"/>
          <w:bCs/>
          <w:iCs/>
          <w:color w:val="auto"/>
        </w:rPr>
        <w:t xml:space="preserve"> reasons </w:t>
      </w:r>
      <w:r w:rsidR="006E59F0" w:rsidRPr="00321EDD">
        <w:rPr>
          <w:rFonts w:cs="Arial"/>
          <w:bCs/>
          <w:iCs/>
          <w:color w:val="auto"/>
        </w:rPr>
        <w:t xml:space="preserve">ought </w:t>
      </w:r>
      <w:r w:rsidRPr="00321EDD">
        <w:rPr>
          <w:rFonts w:cs="Arial"/>
          <w:bCs/>
          <w:iCs/>
          <w:color w:val="auto"/>
        </w:rPr>
        <w:t xml:space="preserve">to be provided as to </w:t>
      </w:r>
      <w:r w:rsidR="006E59F0" w:rsidRPr="00321EDD">
        <w:rPr>
          <w:rFonts w:cs="Arial"/>
          <w:bCs/>
          <w:iCs/>
          <w:color w:val="auto"/>
        </w:rPr>
        <w:t>why “low</w:t>
      </w:r>
      <w:r w:rsidR="000C0FDA" w:rsidRPr="00321EDD">
        <w:rPr>
          <w:rFonts w:cs="Arial"/>
          <w:bCs/>
          <w:iCs/>
          <w:color w:val="auto"/>
        </w:rPr>
        <w:t>er</w:t>
      </w:r>
      <w:r w:rsidR="006E59F0" w:rsidRPr="00321EDD">
        <w:rPr>
          <w:rFonts w:cs="Arial"/>
          <w:bCs/>
          <w:iCs/>
          <w:color w:val="auto"/>
        </w:rPr>
        <w:t xml:space="preserve"> oxygen</w:t>
      </w:r>
      <w:r w:rsidR="000C0FDA" w:rsidRPr="00321EDD">
        <w:rPr>
          <w:rFonts w:cs="Arial"/>
          <w:bCs/>
          <w:iCs/>
          <w:color w:val="auto"/>
        </w:rPr>
        <w:t xml:space="preserve"> needs</w:t>
      </w:r>
      <w:r w:rsidR="006E59F0" w:rsidRPr="00321EDD">
        <w:rPr>
          <w:rFonts w:cs="Arial"/>
          <w:bCs/>
          <w:iCs/>
          <w:color w:val="auto"/>
        </w:rPr>
        <w:t xml:space="preserve">” was not considered as a potential subgroup. </w:t>
      </w:r>
      <w:r w:rsidR="006B4E03" w:rsidRPr="00321EDD">
        <w:rPr>
          <w:rFonts w:cs="Arial"/>
          <w:bCs/>
          <w:iCs/>
          <w:color w:val="auto"/>
        </w:rPr>
        <w:t>Other than the statement at</w:t>
      </w:r>
      <w:r w:rsidR="007D6A34" w:rsidRPr="00321EDD">
        <w:rPr>
          <w:rFonts w:cs="Arial"/>
          <w:bCs/>
          <w:iCs/>
          <w:color w:val="auto"/>
        </w:rPr>
        <w:t xml:space="preserve"> 3.20</w:t>
      </w:r>
      <w:r w:rsidR="006B4E03" w:rsidRPr="00321EDD">
        <w:rPr>
          <w:rFonts w:cs="Arial"/>
          <w:bCs/>
          <w:iCs/>
          <w:color w:val="auto"/>
        </w:rPr>
        <w:t xml:space="preserve"> FDG </w:t>
      </w:r>
      <w:r w:rsidR="007D6A34" w:rsidRPr="00321EDD">
        <w:rPr>
          <w:rFonts w:cs="Arial"/>
          <w:bCs/>
          <w:iCs/>
          <w:color w:val="auto"/>
        </w:rPr>
        <w:t xml:space="preserve">that </w:t>
      </w:r>
      <w:r w:rsidR="006B4E03" w:rsidRPr="00321EDD">
        <w:rPr>
          <w:rFonts w:cs="Arial"/>
          <w:bCs/>
          <w:iCs/>
          <w:color w:val="auto"/>
        </w:rPr>
        <w:t>“</w:t>
      </w:r>
      <w:r w:rsidR="006B4E03" w:rsidRPr="00321EDD">
        <w:rPr>
          <w:rFonts w:cs="Arial"/>
          <w:bCs/>
          <w:i/>
          <w:color w:val="auto"/>
        </w:rPr>
        <w:t>clinical experts considered that remdesivir is currently used in some people with lower oxygen needs but its use is not clearly defined</w:t>
      </w:r>
      <w:r w:rsidR="007D6A34" w:rsidRPr="00321EDD">
        <w:rPr>
          <w:rFonts w:cs="Arial"/>
          <w:bCs/>
          <w:i/>
          <w:color w:val="auto"/>
        </w:rPr>
        <w:t>”,</w:t>
      </w:r>
      <w:r w:rsidR="006B4E03" w:rsidRPr="00321EDD">
        <w:rPr>
          <w:rFonts w:cs="Arial"/>
          <w:bCs/>
          <w:iCs/>
          <w:color w:val="auto"/>
        </w:rPr>
        <w:t xml:space="preserve"> I have not identified </w:t>
      </w:r>
      <w:r w:rsidR="007D6A34" w:rsidRPr="00321EDD">
        <w:rPr>
          <w:rFonts w:cs="Arial"/>
          <w:bCs/>
          <w:iCs/>
          <w:color w:val="auto"/>
        </w:rPr>
        <w:t>an explanation</w:t>
      </w:r>
      <w:r w:rsidR="006B4E03" w:rsidRPr="00321EDD">
        <w:rPr>
          <w:rFonts w:cs="Arial"/>
          <w:bCs/>
          <w:iCs/>
          <w:color w:val="auto"/>
        </w:rPr>
        <w:t xml:space="preserve"> in the</w:t>
      </w:r>
      <w:r w:rsidR="0047595F" w:rsidRPr="00321EDD">
        <w:rPr>
          <w:rFonts w:cs="Arial"/>
          <w:bCs/>
          <w:iCs/>
          <w:color w:val="auto"/>
        </w:rPr>
        <w:t xml:space="preserve"> FD</w:t>
      </w:r>
      <w:r w:rsidR="006B4E03" w:rsidRPr="00321EDD">
        <w:rPr>
          <w:rFonts w:cs="Arial"/>
          <w:bCs/>
          <w:iCs/>
          <w:color w:val="auto"/>
        </w:rPr>
        <w:t xml:space="preserve">G </w:t>
      </w:r>
      <w:r w:rsidR="0047595F" w:rsidRPr="00321EDD">
        <w:rPr>
          <w:rFonts w:cs="Arial"/>
          <w:bCs/>
          <w:iCs/>
          <w:color w:val="auto"/>
        </w:rPr>
        <w:t xml:space="preserve">or committee papers </w:t>
      </w:r>
      <w:r w:rsidR="007D6A34" w:rsidRPr="00321EDD">
        <w:rPr>
          <w:rFonts w:cs="Arial"/>
          <w:bCs/>
          <w:iCs/>
          <w:color w:val="auto"/>
        </w:rPr>
        <w:t>of</w:t>
      </w:r>
      <w:r w:rsidR="00226F13" w:rsidRPr="00321EDD">
        <w:rPr>
          <w:rFonts w:cs="Arial"/>
          <w:bCs/>
          <w:iCs/>
          <w:color w:val="auto"/>
        </w:rPr>
        <w:t xml:space="preserve"> the reasons</w:t>
      </w:r>
      <w:r w:rsidR="0047595F" w:rsidRPr="00321EDD">
        <w:rPr>
          <w:rFonts w:cs="Arial"/>
          <w:bCs/>
          <w:iCs/>
          <w:color w:val="auto"/>
        </w:rPr>
        <w:t xml:space="preserve"> why</w:t>
      </w:r>
      <w:r w:rsidR="000C0FDA" w:rsidRPr="00321EDD">
        <w:rPr>
          <w:rFonts w:cs="Arial"/>
          <w:bCs/>
          <w:iCs/>
          <w:color w:val="auto"/>
        </w:rPr>
        <w:t xml:space="preserve"> the population requiring</w:t>
      </w:r>
      <w:r w:rsidR="0047595F" w:rsidRPr="00321EDD">
        <w:rPr>
          <w:rFonts w:cs="Arial"/>
          <w:bCs/>
          <w:iCs/>
          <w:color w:val="auto"/>
        </w:rPr>
        <w:t xml:space="preserve"> “low</w:t>
      </w:r>
      <w:r w:rsidR="000C0FDA" w:rsidRPr="00321EDD">
        <w:rPr>
          <w:rFonts w:cs="Arial"/>
          <w:bCs/>
          <w:iCs/>
          <w:color w:val="auto"/>
        </w:rPr>
        <w:t xml:space="preserve">-flow </w:t>
      </w:r>
      <w:r w:rsidR="0047595F" w:rsidRPr="00321EDD">
        <w:rPr>
          <w:rFonts w:cs="Arial"/>
          <w:bCs/>
          <w:iCs/>
          <w:color w:val="auto"/>
        </w:rPr>
        <w:t>oxygen”</w:t>
      </w:r>
      <w:r w:rsidR="006B4E03" w:rsidRPr="00321EDD">
        <w:rPr>
          <w:rFonts w:cs="Arial"/>
          <w:bCs/>
          <w:iCs/>
          <w:color w:val="auto"/>
        </w:rPr>
        <w:t xml:space="preserve"> was</w:t>
      </w:r>
      <w:r w:rsidR="0047595F" w:rsidRPr="00321EDD">
        <w:rPr>
          <w:rFonts w:cs="Arial"/>
          <w:bCs/>
          <w:iCs/>
          <w:color w:val="auto"/>
        </w:rPr>
        <w:t xml:space="preserve"> not considered as a potential</w:t>
      </w:r>
      <w:r w:rsidR="007D6A34" w:rsidRPr="00321EDD">
        <w:rPr>
          <w:rFonts w:cs="Arial"/>
          <w:bCs/>
          <w:iCs/>
          <w:color w:val="auto"/>
        </w:rPr>
        <w:t xml:space="preserve"> sub</w:t>
      </w:r>
      <w:r w:rsidR="0047595F" w:rsidRPr="00321EDD">
        <w:rPr>
          <w:rFonts w:cs="Arial"/>
          <w:bCs/>
          <w:iCs/>
          <w:color w:val="auto"/>
        </w:rPr>
        <w:t xml:space="preserve">group. </w:t>
      </w:r>
      <w:r w:rsidR="006E59F0" w:rsidRPr="00321EDD">
        <w:rPr>
          <w:rFonts w:cs="Arial"/>
          <w:bCs/>
          <w:iCs/>
          <w:color w:val="auto"/>
        </w:rPr>
        <w:t xml:space="preserve">Therefore I consider this point arguable. </w:t>
      </w:r>
    </w:p>
    <w:p w14:paraId="00FB47AA" w14:textId="77777777" w:rsidR="00FF08AD" w:rsidRPr="00321EDD" w:rsidRDefault="00FF08AD" w:rsidP="00FF08AD">
      <w:pPr>
        <w:pStyle w:val="StyleParagraph11pt"/>
        <w:rPr>
          <w:b/>
          <w:bCs/>
          <w:sz w:val="20"/>
          <w:szCs w:val="20"/>
        </w:rPr>
      </w:pPr>
      <w:r w:rsidRPr="00321EDD">
        <w:rPr>
          <w:b/>
          <w:bCs/>
          <w:sz w:val="20"/>
          <w:szCs w:val="20"/>
        </w:rPr>
        <w:t>1(a).7</w:t>
      </w:r>
      <w:r w:rsidRPr="00321EDD">
        <w:rPr>
          <w:b/>
          <w:bCs/>
          <w:sz w:val="20"/>
          <w:szCs w:val="20"/>
        </w:rPr>
        <w:tab/>
        <w:t>Gilead was not given a fair hearing because it was not given the opportunity to discuss key issues at the appraisal committee meetings.</w:t>
      </w:r>
    </w:p>
    <w:p w14:paraId="7C0E8C2E" w14:textId="7383F00F" w:rsidR="004E34B2" w:rsidRPr="00321EDD" w:rsidRDefault="00F91969" w:rsidP="00E87F1E">
      <w:pPr>
        <w:spacing w:before="240" w:after="240" w:line="276" w:lineRule="auto"/>
        <w:jc w:val="both"/>
        <w:rPr>
          <w:rFonts w:cs="Arial"/>
          <w:bCs/>
          <w:iCs/>
          <w:color w:val="auto"/>
        </w:rPr>
      </w:pPr>
      <w:r w:rsidRPr="00321EDD">
        <w:rPr>
          <w:rFonts w:cs="Arial"/>
          <w:bCs/>
          <w:iCs/>
          <w:color w:val="auto"/>
        </w:rPr>
        <w:t>I note your argument refers to three specific issues:</w:t>
      </w:r>
    </w:p>
    <w:p w14:paraId="35878627" w14:textId="0893FA0B" w:rsidR="00F91969" w:rsidRPr="00321EDD" w:rsidRDefault="00F7326C" w:rsidP="00F91969">
      <w:pPr>
        <w:pStyle w:val="ListParagraph"/>
        <w:numPr>
          <w:ilvl w:val="0"/>
          <w:numId w:val="43"/>
        </w:numPr>
        <w:spacing w:before="240" w:after="240" w:line="276" w:lineRule="auto"/>
        <w:jc w:val="both"/>
        <w:rPr>
          <w:rFonts w:cs="Arial"/>
          <w:bCs/>
          <w:iCs/>
        </w:rPr>
      </w:pPr>
      <w:r w:rsidRPr="00321EDD">
        <w:rPr>
          <w:rFonts w:cs="Arial"/>
          <w:bCs/>
          <w:iCs/>
        </w:rPr>
        <w:t xml:space="preserve">In the first ACM (18 October 2022), each company was only given the opportunity to answer one question, </w:t>
      </w:r>
      <w:r w:rsidR="008C28BA" w:rsidRPr="00321EDD">
        <w:rPr>
          <w:rFonts w:cs="Arial"/>
          <w:bCs/>
          <w:iCs/>
        </w:rPr>
        <w:t>and i</w:t>
      </w:r>
      <w:r w:rsidRPr="00321EDD">
        <w:rPr>
          <w:rFonts w:cs="Arial"/>
          <w:bCs/>
          <w:iCs/>
        </w:rPr>
        <w:t>n the briefing to companies before the meeting, the Chair emphasised that he was primarily interested in hearing from Committee members and not companies and warn</w:t>
      </w:r>
      <w:r w:rsidR="008C28BA" w:rsidRPr="00321EDD">
        <w:rPr>
          <w:rFonts w:cs="Arial"/>
          <w:bCs/>
          <w:iCs/>
        </w:rPr>
        <w:t>ed companies</w:t>
      </w:r>
      <w:r w:rsidRPr="00321EDD">
        <w:rPr>
          <w:rFonts w:cs="Arial"/>
          <w:bCs/>
          <w:iCs/>
        </w:rPr>
        <w:t xml:space="preserve"> against requesting to speak on the virtual call </w:t>
      </w:r>
      <w:r w:rsidR="008C28BA" w:rsidRPr="00321EDD">
        <w:rPr>
          <w:rFonts w:cs="Arial"/>
          <w:bCs/>
          <w:iCs/>
        </w:rPr>
        <w:t>“</w:t>
      </w:r>
      <w:r w:rsidRPr="00321EDD">
        <w:rPr>
          <w:rFonts w:cs="Arial"/>
          <w:bCs/>
          <w:i/>
        </w:rPr>
        <w:t>as this would make him very unhappy</w:t>
      </w:r>
      <w:r w:rsidR="008C28BA" w:rsidRPr="00321EDD">
        <w:rPr>
          <w:rFonts w:cs="Arial"/>
          <w:bCs/>
          <w:iCs/>
        </w:rPr>
        <w:t>”</w:t>
      </w:r>
    </w:p>
    <w:p w14:paraId="1B870D02" w14:textId="0FF073C0" w:rsidR="00EC2691" w:rsidRPr="00321EDD" w:rsidRDefault="008C28BA" w:rsidP="00E87F1E">
      <w:pPr>
        <w:pStyle w:val="ListParagraph"/>
        <w:numPr>
          <w:ilvl w:val="0"/>
          <w:numId w:val="43"/>
        </w:numPr>
        <w:spacing w:before="240" w:after="240" w:line="276" w:lineRule="auto"/>
        <w:jc w:val="both"/>
        <w:rPr>
          <w:rFonts w:cs="Arial"/>
          <w:b/>
          <w:iCs/>
        </w:rPr>
      </w:pPr>
      <w:r w:rsidRPr="00321EDD">
        <w:rPr>
          <w:rFonts w:cs="Arial"/>
          <w:szCs w:val="22"/>
        </w:rPr>
        <w:t>In the second ACM (24 January 2023),</w:t>
      </w:r>
      <w:r w:rsidR="00854D69" w:rsidRPr="00321EDD">
        <w:rPr>
          <w:rFonts w:cs="Arial"/>
          <w:szCs w:val="22"/>
        </w:rPr>
        <w:t xml:space="preserve"> Gilead</w:t>
      </w:r>
      <w:r w:rsidR="006268A2" w:rsidRPr="00321EDD">
        <w:t xml:space="preserve"> only had the opportunity to ask if SOLIDARITY data would be included (to which the Committee Chair replied that SOLIDARITY data was “</w:t>
      </w:r>
      <w:r w:rsidR="006268A2" w:rsidRPr="00321EDD">
        <w:rPr>
          <w:i/>
        </w:rPr>
        <w:t xml:space="preserve">firmly </w:t>
      </w:r>
      <w:r w:rsidR="006268A2" w:rsidRPr="00321EDD">
        <w:rPr>
          <w:i/>
        </w:rPr>
        <w:lastRenderedPageBreak/>
        <w:t>in”</w:t>
      </w:r>
      <w:r w:rsidR="006268A2" w:rsidRPr="00321EDD">
        <w:t>)</w:t>
      </w:r>
      <w:r w:rsidR="00854D69" w:rsidRPr="00321EDD">
        <w:rPr>
          <w:rFonts w:cs="Arial"/>
          <w:szCs w:val="22"/>
        </w:rPr>
        <w:t xml:space="preserve"> </w:t>
      </w:r>
      <w:r w:rsidR="006268A2" w:rsidRPr="00321EDD">
        <w:rPr>
          <w:rFonts w:cs="Arial"/>
          <w:szCs w:val="22"/>
        </w:rPr>
        <w:t xml:space="preserve">and </w:t>
      </w:r>
      <w:r w:rsidR="00E000F4" w:rsidRPr="00321EDD">
        <w:rPr>
          <w:rFonts w:cs="Arial"/>
          <w:szCs w:val="22"/>
        </w:rPr>
        <w:t xml:space="preserve">(by contrast to sotrovimab) </w:t>
      </w:r>
      <w:r w:rsidR="00854D69" w:rsidRPr="00321EDD">
        <w:rPr>
          <w:rFonts w:cs="Arial"/>
          <w:szCs w:val="22"/>
        </w:rPr>
        <w:t>was not given the opportunity to discuss</w:t>
      </w:r>
      <w:r w:rsidR="00E000F4" w:rsidRPr="00321EDD">
        <w:rPr>
          <w:rFonts w:cs="Arial"/>
          <w:szCs w:val="22"/>
        </w:rPr>
        <w:t xml:space="preserve"> the</w:t>
      </w:r>
      <w:r w:rsidR="00854D69" w:rsidRPr="00321EDD">
        <w:rPr>
          <w:rFonts w:cs="Arial"/>
          <w:szCs w:val="22"/>
        </w:rPr>
        <w:t xml:space="preserve"> real-world evidence. </w:t>
      </w:r>
    </w:p>
    <w:p w14:paraId="05197D14" w14:textId="2FA2F2C6" w:rsidR="00EC2691" w:rsidRPr="00321EDD" w:rsidRDefault="00E000F4" w:rsidP="00E87F1E">
      <w:pPr>
        <w:pStyle w:val="ListParagraph"/>
        <w:numPr>
          <w:ilvl w:val="0"/>
          <w:numId w:val="43"/>
        </w:numPr>
        <w:spacing w:before="240" w:after="240" w:line="276" w:lineRule="auto"/>
        <w:jc w:val="both"/>
        <w:rPr>
          <w:rFonts w:cs="Arial"/>
          <w:b/>
          <w:iCs/>
        </w:rPr>
      </w:pPr>
      <w:r w:rsidRPr="00321EDD">
        <w:t>T</w:t>
      </w:r>
      <w:r w:rsidR="00EC2691" w:rsidRPr="00321EDD">
        <w:t>he Committee Chair</w:t>
      </w:r>
      <w:r w:rsidRPr="00321EDD">
        <w:t>’s comment th</w:t>
      </w:r>
      <w:r w:rsidR="00EC2691" w:rsidRPr="00321EDD">
        <w:t>at SOLIDARITY data was “</w:t>
      </w:r>
      <w:r w:rsidR="00EC2691" w:rsidRPr="00321EDD">
        <w:rPr>
          <w:i/>
        </w:rPr>
        <w:t>firmly in</w:t>
      </w:r>
      <w:r w:rsidR="00EC2691" w:rsidRPr="00321EDD">
        <w:t>” was potentially misleading</w:t>
      </w:r>
      <w:r w:rsidRPr="00321EDD">
        <w:t xml:space="preserve"> as</w:t>
      </w:r>
      <w:r w:rsidR="00EC2691" w:rsidRPr="00321EDD">
        <w:t xml:space="preserve"> Gilead was not told, and so was not given the opportunity to discuss, the main reason why the Committee ultimately did not recommend remdesivir - namely the Committee’s conclusion that, despite the inclusion of</w:t>
      </w:r>
      <w:r w:rsidR="003049F3" w:rsidRPr="00321EDD">
        <w:t xml:space="preserve"> </w:t>
      </w:r>
      <w:r w:rsidR="00EC2691" w:rsidRPr="00321EDD">
        <w:t xml:space="preserve">SOLIDARITY in the EAG model, the Committee considered that, in view of generalisability concerns it was not possible </w:t>
      </w:r>
      <w:r w:rsidR="001735A1" w:rsidRPr="00321EDD">
        <w:t xml:space="preserve">reliably </w:t>
      </w:r>
      <w:r w:rsidR="00EC2691" w:rsidRPr="00321EDD">
        <w:t xml:space="preserve">to estimate remdesivir’s cost-effectiveness in treatment of severe COVID-19. </w:t>
      </w:r>
    </w:p>
    <w:p w14:paraId="3B3F23A6" w14:textId="7D6E5C37" w:rsidR="004455BB" w:rsidRPr="00321EDD" w:rsidRDefault="004455BB" w:rsidP="004455BB">
      <w:pPr>
        <w:spacing w:before="240" w:after="240" w:line="276" w:lineRule="auto"/>
        <w:jc w:val="both"/>
        <w:rPr>
          <w:rFonts w:cs="Arial"/>
          <w:bCs/>
          <w:iCs/>
          <w:color w:val="auto"/>
        </w:rPr>
      </w:pPr>
      <w:r w:rsidRPr="00321EDD">
        <w:rPr>
          <w:rFonts w:cs="Arial"/>
          <w:bCs/>
          <w:iCs/>
          <w:color w:val="auto"/>
        </w:rPr>
        <w:t xml:space="preserve">I am not minded to refer this </w:t>
      </w:r>
      <w:r w:rsidR="006220E0" w:rsidRPr="00321EDD">
        <w:rPr>
          <w:rFonts w:cs="Arial"/>
          <w:bCs/>
          <w:iCs/>
          <w:color w:val="auto"/>
        </w:rPr>
        <w:t>as a valid point.</w:t>
      </w:r>
    </w:p>
    <w:p w14:paraId="7BD3AE76" w14:textId="40FCBF2E" w:rsidR="004455BB" w:rsidRPr="00321EDD" w:rsidRDefault="004455BB" w:rsidP="004455BB">
      <w:pPr>
        <w:spacing w:before="240" w:after="240" w:line="276" w:lineRule="auto"/>
        <w:jc w:val="both"/>
        <w:rPr>
          <w:rFonts w:cs="Arial"/>
          <w:bCs/>
          <w:iCs/>
          <w:color w:val="auto"/>
        </w:rPr>
      </w:pPr>
      <w:r w:rsidRPr="00321EDD">
        <w:rPr>
          <w:rFonts w:cs="Arial"/>
          <w:bCs/>
          <w:iCs/>
          <w:color w:val="auto"/>
        </w:rPr>
        <w:t>In</w:t>
      </w:r>
      <w:r w:rsidR="00D655E5" w:rsidRPr="00321EDD">
        <w:rPr>
          <w:rFonts w:cs="Arial"/>
          <w:bCs/>
          <w:iCs/>
          <w:color w:val="auto"/>
        </w:rPr>
        <w:t xml:space="preserve"> respect of points (1) and (2) above, </w:t>
      </w:r>
      <w:r w:rsidR="006574E3" w:rsidRPr="00321EDD">
        <w:rPr>
          <w:rFonts w:cs="Arial"/>
          <w:bCs/>
          <w:iCs/>
          <w:color w:val="auto"/>
        </w:rPr>
        <w:t xml:space="preserve">while I agree that NICE aims to ensure companies can make the best plausible case for their products (para 5.5.6 of the Manual), I do not consider that </w:t>
      </w:r>
      <w:r w:rsidR="00D655E5" w:rsidRPr="00321EDD">
        <w:rPr>
          <w:rFonts w:cs="Arial"/>
          <w:bCs/>
          <w:iCs/>
          <w:color w:val="auto"/>
        </w:rPr>
        <w:t>NICE’s processes or procedural farness more generally</w:t>
      </w:r>
      <w:r w:rsidR="006574E3" w:rsidRPr="00321EDD">
        <w:rPr>
          <w:rFonts w:cs="Arial"/>
          <w:bCs/>
          <w:iCs/>
          <w:color w:val="auto"/>
        </w:rPr>
        <w:t xml:space="preserve"> require a specific level of involvement for companies in the appraisal committee meetings as a matter of procedural fairness.</w:t>
      </w:r>
      <w:r w:rsidR="00DB7E84" w:rsidRPr="00321EDD">
        <w:rPr>
          <w:rFonts w:cs="Arial"/>
          <w:bCs/>
          <w:iCs/>
          <w:color w:val="auto"/>
        </w:rPr>
        <w:t xml:space="preserve"> Rather, </w:t>
      </w:r>
      <w:r w:rsidR="00CF18A0" w:rsidRPr="00321EDD">
        <w:rPr>
          <w:rFonts w:cs="Arial"/>
          <w:bCs/>
          <w:iCs/>
          <w:color w:val="auto"/>
        </w:rPr>
        <w:t>1.3.6 and 5.7.11 of the Manual are clear that companies attend the committee meeting for the purpose of answering questions from the committee and comment on any matters of factual accuracy.</w:t>
      </w:r>
      <w:r w:rsidRPr="00321EDD">
        <w:rPr>
          <w:rFonts w:cs="Arial"/>
          <w:bCs/>
          <w:iCs/>
          <w:color w:val="auto"/>
        </w:rPr>
        <w:t xml:space="preserve"> On that basis I do not consider the matters described at (1) and (2) to be arguable. as a valid appeal point.</w:t>
      </w:r>
    </w:p>
    <w:p w14:paraId="1B9F657E" w14:textId="0F19D7AF" w:rsidR="006574E3" w:rsidRPr="00321EDD" w:rsidRDefault="00142DA7" w:rsidP="006574E3">
      <w:pPr>
        <w:spacing w:before="240" w:after="240" w:line="276" w:lineRule="auto"/>
        <w:jc w:val="both"/>
        <w:rPr>
          <w:rFonts w:cs="Arial"/>
          <w:bCs/>
          <w:iCs/>
          <w:color w:val="auto"/>
        </w:rPr>
      </w:pPr>
      <w:r w:rsidRPr="00321EDD">
        <w:rPr>
          <w:rFonts w:cs="Arial"/>
          <w:bCs/>
          <w:iCs/>
          <w:color w:val="auto"/>
        </w:rPr>
        <w:t xml:space="preserve">As </w:t>
      </w:r>
      <w:r w:rsidR="000900D5" w:rsidRPr="00321EDD">
        <w:rPr>
          <w:rFonts w:cs="Arial"/>
          <w:bCs/>
          <w:iCs/>
          <w:color w:val="auto"/>
        </w:rPr>
        <w:t>to your point 3</w:t>
      </w:r>
      <w:r w:rsidR="00B02763" w:rsidRPr="00321EDD">
        <w:rPr>
          <w:rFonts w:cs="Arial"/>
          <w:bCs/>
          <w:iCs/>
          <w:color w:val="auto"/>
        </w:rPr>
        <w:t xml:space="preserve"> (namely that it was arguably unfair that the company had no opportunity to respond to the Committee’s concern that, in view of generalisability concerns, it was not possible to reliably estimate remdesivir’s cost-effectiveness in treatment of severe COVID-19), I can see no procedural requirement for the Committee to pre-warn the company </w:t>
      </w:r>
      <w:r w:rsidR="00722712" w:rsidRPr="00321EDD">
        <w:rPr>
          <w:rFonts w:cs="Arial"/>
          <w:bCs/>
          <w:iCs/>
          <w:color w:val="auto"/>
        </w:rPr>
        <w:t>expressly</w:t>
      </w:r>
      <w:r w:rsidR="003049F3" w:rsidRPr="00321EDD">
        <w:rPr>
          <w:rFonts w:cs="Arial"/>
          <w:bCs/>
          <w:iCs/>
          <w:color w:val="auto"/>
        </w:rPr>
        <w:t xml:space="preserve"> (and provide an opportunity for comment)</w:t>
      </w:r>
      <w:r w:rsidR="00722712" w:rsidRPr="00321EDD">
        <w:rPr>
          <w:rFonts w:cs="Arial"/>
          <w:bCs/>
          <w:iCs/>
          <w:color w:val="auto"/>
        </w:rPr>
        <w:t xml:space="preserve"> that the inclusion of </w:t>
      </w:r>
      <w:r w:rsidR="003049F3" w:rsidRPr="00F37581">
        <w:rPr>
          <w:color w:val="auto"/>
        </w:rPr>
        <w:t>additional</w:t>
      </w:r>
      <w:r w:rsidR="003049F3" w:rsidRPr="00321EDD">
        <w:rPr>
          <w:color w:val="auto"/>
        </w:rPr>
        <w:t xml:space="preserve"> </w:t>
      </w:r>
      <w:r w:rsidR="00722712" w:rsidRPr="00321EDD">
        <w:rPr>
          <w:rFonts w:cs="Arial"/>
          <w:bCs/>
          <w:iCs/>
          <w:color w:val="auto"/>
        </w:rPr>
        <w:t>SOLIDARITY data</w:t>
      </w:r>
      <w:r w:rsidR="002D4A3B" w:rsidRPr="00321EDD">
        <w:rPr>
          <w:rFonts w:cs="Arial"/>
          <w:bCs/>
          <w:iCs/>
          <w:color w:val="auto"/>
        </w:rPr>
        <w:t xml:space="preserve"> did </w:t>
      </w:r>
      <w:r w:rsidR="003049F3" w:rsidRPr="00321EDD">
        <w:rPr>
          <w:rFonts w:cs="Arial"/>
          <w:bCs/>
          <w:iCs/>
          <w:color w:val="auto"/>
        </w:rPr>
        <w:t xml:space="preserve">not change the draft recommendation in respect of remdesivir. </w:t>
      </w:r>
      <w:r w:rsidR="00722712" w:rsidRPr="00321EDD">
        <w:rPr>
          <w:rFonts w:cs="Arial"/>
          <w:bCs/>
          <w:iCs/>
          <w:color w:val="auto"/>
        </w:rPr>
        <w:t xml:space="preserve"> </w:t>
      </w:r>
    </w:p>
    <w:p w14:paraId="5496BB91" w14:textId="5BCD0038" w:rsidR="003F77BD" w:rsidRPr="00321EDD" w:rsidRDefault="003F77BD" w:rsidP="003F77BD">
      <w:pPr>
        <w:pStyle w:val="StyleParagraph11pt"/>
        <w:rPr>
          <w:b/>
          <w:bCs/>
          <w:sz w:val="20"/>
          <w:szCs w:val="20"/>
        </w:rPr>
      </w:pPr>
      <w:r w:rsidRPr="00321EDD">
        <w:rPr>
          <w:b/>
          <w:bCs/>
          <w:sz w:val="20"/>
          <w:szCs w:val="20"/>
        </w:rPr>
        <w:t>1(a).8</w:t>
      </w:r>
      <w:r w:rsidRPr="00321EDD">
        <w:rPr>
          <w:b/>
          <w:bCs/>
          <w:sz w:val="20"/>
          <w:szCs w:val="20"/>
        </w:rPr>
        <w:tab/>
        <w:t>NICE treated Gilead unfairly compared to another stakeholder company by refusing to consider new data that could potentially change the Committee’s final conclusions.</w:t>
      </w:r>
    </w:p>
    <w:p w14:paraId="19731B27" w14:textId="3D259554" w:rsidR="006574E3" w:rsidRPr="00321EDD" w:rsidRDefault="00B71EC8" w:rsidP="006574E3">
      <w:pPr>
        <w:spacing w:before="240" w:after="240" w:line="276" w:lineRule="auto"/>
        <w:jc w:val="both"/>
        <w:rPr>
          <w:rFonts w:cs="Arial"/>
          <w:bCs/>
          <w:iCs/>
          <w:color w:val="auto"/>
        </w:rPr>
      </w:pPr>
      <w:r w:rsidRPr="00321EDD">
        <w:rPr>
          <w:rFonts w:cs="Arial"/>
          <w:bCs/>
          <w:iCs/>
          <w:color w:val="auto"/>
        </w:rPr>
        <w:t>A valid appeal point.</w:t>
      </w:r>
    </w:p>
    <w:p w14:paraId="4EC4B20B" w14:textId="77777777" w:rsidR="00692B5A" w:rsidRPr="00321EDD" w:rsidRDefault="00692B5A" w:rsidP="00692B5A">
      <w:pPr>
        <w:pStyle w:val="StyleParagraph11pt"/>
        <w:rPr>
          <w:b/>
          <w:bCs/>
          <w:sz w:val="20"/>
          <w:szCs w:val="20"/>
        </w:rPr>
      </w:pPr>
      <w:r w:rsidRPr="00321EDD">
        <w:rPr>
          <w:b/>
          <w:bCs/>
          <w:sz w:val="20"/>
          <w:szCs w:val="20"/>
        </w:rPr>
        <w:t>1(a).9 The Committee has not given adequate reasons why differences in standard care give rise to significant concerns about the generalisability of SOLIDARITY data.</w:t>
      </w:r>
    </w:p>
    <w:p w14:paraId="65DE9759" w14:textId="266806CA" w:rsidR="00B71EC8" w:rsidRPr="00321EDD" w:rsidRDefault="00381238" w:rsidP="006574E3">
      <w:pPr>
        <w:spacing w:before="240" w:after="240" w:line="276" w:lineRule="auto"/>
        <w:jc w:val="both"/>
        <w:rPr>
          <w:rFonts w:cs="Arial"/>
          <w:bCs/>
          <w:iCs/>
          <w:color w:val="auto"/>
        </w:rPr>
      </w:pPr>
      <w:r w:rsidRPr="00321EDD">
        <w:rPr>
          <w:rFonts w:cs="Arial"/>
          <w:bCs/>
          <w:iCs/>
          <w:color w:val="auto"/>
        </w:rPr>
        <w:t>I am not minded to refer this as a valid appeal point.</w:t>
      </w:r>
      <w:r w:rsidR="00E60824" w:rsidRPr="00321EDD">
        <w:rPr>
          <w:rFonts w:cs="Arial"/>
          <w:bCs/>
          <w:iCs/>
          <w:color w:val="auto"/>
        </w:rPr>
        <w:t xml:space="preserve"> </w:t>
      </w:r>
      <w:r w:rsidR="001C17B2" w:rsidRPr="00321EDD">
        <w:rPr>
          <w:rFonts w:cs="Arial"/>
          <w:bCs/>
          <w:iCs/>
          <w:color w:val="auto"/>
        </w:rPr>
        <w:t xml:space="preserve">That is because the Committee has provided detailed discussion of the </w:t>
      </w:r>
      <w:r w:rsidR="00F45E61" w:rsidRPr="00321EDD">
        <w:rPr>
          <w:rFonts w:cs="Arial"/>
          <w:bCs/>
          <w:iCs/>
          <w:color w:val="auto"/>
        </w:rPr>
        <w:t>SOLIDARITY data at 3.1</w:t>
      </w:r>
      <w:r w:rsidR="00060F8C" w:rsidRPr="00321EDD">
        <w:rPr>
          <w:rFonts w:cs="Arial"/>
          <w:bCs/>
          <w:iCs/>
          <w:color w:val="auto"/>
        </w:rPr>
        <w:t>3</w:t>
      </w:r>
      <w:r w:rsidR="00F45E61" w:rsidRPr="00321EDD">
        <w:rPr>
          <w:rFonts w:cs="Arial"/>
          <w:bCs/>
          <w:iCs/>
          <w:color w:val="auto"/>
        </w:rPr>
        <w:t xml:space="preserve"> of the FDG</w:t>
      </w:r>
      <w:r w:rsidR="00B742D0" w:rsidRPr="00321EDD">
        <w:rPr>
          <w:rFonts w:cs="Arial"/>
          <w:bCs/>
          <w:iCs/>
          <w:color w:val="auto"/>
        </w:rPr>
        <w:t>.</w:t>
      </w:r>
      <w:r w:rsidR="00E87DD8" w:rsidRPr="00321EDD">
        <w:rPr>
          <w:rFonts w:cs="Arial"/>
          <w:bCs/>
          <w:iCs/>
          <w:color w:val="auto"/>
        </w:rPr>
        <w:t xml:space="preserve"> </w:t>
      </w:r>
      <w:r w:rsidR="00F25EA2" w:rsidRPr="00321EDD">
        <w:rPr>
          <w:rFonts w:cs="Arial"/>
          <w:bCs/>
          <w:iCs/>
          <w:color w:val="auto"/>
        </w:rPr>
        <w:t>The Committee appear to understand the SOLIDARITY data and its limitations very well</w:t>
      </w:r>
      <w:r w:rsidR="00E60824" w:rsidRPr="00321EDD">
        <w:rPr>
          <w:rFonts w:cs="Arial"/>
          <w:bCs/>
          <w:iCs/>
          <w:color w:val="auto"/>
        </w:rPr>
        <w:t>: t</w:t>
      </w:r>
      <w:r w:rsidR="00F25EA2" w:rsidRPr="00321EDD">
        <w:rPr>
          <w:rFonts w:cs="Arial"/>
          <w:bCs/>
          <w:iCs/>
          <w:color w:val="auto"/>
        </w:rPr>
        <w:t>he FDG explains the Committee considered the inclusion of SOLIDARITY in the NMA important and appropriate for remdesivir and goes on to explain that (and why) the Committee considered the applicability of the mean-efficacy estimate from SOLIDARITY to the current NHS setting to be highly uncertain and likely to be the ceiling efficacy estimate. The FDG gives detailed</w:t>
      </w:r>
      <w:r w:rsidR="001B7A6F" w:rsidRPr="00321EDD">
        <w:rPr>
          <w:rFonts w:cs="Arial"/>
          <w:bCs/>
          <w:iCs/>
          <w:color w:val="auto"/>
        </w:rPr>
        <w:t xml:space="preserve"> </w:t>
      </w:r>
      <w:r w:rsidR="00F25EA2" w:rsidRPr="00321EDD">
        <w:rPr>
          <w:rFonts w:cs="Arial"/>
          <w:bCs/>
          <w:iCs/>
          <w:color w:val="auto"/>
        </w:rPr>
        <w:t>reasons for this conclusion</w:t>
      </w:r>
      <w:r w:rsidR="00A0100F" w:rsidRPr="00321EDD">
        <w:rPr>
          <w:rFonts w:cs="Arial"/>
          <w:bCs/>
          <w:iCs/>
          <w:color w:val="auto"/>
        </w:rPr>
        <w:t xml:space="preserve">, </w:t>
      </w:r>
      <w:r w:rsidR="00F25EA2" w:rsidRPr="00321EDD">
        <w:rPr>
          <w:rFonts w:cs="Arial"/>
          <w:bCs/>
          <w:iCs/>
          <w:color w:val="auto"/>
        </w:rPr>
        <w:t>i.e.</w:t>
      </w:r>
      <w:r w:rsidR="001F738C" w:rsidRPr="00321EDD">
        <w:rPr>
          <w:rFonts w:cs="Arial"/>
          <w:bCs/>
          <w:iCs/>
          <w:color w:val="auto"/>
        </w:rPr>
        <w:t xml:space="preserve"> that </w:t>
      </w:r>
      <w:r w:rsidR="00634BB1" w:rsidRPr="00321EDD">
        <w:rPr>
          <w:rFonts w:cs="Arial"/>
          <w:bCs/>
          <w:iCs/>
          <w:color w:val="auto"/>
        </w:rPr>
        <w:t xml:space="preserve">SOLIDARITY was </w:t>
      </w:r>
      <w:r w:rsidR="00634BB1" w:rsidRPr="00321EDD">
        <w:rPr>
          <w:color w:val="auto"/>
        </w:rPr>
        <w:t>early in the pandemic</w:t>
      </w:r>
      <w:r w:rsidR="00DF3D7C" w:rsidRPr="00321EDD">
        <w:rPr>
          <w:color w:val="auto"/>
        </w:rPr>
        <w:t>, there was no clinical evidence available for remdesivir in the context of the current endemic setting with the new Omicron variant</w:t>
      </w:r>
      <w:r w:rsidR="00634BB1" w:rsidRPr="00321EDD">
        <w:rPr>
          <w:color w:val="auto"/>
        </w:rPr>
        <w:t xml:space="preserve">. </w:t>
      </w:r>
      <w:r w:rsidR="00CB7A7D" w:rsidRPr="00321EDD">
        <w:rPr>
          <w:rFonts w:cs="Arial"/>
          <w:bCs/>
          <w:iCs/>
          <w:color w:val="auto"/>
        </w:rPr>
        <w:t xml:space="preserve">While </w:t>
      </w:r>
      <w:r w:rsidR="0060259C" w:rsidRPr="00321EDD">
        <w:rPr>
          <w:rFonts w:cs="Arial"/>
          <w:bCs/>
          <w:iCs/>
          <w:color w:val="auto"/>
        </w:rPr>
        <w:t xml:space="preserve">I appreciate </w:t>
      </w:r>
      <w:r w:rsidR="00CB7A7D" w:rsidRPr="00321EDD">
        <w:rPr>
          <w:rFonts w:cs="Arial"/>
          <w:bCs/>
          <w:iCs/>
          <w:color w:val="auto"/>
        </w:rPr>
        <w:t xml:space="preserve">you </w:t>
      </w:r>
      <w:r w:rsidR="006735A0" w:rsidRPr="00321EDD">
        <w:rPr>
          <w:rFonts w:cs="Arial"/>
          <w:bCs/>
          <w:iCs/>
          <w:color w:val="auto"/>
        </w:rPr>
        <w:t>dis</w:t>
      </w:r>
      <w:r w:rsidR="001C17B2" w:rsidRPr="00321EDD">
        <w:rPr>
          <w:rFonts w:cs="Arial"/>
          <w:bCs/>
          <w:iCs/>
          <w:color w:val="auto"/>
        </w:rPr>
        <w:t xml:space="preserve">agree with </w:t>
      </w:r>
      <w:r w:rsidR="00F25EA2" w:rsidRPr="00321EDD">
        <w:rPr>
          <w:rFonts w:cs="Arial"/>
          <w:bCs/>
          <w:iCs/>
          <w:color w:val="auto"/>
        </w:rPr>
        <w:t xml:space="preserve">the Committee’s </w:t>
      </w:r>
      <w:r w:rsidR="006735A0" w:rsidRPr="00321EDD">
        <w:rPr>
          <w:rFonts w:cs="Arial"/>
          <w:bCs/>
          <w:iCs/>
          <w:color w:val="auto"/>
        </w:rPr>
        <w:t>approach</w:t>
      </w:r>
      <w:r w:rsidR="001C17B2" w:rsidRPr="00321EDD">
        <w:rPr>
          <w:rFonts w:cs="Arial"/>
          <w:bCs/>
          <w:iCs/>
          <w:color w:val="auto"/>
        </w:rPr>
        <w:t xml:space="preserve">, I consider it unarguable that more </w:t>
      </w:r>
      <w:r w:rsidR="002D22D4" w:rsidRPr="00321EDD">
        <w:rPr>
          <w:rFonts w:cs="Arial"/>
          <w:bCs/>
          <w:iCs/>
          <w:color w:val="auto"/>
        </w:rPr>
        <w:t xml:space="preserve">reasoning </w:t>
      </w:r>
      <w:r w:rsidR="0080036E" w:rsidRPr="00321EDD">
        <w:rPr>
          <w:rFonts w:cs="Arial"/>
          <w:bCs/>
          <w:iCs/>
          <w:color w:val="auto"/>
        </w:rPr>
        <w:t>is</w:t>
      </w:r>
      <w:r w:rsidR="001C17B2" w:rsidRPr="00321EDD">
        <w:rPr>
          <w:rFonts w:cs="Arial"/>
          <w:bCs/>
          <w:iCs/>
          <w:color w:val="auto"/>
        </w:rPr>
        <w:t xml:space="preserve"> required </w:t>
      </w:r>
      <w:r w:rsidR="0080036E" w:rsidRPr="00321EDD">
        <w:rPr>
          <w:rFonts w:cs="Arial"/>
          <w:bCs/>
          <w:iCs/>
          <w:color w:val="auto"/>
        </w:rPr>
        <w:t xml:space="preserve">in the FDG </w:t>
      </w:r>
      <w:r w:rsidR="001C17B2" w:rsidRPr="00321EDD">
        <w:rPr>
          <w:rFonts w:cs="Arial"/>
          <w:bCs/>
          <w:iCs/>
          <w:color w:val="auto"/>
        </w:rPr>
        <w:t xml:space="preserve">as a matter of procedural fairness. </w:t>
      </w:r>
    </w:p>
    <w:p w14:paraId="0DD021E6" w14:textId="77777777" w:rsidR="00EF603D" w:rsidRPr="00321EDD" w:rsidRDefault="00EF603D" w:rsidP="00EF603D">
      <w:pPr>
        <w:pStyle w:val="StyleParagraph11pt"/>
        <w:rPr>
          <w:b/>
          <w:bCs/>
          <w:sz w:val="20"/>
          <w:szCs w:val="20"/>
        </w:rPr>
      </w:pPr>
      <w:r w:rsidRPr="00321EDD">
        <w:rPr>
          <w:b/>
          <w:bCs/>
          <w:sz w:val="20"/>
          <w:szCs w:val="20"/>
        </w:rPr>
        <w:t>1(a).10 The Committee’s exclusion of treatment effects for hospital time to discharge data for remdesivir is unfair because these treatment effects were reflected in the base-case ICER results for tocilizumab.</w:t>
      </w:r>
    </w:p>
    <w:p w14:paraId="2BF0FE26" w14:textId="77777777" w:rsidR="00E60824" w:rsidRPr="00321EDD" w:rsidRDefault="00E60824" w:rsidP="00E60824">
      <w:pPr>
        <w:spacing w:before="240" w:after="240" w:line="276" w:lineRule="auto"/>
        <w:jc w:val="both"/>
        <w:rPr>
          <w:rFonts w:cs="Arial"/>
          <w:bCs/>
          <w:iCs/>
          <w:color w:val="auto"/>
        </w:rPr>
      </w:pPr>
      <w:r w:rsidRPr="00321EDD">
        <w:rPr>
          <w:rFonts w:cs="Arial"/>
          <w:bCs/>
          <w:iCs/>
          <w:color w:val="auto"/>
        </w:rPr>
        <w:t>I am not minded to refer this as a valid appeal point.</w:t>
      </w:r>
    </w:p>
    <w:p w14:paraId="742FF28F" w14:textId="77777777" w:rsidR="00D774B8" w:rsidRPr="00321EDD" w:rsidRDefault="007728FB" w:rsidP="00492142">
      <w:pPr>
        <w:spacing w:before="240" w:after="240" w:line="276" w:lineRule="auto"/>
        <w:jc w:val="both"/>
        <w:rPr>
          <w:rFonts w:cs="Arial"/>
          <w:bCs/>
          <w:iCs/>
          <w:color w:val="auto"/>
        </w:rPr>
      </w:pPr>
      <w:r w:rsidRPr="00321EDD">
        <w:rPr>
          <w:rFonts w:cs="Arial"/>
          <w:bCs/>
          <w:iCs/>
          <w:color w:val="auto"/>
        </w:rPr>
        <w:lastRenderedPageBreak/>
        <w:t xml:space="preserve">I </w:t>
      </w:r>
      <w:r w:rsidR="00E60500" w:rsidRPr="00321EDD">
        <w:rPr>
          <w:rFonts w:cs="Arial"/>
          <w:bCs/>
          <w:iCs/>
          <w:color w:val="auto"/>
        </w:rPr>
        <w:t>note</w:t>
      </w:r>
      <w:r w:rsidR="00492142" w:rsidRPr="00321EDD">
        <w:rPr>
          <w:rFonts w:cs="Arial"/>
          <w:bCs/>
          <w:iCs/>
          <w:color w:val="auto"/>
        </w:rPr>
        <w:t xml:space="preserve"> </w:t>
      </w:r>
      <w:r w:rsidRPr="00321EDD">
        <w:rPr>
          <w:rFonts w:cs="Arial"/>
          <w:bCs/>
          <w:iCs/>
          <w:color w:val="auto"/>
        </w:rPr>
        <w:t xml:space="preserve">table 4 at page 26 of the Assessment report </w:t>
      </w:r>
      <w:r w:rsidR="00E60500" w:rsidRPr="00321EDD">
        <w:rPr>
          <w:rFonts w:cs="Arial"/>
          <w:bCs/>
          <w:iCs/>
          <w:color w:val="auto"/>
        </w:rPr>
        <w:t>did not include</w:t>
      </w:r>
      <w:r w:rsidR="000700FB" w:rsidRPr="00321EDD">
        <w:rPr>
          <w:color w:val="auto"/>
        </w:rPr>
        <w:t xml:space="preserve"> “</w:t>
      </w:r>
      <w:r w:rsidR="000700FB" w:rsidRPr="00321EDD">
        <w:rPr>
          <w:rFonts w:cs="Arial"/>
          <w:bCs/>
          <w:iCs/>
          <w:color w:val="auto"/>
        </w:rPr>
        <w:t xml:space="preserve">Time to discharge” data for </w:t>
      </w:r>
      <w:r w:rsidR="002B4896" w:rsidRPr="00321EDD">
        <w:rPr>
          <w:rFonts w:cs="Arial"/>
          <w:bCs/>
          <w:iCs/>
          <w:color w:val="auto"/>
        </w:rPr>
        <w:t>remdesivir</w:t>
      </w:r>
      <w:r w:rsidR="000700FB" w:rsidRPr="00321EDD">
        <w:rPr>
          <w:rFonts w:cs="Arial"/>
          <w:bCs/>
          <w:iCs/>
          <w:color w:val="auto"/>
        </w:rPr>
        <w:t xml:space="preserve"> (unlike</w:t>
      </w:r>
      <w:r w:rsidR="00492142" w:rsidRPr="00321EDD">
        <w:rPr>
          <w:color w:val="auto"/>
        </w:rPr>
        <w:t xml:space="preserve"> </w:t>
      </w:r>
      <w:r w:rsidR="00492142" w:rsidRPr="00321EDD">
        <w:rPr>
          <w:rFonts w:cs="Arial"/>
          <w:bCs/>
          <w:iCs/>
          <w:color w:val="auto"/>
        </w:rPr>
        <w:t xml:space="preserve">tocilizumab). However this was flagged in </w:t>
      </w:r>
      <w:r w:rsidRPr="00321EDD">
        <w:rPr>
          <w:rFonts w:cs="Arial"/>
          <w:bCs/>
          <w:iCs/>
          <w:color w:val="auto"/>
        </w:rPr>
        <w:t xml:space="preserve">multiple </w:t>
      </w:r>
      <w:r w:rsidR="00E60500" w:rsidRPr="00321EDD">
        <w:rPr>
          <w:rFonts w:cs="Arial"/>
          <w:bCs/>
          <w:iCs/>
          <w:color w:val="auto"/>
        </w:rPr>
        <w:t xml:space="preserve">consultation comments and </w:t>
      </w:r>
      <w:r w:rsidR="00492142" w:rsidRPr="00321EDD">
        <w:rPr>
          <w:rFonts w:cs="Arial"/>
          <w:bCs/>
          <w:iCs/>
          <w:color w:val="auto"/>
        </w:rPr>
        <w:t>corrected</w:t>
      </w:r>
      <w:r w:rsidR="00F16C65" w:rsidRPr="00321EDD">
        <w:rPr>
          <w:rFonts w:cs="Arial"/>
          <w:bCs/>
          <w:iCs/>
          <w:color w:val="auto"/>
        </w:rPr>
        <w:t>.  FDG para 3.23 shows the Committee was aware of this iss</w:t>
      </w:r>
      <w:r w:rsidR="00D774B8" w:rsidRPr="00321EDD">
        <w:rPr>
          <w:rFonts w:cs="Arial"/>
          <w:bCs/>
          <w:iCs/>
          <w:color w:val="auto"/>
        </w:rPr>
        <w:t>ue:</w:t>
      </w:r>
    </w:p>
    <w:p w14:paraId="10CA6197" w14:textId="334415A7" w:rsidR="00381238" w:rsidRPr="00321EDD" w:rsidRDefault="00D774B8" w:rsidP="00D774B8">
      <w:pPr>
        <w:spacing w:before="240" w:after="240" w:line="276" w:lineRule="auto"/>
        <w:ind w:left="720"/>
        <w:jc w:val="both"/>
        <w:rPr>
          <w:rFonts w:cs="Arial"/>
          <w:bCs/>
          <w:iCs/>
          <w:color w:val="auto"/>
        </w:rPr>
      </w:pPr>
      <w:r w:rsidRPr="00321EDD">
        <w:rPr>
          <w:rFonts w:cs="Arial"/>
          <w:bCs/>
          <w:iCs/>
          <w:color w:val="auto"/>
        </w:rPr>
        <w:t>“</w:t>
      </w:r>
      <w:r w:rsidRPr="00321EDD">
        <w:rPr>
          <w:i/>
          <w:iCs/>
          <w:color w:val="auto"/>
        </w:rPr>
        <w:t>One consultee highlighted during draft guidance consultation that the time to discharge data from ACTT-1 should have been included for remdesivir. In response the AG included the time to discharge data for remdesivir which resulted in a large reduction in the cost-effectiveness estimates</w:t>
      </w:r>
      <w:r w:rsidRPr="00321EDD">
        <w:rPr>
          <w:rFonts w:cs="Arial"/>
          <w:bCs/>
          <w:iCs/>
          <w:color w:val="auto"/>
        </w:rPr>
        <w:t>.”</w:t>
      </w:r>
    </w:p>
    <w:p w14:paraId="44F04EBA" w14:textId="77777777" w:rsidR="0097697E" w:rsidRPr="00321EDD" w:rsidRDefault="00D774B8" w:rsidP="00D774B8">
      <w:pPr>
        <w:spacing w:before="240" w:after="240" w:line="276" w:lineRule="auto"/>
        <w:jc w:val="both"/>
        <w:rPr>
          <w:rFonts w:cs="Arial"/>
          <w:bCs/>
          <w:iCs/>
          <w:color w:val="auto"/>
        </w:rPr>
      </w:pPr>
      <w:r w:rsidRPr="00321EDD">
        <w:rPr>
          <w:rFonts w:cs="Arial"/>
          <w:bCs/>
          <w:iCs/>
          <w:color w:val="auto"/>
        </w:rPr>
        <w:t xml:space="preserve">Therefore any procedural unfairness </w:t>
      </w:r>
      <w:r w:rsidR="009648C0" w:rsidRPr="00321EDD">
        <w:rPr>
          <w:rFonts w:cs="Arial"/>
          <w:bCs/>
          <w:iCs/>
          <w:color w:val="auto"/>
        </w:rPr>
        <w:t xml:space="preserve">from not originally including ACTT-1 </w:t>
      </w:r>
      <w:r w:rsidRPr="00321EDD">
        <w:rPr>
          <w:rFonts w:cs="Arial"/>
          <w:bCs/>
          <w:iCs/>
          <w:color w:val="auto"/>
        </w:rPr>
        <w:t xml:space="preserve">was </w:t>
      </w:r>
      <w:r w:rsidR="009648C0" w:rsidRPr="00321EDD">
        <w:rPr>
          <w:rFonts w:cs="Arial"/>
          <w:bCs/>
          <w:iCs/>
          <w:color w:val="auto"/>
        </w:rPr>
        <w:t>rectified</w:t>
      </w:r>
      <w:r w:rsidR="0097697E" w:rsidRPr="00321EDD">
        <w:rPr>
          <w:rFonts w:cs="Arial"/>
          <w:bCs/>
          <w:iCs/>
          <w:color w:val="auto"/>
        </w:rPr>
        <w:t>.</w:t>
      </w:r>
    </w:p>
    <w:p w14:paraId="057672ED" w14:textId="051CBB8B" w:rsidR="0097697E" w:rsidRPr="00321EDD" w:rsidRDefault="0097697E" w:rsidP="00D774B8">
      <w:pPr>
        <w:spacing w:before="240" w:after="240" w:line="276" w:lineRule="auto"/>
        <w:jc w:val="both"/>
        <w:rPr>
          <w:rFonts w:cs="Arial"/>
          <w:bCs/>
          <w:iCs/>
          <w:color w:val="auto"/>
        </w:rPr>
      </w:pPr>
      <w:r w:rsidRPr="00321EDD">
        <w:rPr>
          <w:rFonts w:cs="Arial"/>
          <w:bCs/>
          <w:iCs/>
          <w:color w:val="auto"/>
        </w:rPr>
        <w:t xml:space="preserve">There is no procedural unfairness in the Committee considering the time to discharge data for remdesivir and deciding that </w:t>
      </w:r>
      <w:r w:rsidR="005F1247" w:rsidRPr="00321EDD">
        <w:rPr>
          <w:rFonts w:cs="Arial"/>
          <w:bCs/>
          <w:iCs/>
          <w:color w:val="auto"/>
        </w:rPr>
        <w:t>this should be removed, for the reasons explained at 3.23 FDG.</w:t>
      </w:r>
    </w:p>
    <w:p w14:paraId="3A537B65" w14:textId="51DDB5BE" w:rsidR="005F1247" w:rsidRPr="00321EDD" w:rsidRDefault="005F1247" w:rsidP="00D774B8">
      <w:pPr>
        <w:spacing w:before="240" w:after="240" w:line="276" w:lineRule="auto"/>
        <w:jc w:val="both"/>
        <w:rPr>
          <w:rFonts w:cs="Arial"/>
          <w:bCs/>
          <w:iCs/>
          <w:color w:val="auto"/>
        </w:rPr>
      </w:pPr>
      <w:r w:rsidRPr="00321EDD">
        <w:rPr>
          <w:rFonts w:cs="Arial"/>
          <w:bCs/>
          <w:iCs/>
          <w:color w:val="auto"/>
        </w:rPr>
        <w:t xml:space="preserve">I accept that the Committee </w:t>
      </w:r>
      <w:r w:rsidR="004217F1" w:rsidRPr="00321EDD">
        <w:rPr>
          <w:rFonts w:cs="Arial"/>
          <w:bCs/>
          <w:iCs/>
          <w:color w:val="auto"/>
        </w:rPr>
        <w:t xml:space="preserve">included time to discharge data for tocilizumab, which </w:t>
      </w:r>
      <w:r w:rsidRPr="00321EDD">
        <w:rPr>
          <w:rFonts w:cs="Arial"/>
          <w:bCs/>
          <w:iCs/>
          <w:color w:val="auto"/>
        </w:rPr>
        <w:t xml:space="preserve">at face value </w:t>
      </w:r>
      <w:r w:rsidR="00916EDD" w:rsidRPr="00321EDD">
        <w:rPr>
          <w:rFonts w:cs="Arial"/>
          <w:bCs/>
          <w:iCs/>
          <w:color w:val="auto"/>
        </w:rPr>
        <w:t>suggests an unfair</w:t>
      </w:r>
      <w:r w:rsidR="004217F1" w:rsidRPr="00321EDD">
        <w:rPr>
          <w:rFonts w:cs="Arial"/>
          <w:bCs/>
          <w:iCs/>
          <w:color w:val="auto"/>
        </w:rPr>
        <w:t xml:space="preserve"> difference in treatment of two products. However </w:t>
      </w:r>
      <w:r w:rsidR="003D6083" w:rsidRPr="00321EDD">
        <w:rPr>
          <w:rFonts w:cs="Arial"/>
          <w:bCs/>
          <w:iCs/>
          <w:color w:val="auto"/>
        </w:rPr>
        <w:t xml:space="preserve">there </w:t>
      </w:r>
      <w:r w:rsidR="00446479" w:rsidRPr="00321EDD">
        <w:rPr>
          <w:rFonts w:cs="Arial"/>
          <w:bCs/>
          <w:iCs/>
          <w:color w:val="auto"/>
        </w:rPr>
        <w:t>appear to be</w:t>
      </w:r>
      <w:r w:rsidR="003D6083" w:rsidRPr="00321EDD">
        <w:rPr>
          <w:rFonts w:cs="Arial"/>
          <w:bCs/>
          <w:iCs/>
          <w:color w:val="auto"/>
        </w:rPr>
        <w:t xml:space="preserve"> relevant differences between these two products</w:t>
      </w:r>
      <w:r w:rsidR="003C0AE2" w:rsidRPr="00321EDD">
        <w:rPr>
          <w:rFonts w:cs="Arial"/>
          <w:bCs/>
          <w:iCs/>
          <w:color w:val="auto"/>
        </w:rPr>
        <w:t xml:space="preserve">, notably the data sources </w:t>
      </w:r>
      <w:r w:rsidR="003F5904" w:rsidRPr="00321EDD">
        <w:rPr>
          <w:rFonts w:cs="Arial"/>
          <w:bCs/>
          <w:iCs/>
          <w:color w:val="auto"/>
        </w:rPr>
        <w:t>/</w:t>
      </w:r>
      <w:r w:rsidR="003C0AE2" w:rsidRPr="00321EDD">
        <w:rPr>
          <w:rFonts w:cs="Arial"/>
          <w:bCs/>
          <w:iCs/>
          <w:color w:val="auto"/>
        </w:rPr>
        <w:t xml:space="preserve"> studies relied on for time to discharge data were different</w:t>
      </w:r>
      <w:r w:rsidR="00544A8D" w:rsidRPr="00321EDD">
        <w:rPr>
          <w:rFonts w:cs="Arial"/>
          <w:bCs/>
          <w:iCs/>
          <w:color w:val="auto"/>
        </w:rPr>
        <w:t xml:space="preserve"> (the data relating to tocilizumab being more recent </w:t>
      </w:r>
      <w:proofErr w:type="spellStart"/>
      <w:r w:rsidR="00544A8D" w:rsidRPr="00321EDD">
        <w:rPr>
          <w:rFonts w:cs="Arial"/>
          <w:bCs/>
          <w:iCs/>
          <w:color w:val="auto"/>
        </w:rPr>
        <w:t>metaEvidence</w:t>
      </w:r>
      <w:proofErr w:type="spellEnd"/>
      <w:r w:rsidR="00544A8D" w:rsidRPr="00321EDD">
        <w:rPr>
          <w:rFonts w:cs="Arial"/>
          <w:bCs/>
          <w:iCs/>
          <w:color w:val="auto"/>
        </w:rPr>
        <w:t>)</w:t>
      </w:r>
      <w:r w:rsidR="003F5904" w:rsidRPr="00321EDD">
        <w:rPr>
          <w:rFonts w:cs="Arial"/>
          <w:bCs/>
          <w:iCs/>
          <w:color w:val="auto"/>
        </w:rPr>
        <w:t xml:space="preserve">. </w:t>
      </w:r>
      <w:r w:rsidR="00A014DA" w:rsidRPr="00321EDD">
        <w:rPr>
          <w:rFonts w:cs="Arial"/>
          <w:bCs/>
          <w:iCs/>
          <w:color w:val="auto"/>
        </w:rPr>
        <w:t xml:space="preserve">The </w:t>
      </w:r>
      <w:r w:rsidR="005001D7" w:rsidRPr="00321EDD">
        <w:rPr>
          <w:color w:val="auto"/>
        </w:rPr>
        <w:t>FDG</w:t>
      </w:r>
      <w:r w:rsidR="00544A8D" w:rsidRPr="00321EDD">
        <w:rPr>
          <w:color w:val="auto"/>
        </w:rPr>
        <w:t xml:space="preserve"> </w:t>
      </w:r>
      <w:r w:rsidR="005001D7" w:rsidRPr="00321EDD">
        <w:rPr>
          <w:color w:val="auto"/>
        </w:rPr>
        <w:t>gives detailed</w:t>
      </w:r>
      <w:r w:rsidR="00A014DA" w:rsidRPr="00321EDD">
        <w:rPr>
          <w:color w:val="auto"/>
        </w:rPr>
        <w:t xml:space="preserve"> reasons for removing this data for </w:t>
      </w:r>
      <w:r w:rsidR="00A014DA" w:rsidRPr="00321EDD">
        <w:rPr>
          <w:rFonts w:cs="Arial"/>
          <w:bCs/>
          <w:iCs/>
          <w:color w:val="auto"/>
        </w:rPr>
        <w:t>remdesivir</w:t>
      </w:r>
      <w:r w:rsidR="00003C58" w:rsidRPr="00321EDD">
        <w:rPr>
          <w:rFonts w:cs="Arial"/>
          <w:bCs/>
          <w:iCs/>
          <w:color w:val="auto"/>
        </w:rPr>
        <w:t xml:space="preserve"> that do not appear to apply equally to tocilizumab</w:t>
      </w:r>
      <w:r w:rsidR="005001D7" w:rsidRPr="00321EDD">
        <w:rPr>
          <w:rFonts w:cs="Arial"/>
          <w:bCs/>
          <w:iCs/>
          <w:color w:val="auto"/>
        </w:rPr>
        <w:t xml:space="preserve">. </w:t>
      </w:r>
      <w:r w:rsidR="004A5908" w:rsidRPr="00321EDD">
        <w:rPr>
          <w:rFonts w:cs="Arial"/>
          <w:bCs/>
          <w:iCs/>
          <w:color w:val="auto"/>
        </w:rPr>
        <w:t xml:space="preserve">Given the apparent differences in circumstances between tocilizumab and remdesivir I do not consider that the Committee including the time to discharge data for tocilizumab and not the (different) time to discharge data for remdesivir is sufficient to </w:t>
      </w:r>
      <w:r w:rsidR="0025659C" w:rsidRPr="00321EDD">
        <w:rPr>
          <w:rFonts w:cs="Arial"/>
          <w:bCs/>
          <w:iCs/>
          <w:color w:val="auto"/>
        </w:rPr>
        <w:t xml:space="preserve">show arguable </w:t>
      </w:r>
      <w:r w:rsidR="005001D7" w:rsidRPr="00321EDD">
        <w:rPr>
          <w:rFonts w:cs="Arial"/>
          <w:bCs/>
          <w:iCs/>
          <w:color w:val="auto"/>
        </w:rPr>
        <w:t>procedural unfair</w:t>
      </w:r>
      <w:r w:rsidR="0025659C" w:rsidRPr="00321EDD">
        <w:rPr>
          <w:rFonts w:cs="Arial"/>
          <w:bCs/>
          <w:iCs/>
          <w:color w:val="auto"/>
        </w:rPr>
        <w:t xml:space="preserve">ness. </w:t>
      </w:r>
    </w:p>
    <w:p w14:paraId="6EF7BFC5" w14:textId="77777777" w:rsidR="00871BA3" w:rsidRPr="00321EDD" w:rsidRDefault="00871BA3" w:rsidP="00871BA3">
      <w:pPr>
        <w:pStyle w:val="StyleParagraph11pt"/>
        <w:rPr>
          <w:sz w:val="20"/>
          <w:szCs w:val="20"/>
        </w:rPr>
      </w:pPr>
      <w:r w:rsidRPr="00321EDD">
        <w:rPr>
          <w:b/>
          <w:bCs/>
          <w:sz w:val="20"/>
          <w:szCs w:val="20"/>
        </w:rPr>
        <w:t>2.1 The Committee’s conclusion that significant uncertainty remains in terms of generalisability of the trial evidence for remdesivir in severe COVID-19 is unreasonable because it ignores clinical practice and in-vitro data that has not been countered</w:t>
      </w:r>
      <w:r w:rsidRPr="00321EDD">
        <w:rPr>
          <w:sz w:val="20"/>
          <w:szCs w:val="20"/>
        </w:rPr>
        <w:t>.</w:t>
      </w:r>
    </w:p>
    <w:p w14:paraId="001D66F3" w14:textId="5EE0901C" w:rsidR="00491045" w:rsidRPr="00321EDD" w:rsidRDefault="00871BA3" w:rsidP="00871BA3">
      <w:pPr>
        <w:pStyle w:val="BodyText"/>
        <w:jc w:val="both"/>
        <w:rPr>
          <w:rFonts w:cs="Arial"/>
          <w:color w:val="auto"/>
        </w:rPr>
      </w:pPr>
      <w:r w:rsidRPr="00321EDD">
        <w:rPr>
          <w:rFonts w:cs="Arial"/>
          <w:color w:val="auto"/>
        </w:rPr>
        <w:t>A</w:t>
      </w:r>
      <w:r w:rsidR="00534486" w:rsidRPr="00321EDD">
        <w:rPr>
          <w:rFonts w:cs="Arial"/>
          <w:color w:val="auto"/>
        </w:rPr>
        <w:t xml:space="preserve"> valid appeal point. </w:t>
      </w:r>
    </w:p>
    <w:p w14:paraId="267F9716" w14:textId="77777777" w:rsidR="0005507A" w:rsidRPr="00321EDD" w:rsidRDefault="0005507A" w:rsidP="0005507A">
      <w:pPr>
        <w:pStyle w:val="StyleParagraph11pt"/>
        <w:rPr>
          <w:b/>
          <w:bCs/>
          <w:sz w:val="20"/>
          <w:szCs w:val="20"/>
        </w:rPr>
      </w:pPr>
      <w:r w:rsidRPr="00321EDD">
        <w:rPr>
          <w:b/>
          <w:bCs/>
          <w:sz w:val="20"/>
          <w:szCs w:val="20"/>
        </w:rPr>
        <w:t>2.2 The Committee’s recommendations are unreasonable because, ignoring clinical need and practice, they fail to recommend any antiviral treatment for patients with severe COVID-19.</w:t>
      </w:r>
    </w:p>
    <w:p w14:paraId="07D3E483" w14:textId="7F31AEB3" w:rsidR="0005507A" w:rsidRPr="00321EDD" w:rsidRDefault="007B711F" w:rsidP="00400F95">
      <w:pPr>
        <w:spacing w:before="240" w:after="240" w:line="276" w:lineRule="auto"/>
        <w:jc w:val="both"/>
        <w:rPr>
          <w:color w:val="auto"/>
        </w:rPr>
      </w:pPr>
      <w:r w:rsidRPr="00321EDD">
        <w:rPr>
          <w:rFonts w:cs="Arial"/>
          <w:bCs/>
          <w:iCs/>
          <w:color w:val="auto"/>
        </w:rPr>
        <w:t>I do not consider this a valid appeal point.</w:t>
      </w:r>
      <w:r w:rsidR="009E6DC7" w:rsidRPr="00321EDD">
        <w:rPr>
          <w:rFonts w:cs="Arial"/>
          <w:bCs/>
          <w:iCs/>
          <w:color w:val="auto"/>
        </w:rPr>
        <w:t xml:space="preserve"> NICE’s statutory remit is to appraise </w:t>
      </w:r>
      <w:r w:rsidR="00E57993" w:rsidRPr="00321EDD">
        <w:rPr>
          <w:rFonts w:cs="Arial"/>
          <w:bCs/>
          <w:iCs/>
          <w:color w:val="auto"/>
        </w:rPr>
        <w:t xml:space="preserve">the cost-effectiveness of </w:t>
      </w:r>
      <w:r w:rsidR="009E6DC7" w:rsidRPr="00321EDD">
        <w:rPr>
          <w:rFonts w:cs="Arial"/>
          <w:bCs/>
          <w:iCs/>
          <w:color w:val="auto"/>
        </w:rPr>
        <w:t xml:space="preserve">technologies </w:t>
      </w:r>
      <w:r w:rsidR="00E57993" w:rsidRPr="00321EDD">
        <w:rPr>
          <w:rFonts w:cs="Arial"/>
          <w:bCs/>
          <w:iCs/>
          <w:color w:val="auto"/>
        </w:rPr>
        <w:t xml:space="preserve">for use within the NHS. </w:t>
      </w:r>
      <w:r w:rsidR="00400F95" w:rsidRPr="00321EDD">
        <w:rPr>
          <w:rFonts w:cs="Arial"/>
          <w:bCs/>
          <w:iCs/>
          <w:color w:val="auto"/>
        </w:rPr>
        <w:t xml:space="preserve">It is unarguable that in the absence of </w:t>
      </w:r>
      <w:r w:rsidR="0005507A" w:rsidRPr="00321EDD">
        <w:rPr>
          <w:color w:val="auto"/>
        </w:rPr>
        <w:t xml:space="preserve">any cost effective treatment NICE </w:t>
      </w:r>
      <w:r w:rsidR="00400F95" w:rsidRPr="00321EDD">
        <w:rPr>
          <w:color w:val="auto"/>
        </w:rPr>
        <w:t>is obliged as a matter of reasonableness</w:t>
      </w:r>
      <w:r w:rsidR="0005507A" w:rsidRPr="00321EDD">
        <w:rPr>
          <w:color w:val="auto"/>
        </w:rPr>
        <w:t xml:space="preserve"> to recommend </w:t>
      </w:r>
      <w:r w:rsidR="00400F95" w:rsidRPr="00321EDD">
        <w:rPr>
          <w:color w:val="auto"/>
        </w:rPr>
        <w:t>treatments it does not consider to be cost</w:t>
      </w:r>
      <w:r w:rsidR="0005507A" w:rsidRPr="00321EDD">
        <w:rPr>
          <w:color w:val="auto"/>
        </w:rPr>
        <w:t xml:space="preserve"> effective. </w:t>
      </w:r>
    </w:p>
    <w:p w14:paraId="4AE6A487" w14:textId="77777777" w:rsidR="007E4EDC" w:rsidRPr="00321EDD" w:rsidRDefault="007E4EDC" w:rsidP="00413F89">
      <w:pPr>
        <w:pStyle w:val="Paragraph"/>
        <w:numPr>
          <w:ilvl w:val="0"/>
          <w:numId w:val="0"/>
        </w:numPr>
        <w:spacing w:before="120"/>
        <w:jc w:val="both"/>
        <w:rPr>
          <w:rFonts w:cs="Arial"/>
          <w:sz w:val="20"/>
          <w:szCs w:val="20"/>
          <w:u w:val="single"/>
          <w:lang w:eastAsia="en-US"/>
        </w:rPr>
      </w:pPr>
      <w:r w:rsidRPr="00321EDD">
        <w:rPr>
          <w:rFonts w:cs="Arial"/>
          <w:sz w:val="20"/>
          <w:szCs w:val="20"/>
          <w:u w:val="single"/>
          <w:lang w:eastAsia="en-US"/>
        </w:rPr>
        <w:t xml:space="preserve">Conclusion </w:t>
      </w:r>
    </w:p>
    <w:p w14:paraId="0D42AE48" w14:textId="77777777" w:rsidR="00C2049A" w:rsidRPr="00321EDD" w:rsidRDefault="00AA2694" w:rsidP="00413F89">
      <w:pPr>
        <w:pStyle w:val="Paragraph"/>
        <w:numPr>
          <w:ilvl w:val="0"/>
          <w:numId w:val="0"/>
        </w:numPr>
        <w:spacing w:before="120"/>
        <w:jc w:val="both"/>
        <w:rPr>
          <w:rFonts w:cs="Arial"/>
          <w:sz w:val="20"/>
          <w:szCs w:val="20"/>
          <w:lang w:eastAsia="en-US"/>
        </w:rPr>
      </w:pPr>
      <w:r w:rsidRPr="00321EDD">
        <w:rPr>
          <w:rFonts w:cs="Arial"/>
          <w:sz w:val="20"/>
          <w:szCs w:val="20"/>
          <w:lang w:eastAsia="en-US"/>
        </w:rPr>
        <w:t>The above sets</w:t>
      </w:r>
      <w:r w:rsidR="00C2049A" w:rsidRPr="00321EDD">
        <w:rPr>
          <w:rFonts w:cs="Arial"/>
          <w:sz w:val="20"/>
          <w:szCs w:val="20"/>
          <w:lang w:eastAsia="en-US"/>
        </w:rPr>
        <w:t xml:space="preserve"> out above my initial views on all of your appeal points.</w:t>
      </w:r>
    </w:p>
    <w:p w14:paraId="5224AE76" w14:textId="6BF14B18" w:rsidR="003B056B" w:rsidRPr="00321EDD" w:rsidRDefault="003B056B" w:rsidP="00413F89">
      <w:pPr>
        <w:pStyle w:val="Paragraph"/>
        <w:numPr>
          <w:ilvl w:val="0"/>
          <w:numId w:val="0"/>
        </w:numPr>
        <w:spacing w:before="120"/>
        <w:jc w:val="both"/>
        <w:rPr>
          <w:rFonts w:cs="Arial"/>
          <w:sz w:val="20"/>
          <w:szCs w:val="20"/>
          <w:lang w:eastAsia="en-US"/>
        </w:rPr>
      </w:pPr>
      <w:r w:rsidRPr="00321EDD">
        <w:rPr>
          <w:rFonts w:cs="Arial"/>
          <w:sz w:val="20"/>
          <w:szCs w:val="20"/>
          <w:lang w:eastAsia="en-US"/>
        </w:rPr>
        <w:t>In respect of your points which I am not minded to refer on you are entitled to submit further clarification and/or evidence to me within the next 10 working days, and I will then give a final decision on the points t</w:t>
      </w:r>
      <w:r w:rsidR="00726F5A" w:rsidRPr="00321EDD">
        <w:rPr>
          <w:rFonts w:cs="Arial"/>
          <w:sz w:val="20"/>
          <w:szCs w:val="20"/>
          <w:lang w:eastAsia="en-US"/>
        </w:rPr>
        <w:t xml:space="preserve">o put before an appeal panel.  </w:t>
      </w:r>
      <w:r w:rsidRPr="00321EDD">
        <w:rPr>
          <w:rFonts w:cs="Arial"/>
          <w:sz w:val="20"/>
          <w:szCs w:val="20"/>
          <w:lang w:eastAsia="en-US"/>
        </w:rPr>
        <w:t xml:space="preserve">For the points I am already content to refer on, an oral appeal will be held </w:t>
      </w:r>
      <w:r w:rsidRPr="00787F06">
        <w:rPr>
          <w:rFonts w:cs="Arial"/>
          <w:sz w:val="20"/>
          <w:szCs w:val="20"/>
          <w:lang w:eastAsia="en-US"/>
        </w:rPr>
        <w:t>which is likely to be held remotely</w:t>
      </w:r>
      <w:r w:rsidR="00096EBF" w:rsidRPr="00787F06">
        <w:rPr>
          <w:rFonts w:cs="Arial"/>
          <w:sz w:val="20"/>
          <w:szCs w:val="20"/>
          <w:lang w:eastAsia="en-US"/>
        </w:rPr>
        <w:t>.</w:t>
      </w:r>
    </w:p>
    <w:p w14:paraId="6445C872" w14:textId="429DA8BE" w:rsidR="003B056B" w:rsidRPr="00321EDD" w:rsidRDefault="003B056B" w:rsidP="00413F89">
      <w:pPr>
        <w:pStyle w:val="Paragraph"/>
        <w:numPr>
          <w:ilvl w:val="0"/>
          <w:numId w:val="0"/>
        </w:numPr>
        <w:spacing w:before="120"/>
        <w:jc w:val="both"/>
        <w:rPr>
          <w:rFonts w:cs="Arial"/>
          <w:sz w:val="20"/>
          <w:szCs w:val="20"/>
        </w:rPr>
      </w:pPr>
      <w:r w:rsidRPr="00321EDD">
        <w:rPr>
          <w:rFonts w:cs="Arial"/>
          <w:sz w:val="20"/>
          <w:szCs w:val="20"/>
          <w:lang w:eastAsia="en-US"/>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w:t>
      </w:r>
      <w:r w:rsidRPr="00321EDD">
        <w:rPr>
          <w:rFonts w:cs="Arial"/>
          <w:sz w:val="20"/>
          <w:szCs w:val="20"/>
        </w:rPr>
        <w:t xml:space="preserve"> please ensure you have provided a version with this information redacted by </w:t>
      </w:r>
      <w:r w:rsidR="00787F06">
        <w:rPr>
          <w:rFonts w:cs="Arial"/>
          <w:sz w:val="20"/>
          <w:szCs w:val="20"/>
        </w:rPr>
        <w:t xml:space="preserve">28 March 2023. </w:t>
      </w:r>
    </w:p>
    <w:p w14:paraId="0ED764D7" w14:textId="6954375C" w:rsidR="00010318" w:rsidRPr="00321EDD" w:rsidRDefault="00010318" w:rsidP="00413F89">
      <w:pPr>
        <w:pStyle w:val="Paragraph"/>
        <w:numPr>
          <w:ilvl w:val="0"/>
          <w:numId w:val="0"/>
        </w:numPr>
        <w:spacing w:before="120"/>
        <w:jc w:val="both"/>
        <w:rPr>
          <w:rFonts w:cs="Arial"/>
          <w:sz w:val="20"/>
          <w:szCs w:val="20"/>
        </w:rPr>
      </w:pPr>
      <w:r w:rsidRPr="00321EDD">
        <w:rPr>
          <w:rFonts w:cs="Arial"/>
          <w:sz w:val="20"/>
          <w:szCs w:val="20"/>
        </w:rPr>
        <w:lastRenderedPageBreak/>
        <w:t xml:space="preserve">Ordinarily appeals are conducted on the basis of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787F06">
        <w:rPr>
          <w:rFonts w:cs="Arial"/>
          <w:sz w:val="20"/>
          <w:szCs w:val="20"/>
        </w:rPr>
        <w:t>29 March 2023</w:t>
      </w:r>
      <w:r w:rsidRPr="00321EDD">
        <w:rPr>
          <w:rFonts w:cs="Arial"/>
          <w:sz w:val="20"/>
          <w:szCs w:val="20"/>
        </w:rPr>
        <w:t>.  Please note that the appeal panel cannot accept papers that are tabled late or ad hoc, as this affects the preparation of the panel and other parties for the appeal.</w:t>
      </w:r>
    </w:p>
    <w:p w14:paraId="6427A69D" w14:textId="21C02660" w:rsidR="00C70019" w:rsidRPr="00321EDD" w:rsidRDefault="00C70019" w:rsidP="00413F89">
      <w:pPr>
        <w:jc w:val="both"/>
        <w:rPr>
          <w:rFonts w:cs="Arial"/>
          <w:color w:val="auto"/>
        </w:rPr>
      </w:pPr>
      <w:r w:rsidRPr="00321EDD">
        <w:rPr>
          <w:rFonts w:cs="Arial"/>
          <w:color w:val="auto"/>
        </w:rPr>
        <w:t>Yours sincerely</w:t>
      </w:r>
    </w:p>
    <w:p w14:paraId="638CFD9A" w14:textId="77777777" w:rsidR="002B21D4" w:rsidRPr="00321EDD" w:rsidRDefault="002B21D4" w:rsidP="00413F89">
      <w:pPr>
        <w:jc w:val="both"/>
        <w:rPr>
          <w:rFonts w:cs="Arial"/>
          <w:color w:val="auto"/>
        </w:rPr>
      </w:pPr>
    </w:p>
    <w:p w14:paraId="0E98E776" w14:textId="34D1BD84" w:rsidR="00C40B58" w:rsidRDefault="00C40B58" w:rsidP="00842D0D">
      <w:pPr>
        <w:spacing w:line="360" w:lineRule="auto"/>
        <w:jc w:val="both"/>
        <w:rPr>
          <w:rFonts w:cs="Arial"/>
          <w:color w:val="auto"/>
        </w:rPr>
      </w:pPr>
    </w:p>
    <w:p w14:paraId="68552D92" w14:textId="77777777" w:rsidR="00C40B58" w:rsidRPr="00C40B58" w:rsidRDefault="00C40B58" w:rsidP="00C40B58">
      <w:pPr>
        <w:spacing w:before="240" w:after="240" w:line="276" w:lineRule="auto"/>
        <w:jc w:val="both"/>
        <w:rPr>
          <w:rFonts w:cs="Arial"/>
          <w:color w:val="auto"/>
        </w:rPr>
      </w:pPr>
      <w:r w:rsidRPr="00C40B58">
        <w:rPr>
          <w:rFonts w:cs="Arial"/>
          <w:color w:val="auto"/>
        </w:rPr>
        <w:t>Mark Chakravarty</w:t>
      </w:r>
    </w:p>
    <w:p w14:paraId="2C2389BB" w14:textId="26C238F8" w:rsidR="00C40B58" w:rsidRDefault="00C40B58" w:rsidP="00C40B58">
      <w:pPr>
        <w:spacing w:line="360" w:lineRule="auto"/>
        <w:jc w:val="both"/>
        <w:rPr>
          <w:rFonts w:cs="Arial"/>
          <w:color w:val="auto"/>
        </w:rPr>
      </w:pPr>
      <w:r w:rsidRPr="00C40B58">
        <w:rPr>
          <w:rFonts w:cs="Arial"/>
          <w:color w:val="auto"/>
        </w:rPr>
        <w:t>Non-Executive Director</w:t>
      </w:r>
    </w:p>
    <w:p w14:paraId="41EE6869" w14:textId="1AF4606A" w:rsidR="004A76D5" w:rsidRPr="00321EDD" w:rsidRDefault="00842D0D" w:rsidP="00842D0D">
      <w:pPr>
        <w:spacing w:line="360" w:lineRule="auto"/>
        <w:jc w:val="both"/>
        <w:rPr>
          <w:rFonts w:cs="Arial"/>
          <w:color w:val="auto"/>
        </w:rPr>
      </w:pPr>
      <w:r w:rsidRPr="00321EDD">
        <w:rPr>
          <w:rFonts w:cs="Arial"/>
          <w:color w:val="auto"/>
        </w:rPr>
        <w:t>National Institute for Health and Care Excellence</w:t>
      </w:r>
    </w:p>
    <w:p w14:paraId="72284BFF" w14:textId="22D2CF28" w:rsidR="004A76D5" w:rsidRPr="00321EDD" w:rsidRDefault="004A76D5" w:rsidP="00413F89">
      <w:pPr>
        <w:jc w:val="both"/>
        <w:rPr>
          <w:rFonts w:cs="Arial"/>
          <w:color w:val="auto"/>
        </w:rPr>
      </w:pPr>
    </w:p>
    <w:sectPr w:rsidR="004A76D5" w:rsidRPr="00321EDD" w:rsidSect="00DC03BB">
      <w:footerReference w:type="default" r:id="rId9"/>
      <w:headerReference w:type="first" r:id="rId10"/>
      <w:footerReference w:type="first" r:id="rId11"/>
      <w:pgSz w:w="11907" w:h="16840"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896D" w14:textId="77777777" w:rsidR="0041249A" w:rsidRDefault="0041249A">
      <w:r>
        <w:separator/>
      </w:r>
    </w:p>
  </w:endnote>
  <w:endnote w:type="continuationSeparator" w:id="0">
    <w:p w14:paraId="23FA9553" w14:textId="77777777" w:rsidR="0041249A" w:rsidRDefault="0041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A69C" w14:textId="3A8305C2" w:rsidR="00E308B8" w:rsidRPr="00E10C0E" w:rsidRDefault="00E308B8" w:rsidP="00832D34">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00811421" w:rsidRPr="00811421">
      <w:rPr>
        <w:rStyle w:val="PageNumber"/>
        <w:noProof/>
        <w:color w:val="808080"/>
        <w:szCs w:val="18"/>
      </w:rPr>
      <w:t>2</w:t>
    </w:r>
    <w:r w:rsidRPr="00E10C0E">
      <w:rPr>
        <w:rStyle w:val="PageNumber"/>
        <w:b/>
        <w:color w:val="80808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013B" w14:textId="50788710" w:rsidR="00E308B8" w:rsidRPr="00832D34" w:rsidRDefault="00811421" w:rsidP="00EF043B">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00E308B8" w:rsidRPr="00832D34">
      <w:rPr>
        <w:color w:val="808080"/>
        <w:sz w:val="18"/>
        <w:szCs w:val="18"/>
      </w:rPr>
      <w:fldChar w:fldCharType="begin"/>
    </w:r>
    <w:r w:rsidR="00E308B8" w:rsidRPr="00832D34">
      <w:rPr>
        <w:color w:val="808080"/>
        <w:sz w:val="18"/>
        <w:szCs w:val="18"/>
      </w:rPr>
      <w:instrText xml:space="preserve"> FILENAME \* Upper </w:instrText>
    </w:r>
    <w:r w:rsidR="00E308B8" w:rsidRPr="00832D34">
      <w:rPr>
        <w:color w:val="808080"/>
        <w:sz w:val="18"/>
        <w:szCs w:val="18"/>
      </w:rPr>
      <w:fldChar w:fldCharType="separate"/>
    </w:r>
    <w:r w:rsidR="00A330BA">
      <w:rPr>
        <w:noProof/>
        <w:color w:val="808080"/>
        <w:sz w:val="18"/>
        <w:szCs w:val="18"/>
      </w:rPr>
      <w:t>INITIAL SCRUTINY COVID19 ID4038 - GILEAD</w:t>
    </w:r>
    <w:r w:rsidR="00E308B8" w:rsidRPr="00832D34">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00E308B8" w:rsidRPr="00EF043B">
      <w:rPr>
        <w:snapToGrid w:val="0"/>
        <w:color w:val="808080"/>
        <w:sz w:val="18"/>
        <w:szCs w:val="18"/>
      </w:rPr>
      <w:t xml:space="preserve">Page </w:t>
    </w:r>
    <w:r w:rsidR="00E308B8" w:rsidRPr="00EF043B">
      <w:rPr>
        <w:snapToGrid w:val="0"/>
        <w:color w:val="808080"/>
        <w:sz w:val="18"/>
        <w:szCs w:val="18"/>
      </w:rPr>
      <w:fldChar w:fldCharType="begin"/>
    </w:r>
    <w:r w:rsidR="00E308B8" w:rsidRPr="00EF043B">
      <w:rPr>
        <w:snapToGrid w:val="0"/>
        <w:color w:val="808080"/>
        <w:sz w:val="18"/>
        <w:szCs w:val="18"/>
      </w:rPr>
      <w:instrText xml:space="preserve"> PAGE </w:instrText>
    </w:r>
    <w:r w:rsidR="00E308B8" w:rsidRPr="00EF043B">
      <w:rPr>
        <w:snapToGrid w:val="0"/>
        <w:color w:val="808080"/>
        <w:sz w:val="18"/>
        <w:szCs w:val="18"/>
      </w:rPr>
      <w:fldChar w:fldCharType="separate"/>
    </w:r>
    <w:r>
      <w:rPr>
        <w:noProof/>
        <w:snapToGrid w:val="0"/>
        <w:color w:val="808080"/>
        <w:sz w:val="18"/>
        <w:szCs w:val="18"/>
      </w:rPr>
      <w:t>1</w:t>
    </w:r>
    <w:r w:rsidR="00E308B8" w:rsidRPr="00EF043B">
      <w:rPr>
        <w:snapToGrid w:val="0"/>
        <w:color w:val="808080"/>
        <w:sz w:val="18"/>
        <w:szCs w:val="18"/>
      </w:rPr>
      <w:fldChar w:fldCharType="end"/>
    </w:r>
    <w:r w:rsidR="00E308B8" w:rsidRPr="00EF043B">
      <w:rPr>
        <w:snapToGrid w:val="0"/>
        <w:color w:val="808080"/>
        <w:sz w:val="18"/>
        <w:szCs w:val="18"/>
      </w:rPr>
      <w:t xml:space="preserve"> of </w:t>
    </w:r>
    <w:r w:rsidR="00E308B8" w:rsidRPr="00EF043B">
      <w:rPr>
        <w:snapToGrid w:val="0"/>
        <w:color w:val="808080"/>
        <w:sz w:val="18"/>
        <w:szCs w:val="18"/>
      </w:rPr>
      <w:fldChar w:fldCharType="begin"/>
    </w:r>
    <w:r w:rsidR="00E308B8" w:rsidRPr="00EF043B">
      <w:rPr>
        <w:snapToGrid w:val="0"/>
        <w:color w:val="808080"/>
        <w:sz w:val="18"/>
        <w:szCs w:val="18"/>
      </w:rPr>
      <w:instrText xml:space="preserve"> NUMPAGES </w:instrText>
    </w:r>
    <w:r w:rsidR="00E308B8" w:rsidRPr="00EF043B">
      <w:rPr>
        <w:snapToGrid w:val="0"/>
        <w:color w:val="808080"/>
        <w:sz w:val="18"/>
        <w:szCs w:val="18"/>
      </w:rPr>
      <w:fldChar w:fldCharType="separate"/>
    </w:r>
    <w:r>
      <w:rPr>
        <w:noProof/>
        <w:snapToGrid w:val="0"/>
        <w:color w:val="808080"/>
        <w:sz w:val="18"/>
        <w:szCs w:val="18"/>
      </w:rPr>
      <w:t>2</w:t>
    </w:r>
    <w:r w:rsidR="00E308B8" w:rsidRPr="00EF043B">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989B" w14:textId="77777777" w:rsidR="0041249A" w:rsidRDefault="0041249A">
      <w:r>
        <w:separator/>
      </w:r>
    </w:p>
  </w:footnote>
  <w:footnote w:type="continuationSeparator" w:id="0">
    <w:p w14:paraId="1C0D27F2" w14:textId="77777777" w:rsidR="0041249A" w:rsidRDefault="0041249A">
      <w:r>
        <w:continuationSeparator/>
      </w:r>
    </w:p>
  </w:footnote>
  <w:footnote w:id="1">
    <w:p w14:paraId="4DDC4CED" w14:textId="77777777" w:rsidR="0065300D" w:rsidRDefault="0065300D" w:rsidP="0065300D">
      <w:pPr>
        <w:pStyle w:val="FootnoteText"/>
      </w:pPr>
      <w:r>
        <w:rPr>
          <w:rStyle w:val="FootnoteReference"/>
        </w:rPr>
        <w:footnoteRef/>
      </w:r>
      <w:r>
        <w:t xml:space="preserve"> </w:t>
      </w:r>
      <w:hyperlink r:id="rId1" w:history="1">
        <w:r>
          <w:rPr>
            <w:rStyle w:val="Hyperlink"/>
          </w:rPr>
          <w:t>https://www.nice.org.uk/process/pmg36/resources/nice-health-technology-evaluations-the-manual-pdf-72286779244741</w:t>
        </w:r>
      </w:hyperlink>
      <w:r>
        <w:t xml:space="preserve"> </w:t>
      </w:r>
    </w:p>
  </w:footnote>
  <w:footnote w:id="2">
    <w:p w14:paraId="178004BB" w14:textId="77777777" w:rsidR="0065300D" w:rsidRDefault="0065300D" w:rsidP="0065300D">
      <w:pPr>
        <w:pStyle w:val="FootnoteText"/>
      </w:pPr>
      <w:r>
        <w:rPr>
          <w:rStyle w:val="FootnoteReference"/>
        </w:rPr>
        <w:footnoteRef/>
      </w:r>
      <w:r>
        <w:rPr>
          <w:rStyle w:val="FootnoteReference"/>
        </w:rPr>
        <w:footnoteRef/>
      </w:r>
      <w:r>
        <w:t xml:space="preserve"> </w:t>
      </w:r>
      <w:hyperlink r:id="rId2" w:history="1">
        <w:r>
          <w:rPr>
            <w:rStyle w:val="Hyperlink"/>
          </w:rPr>
          <w:t>https://www.nice.org.uk/guidance/gid-ta10936/documents/supporting-documentation</w:t>
        </w:r>
      </w:hyperlink>
      <w:r>
        <w:t xml:space="preserve"> </w:t>
      </w:r>
    </w:p>
  </w:footnote>
  <w:footnote w:id="3">
    <w:p w14:paraId="47BE650A" w14:textId="39F035AE" w:rsidR="00EC17AE" w:rsidRDefault="00EC17AE">
      <w:pPr>
        <w:pStyle w:val="FootnoteText"/>
      </w:pPr>
      <w:r>
        <w:rPr>
          <w:rStyle w:val="FootnoteReference"/>
        </w:rPr>
        <w:footnoteRef/>
      </w:r>
      <w:r>
        <w:t xml:space="preserve"> </w:t>
      </w:r>
      <w:hyperlink r:id="rId3" w:history="1">
        <w:r w:rsidRPr="00EB72B0">
          <w:rPr>
            <w:rStyle w:val="Hyperlink"/>
          </w:rPr>
          <w:t>https://www.nice.org.uk/guidance/gid-ta10936/documents/assessment-report</w:t>
        </w:r>
      </w:hyperlink>
      <w:r>
        <w:t xml:space="preserve"> </w:t>
      </w:r>
    </w:p>
  </w:footnote>
  <w:footnote w:id="4">
    <w:p w14:paraId="28099EDA" w14:textId="67458584" w:rsidR="004C209B" w:rsidRDefault="004C209B">
      <w:pPr>
        <w:pStyle w:val="FootnoteText"/>
      </w:pPr>
      <w:r>
        <w:rPr>
          <w:rStyle w:val="FootnoteReference"/>
        </w:rPr>
        <w:footnoteRef/>
      </w:r>
      <w:r>
        <w:t xml:space="preserve"> </w:t>
      </w:r>
      <w:hyperlink r:id="rId4" w:history="1">
        <w:r w:rsidRPr="00EB72B0">
          <w:rPr>
            <w:rStyle w:val="Hyperlink"/>
          </w:rPr>
          <w:t>https://www.nice.org.uk/guidance/gid-tag507/documents/appeal-decision</w:t>
        </w:r>
      </w:hyperlink>
      <w:r>
        <w:rPr>
          <w:rStyle w:val="ui-provide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3CC1" w14:textId="77777777" w:rsidR="00491045" w:rsidRDefault="00491045" w:rsidP="00491045">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14:paraId="2DD48BCF"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2 Redman Place</w:t>
    </w:r>
  </w:p>
  <w:p w14:paraId="4E0459EB"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softHyphen/>
      <w:t>London</w:t>
    </w:r>
  </w:p>
  <w:p w14:paraId="17FA5E6C"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E20 1JQ</w:t>
    </w:r>
  </w:p>
  <w:p w14:paraId="7B0504BC"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t>United Kingdom</w:t>
    </w:r>
  </w:p>
  <w:p w14:paraId="0A93A6A6" w14:textId="77777777" w:rsidR="00491045" w:rsidRPr="005E0434" w:rsidRDefault="00491045" w:rsidP="00491045">
    <w:pPr>
      <w:pStyle w:val="Header"/>
      <w:tabs>
        <w:tab w:val="right" w:pos="10065"/>
      </w:tabs>
      <w:spacing w:after="0"/>
      <w:ind w:right="-1039"/>
      <w:jc w:val="right"/>
      <w:rPr>
        <w:rFonts w:cs="Arial"/>
        <w:color w:val="0E0E0E"/>
      </w:rPr>
    </w:pPr>
  </w:p>
  <w:p w14:paraId="5D6CD5A4" w14:textId="77777777" w:rsidR="00491045" w:rsidRPr="003A3E2E" w:rsidRDefault="00491045" w:rsidP="00491045">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14:paraId="1C9776DF" w14:textId="21D4BFDB" w:rsidR="00E308B8" w:rsidRPr="00491045" w:rsidRDefault="00E308B8" w:rsidP="0049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3" w15:restartNumberingAfterBreak="0">
    <w:nsid w:val="04ED1DAD"/>
    <w:multiLevelType w:val="hybridMultilevel"/>
    <w:tmpl w:val="C0EA7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310A7"/>
    <w:multiLevelType w:val="hybridMultilevel"/>
    <w:tmpl w:val="FF4CA0A8"/>
    <w:lvl w:ilvl="0" w:tplc="7AC0A22C">
      <w:start w:val="5"/>
      <w:numFmt w:val="bullet"/>
      <w:lvlText w:val="-"/>
      <w:lvlJc w:val="left"/>
      <w:pPr>
        <w:ind w:left="775" w:hanging="360"/>
      </w:pPr>
      <w:rPr>
        <w:rFonts w:ascii="Arial" w:eastAsia="Times New Roman" w:hAnsi="Arial" w:cs="Aria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1339340C"/>
    <w:multiLevelType w:val="multilevel"/>
    <w:tmpl w:val="D85E46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DF3CAE"/>
    <w:multiLevelType w:val="hybridMultilevel"/>
    <w:tmpl w:val="32A2F77E"/>
    <w:lvl w:ilvl="0" w:tplc="A5FC29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159CD"/>
    <w:multiLevelType w:val="hybridMultilevel"/>
    <w:tmpl w:val="343EBF1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A90BB6"/>
    <w:multiLevelType w:val="hybridMultilevel"/>
    <w:tmpl w:val="0F766B3A"/>
    <w:lvl w:ilvl="0" w:tplc="678AA1F2">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E5697"/>
    <w:multiLevelType w:val="hybridMultilevel"/>
    <w:tmpl w:val="19EE37AA"/>
    <w:lvl w:ilvl="0" w:tplc="1A906E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A7213B"/>
    <w:multiLevelType w:val="hybridMultilevel"/>
    <w:tmpl w:val="FB908D82"/>
    <w:lvl w:ilvl="0" w:tplc="2CA0719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207EB"/>
    <w:multiLevelType w:val="hybridMultilevel"/>
    <w:tmpl w:val="9AF415D0"/>
    <w:lvl w:ilvl="0" w:tplc="08090001">
      <w:start w:val="1"/>
      <w:numFmt w:val="bullet"/>
      <w:lvlText w:val=""/>
      <w:lvlJc w:val="left"/>
      <w:pPr>
        <w:ind w:left="775" w:hanging="360"/>
      </w:pPr>
      <w:rPr>
        <w:rFonts w:ascii="Symbol" w:hAnsi="Symbol"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17" w15:restartNumberingAfterBreak="0">
    <w:nsid w:val="34345F52"/>
    <w:multiLevelType w:val="hybridMultilevel"/>
    <w:tmpl w:val="9878ABA4"/>
    <w:lvl w:ilvl="0" w:tplc="14B24E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C8632C"/>
    <w:multiLevelType w:val="hybridMultilevel"/>
    <w:tmpl w:val="26E460D6"/>
    <w:lvl w:ilvl="0" w:tplc="A5FC299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67A5F"/>
    <w:multiLevelType w:val="multilevel"/>
    <w:tmpl w:val="D85E46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24"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7E0A07"/>
    <w:multiLevelType w:val="hybridMultilevel"/>
    <w:tmpl w:val="BF84D16A"/>
    <w:lvl w:ilvl="0" w:tplc="08090001">
      <w:start w:val="1"/>
      <w:numFmt w:val="bullet"/>
      <w:lvlText w:val=""/>
      <w:lvlJc w:val="left"/>
      <w:pPr>
        <w:ind w:left="720" w:hanging="360"/>
      </w:pPr>
      <w:rPr>
        <w:rFonts w:ascii="Symbol" w:hAnsi="Symbol" w:hint="default"/>
        <w:color w:val="333333"/>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6912FA"/>
    <w:multiLevelType w:val="hybridMultilevel"/>
    <w:tmpl w:val="7DFC939E"/>
    <w:lvl w:ilvl="0" w:tplc="DD3E1A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B1B615D"/>
    <w:multiLevelType w:val="hybridMultilevel"/>
    <w:tmpl w:val="2AD8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1" w15:restartNumberingAfterBreak="0">
    <w:nsid w:val="6614533C"/>
    <w:multiLevelType w:val="hybridMultilevel"/>
    <w:tmpl w:val="C8E8253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84597"/>
    <w:multiLevelType w:val="hybridMultilevel"/>
    <w:tmpl w:val="1FC88EBC"/>
    <w:lvl w:ilvl="0" w:tplc="7AC0A22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5055A4"/>
    <w:multiLevelType w:val="hybridMultilevel"/>
    <w:tmpl w:val="96104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3A7BC1"/>
    <w:multiLevelType w:val="hybridMultilevel"/>
    <w:tmpl w:val="DE448C20"/>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5749314">
    <w:abstractNumId w:val="2"/>
  </w:num>
  <w:num w:numId="2" w16cid:durableId="1620255538">
    <w:abstractNumId w:val="8"/>
  </w:num>
  <w:num w:numId="3" w16cid:durableId="910774344">
    <w:abstractNumId w:val="28"/>
  </w:num>
  <w:num w:numId="4" w16cid:durableId="2114813447">
    <w:abstractNumId w:val="28"/>
  </w:num>
  <w:num w:numId="5" w16cid:durableId="958101677">
    <w:abstractNumId w:val="30"/>
  </w:num>
  <w:num w:numId="6" w16cid:durableId="738140443">
    <w:abstractNumId w:val="0"/>
  </w:num>
  <w:num w:numId="7" w16cid:durableId="969827034">
    <w:abstractNumId w:val="28"/>
  </w:num>
  <w:num w:numId="8" w16cid:durableId="426269413">
    <w:abstractNumId w:val="28"/>
  </w:num>
  <w:num w:numId="9" w16cid:durableId="1784611297">
    <w:abstractNumId w:val="28"/>
  </w:num>
  <w:num w:numId="10" w16cid:durableId="632447151">
    <w:abstractNumId w:val="20"/>
  </w:num>
  <w:num w:numId="11" w16cid:durableId="2049993041">
    <w:abstractNumId w:val="6"/>
  </w:num>
  <w:num w:numId="12" w16cid:durableId="865873110">
    <w:abstractNumId w:val="19"/>
  </w:num>
  <w:num w:numId="13" w16cid:durableId="632100205">
    <w:abstractNumId w:val="22"/>
  </w:num>
  <w:num w:numId="14" w16cid:durableId="851645551">
    <w:abstractNumId w:val="27"/>
  </w:num>
  <w:num w:numId="15" w16cid:durableId="515507989">
    <w:abstractNumId w:val="15"/>
  </w:num>
  <w:num w:numId="16" w16cid:durableId="2064400418">
    <w:abstractNumId w:val="24"/>
  </w:num>
  <w:num w:numId="17" w16cid:durableId="1079181631">
    <w:abstractNumId w:val="34"/>
  </w:num>
  <w:num w:numId="18" w16cid:durableId="2054647609">
    <w:abstractNumId w:val="7"/>
  </w:num>
  <w:num w:numId="19" w16cid:durableId="1955359000">
    <w:abstractNumId w:val="31"/>
  </w:num>
  <w:num w:numId="20" w16cid:durableId="1090354560">
    <w:abstractNumId w:val="18"/>
  </w:num>
  <w:num w:numId="21" w16cid:durableId="1430782051">
    <w:abstractNumId w:val="9"/>
  </w:num>
  <w:num w:numId="22" w16cid:durableId="270892521">
    <w:abstractNumId w:val="35"/>
  </w:num>
  <w:num w:numId="23" w16cid:durableId="1058091464">
    <w:abstractNumId w:val="1"/>
  </w:num>
  <w:num w:numId="24" w16cid:durableId="184829271">
    <w:abstractNumId w:val="23"/>
  </w:num>
  <w:num w:numId="25" w16cid:durableId="174879538">
    <w:abstractNumId w:val="11"/>
  </w:num>
  <w:num w:numId="26" w16cid:durableId="814295722">
    <w:abstractNumId w:val="33"/>
  </w:num>
  <w:num w:numId="27" w16cid:durableId="576063306">
    <w:abstractNumId w:val="10"/>
  </w:num>
  <w:num w:numId="28" w16cid:durableId="2006204101">
    <w:abstractNumId w:val="28"/>
  </w:num>
  <w:num w:numId="29" w16cid:durableId="267585098">
    <w:abstractNumId w:val="28"/>
  </w:num>
  <w:num w:numId="30" w16cid:durableId="171265094">
    <w:abstractNumId w:val="14"/>
  </w:num>
  <w:num w:numId="31" w16cid:durableId="374238591">
    <w:abstractNumId w:val="28"/>
  </w:num>
  <w:num w:numId="32" w16cid:durableId="1700861138">
    <w:abstractNumId w:val="28"/>
  </w:num>
  <w:num w:numId="33" w16cid:durableId="1224171052">
    <w:abstractNumId w:val="37"/>
  </w:num>
  <w:num w:numId="34" w16cid:durableId="1235511369">
    <w:abstractNumId w:val="26"/>
  </w:num>
  <w:num w:numId="35" w16cid:durableId="2023774285">
    <w:abstractNumId w:val="21"/>
  </w:num>
  <w:num w:numId="36" w16cid:durableId="523442120">
    <w:abstractNumId w:val="17"/>
  </w:num>
  <w:num w:numId="37" w16cid:durableId="39865370">
    <w:abstractNumId w:val="12"/>
  </w:num>
  <w:num w:numId="38" w16cid:durableId="1508519264">
    <w:abstractNumId w:val="5"/>
  </w:num>
  <w:num w:numId="39" w16cid:durableId="555167059">
    <w:abstractNumId w:val="3"/>
  </w:num>
  <w:num w:numId="40" w16cid:durableId="655452105">
    <w:abstractNumId w:val="32"/>
  </w:num>
  <w:num w:numId="41" w16cid:durableId="1529828260">
    <w:abstractNumId w:val="4"/>
  </w:num>
  <w:num w:numId="42" w16cid:durableId="414516050">
    <w:abstractNumId w:val="16"/>
  </w:num>
  <w:num w:numId="43" w16cid:durableId="1970625343">
    <w:abstractNumId w:val="13"/>
  </w:num>
  <w:num w:numId="44" w16cid:durableId="701630031">
    <w:abstractNumId w:val="29"/>
  </w:num>
  <w:num w:numId="45" w16cid:durableId="1080173442">
    <w:abstractNumId w:val="36"/>
  </w:num>
  <w:num w:numId="46" w16cid:durableId="1631669635">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03C58"/>
    <w:rsid w:val="00005D6F"/>
    <w:rsid w:val="000073DE"/>
    <w:rsid w:val="00010318"/>
    <w:rsid w:val="000111DB"/>
    <w:rsid w:val="00011380"/>
    <w:rsid w:val="0001311E"/>
    <w:rsid w:val="00016BC8"/>
    <w:rsid w:val="0002043D"/>
    <w:rsid w:val="000218C9"/>
    <w:rsid w:val="000223BD"/>
    <w:rsid w:val="00022FB4"/>
    <w:rsid w:val="000235A7"/>
    <w:rsid w:val="00024DA5"/>
    <w:rsid w:val="00025D77"/>
    <w:rsid w:val="000329FE"/>
    <w:rsid w:val="00034338"/>
    <w:rsid w:val="000368B9"/>
    <w:rsid w:val="000460A5"/>
    <w:rsid w:val="00047383"/>
    <w:rsid w:val="000516FE"/>
    <w:rsid w:val="00052894"/>
    <w:rsid w:val="000532DA"/>
    <w:rsid w:val="0005507A"/>
    <w:rsid w:val="000565FF"/>
    <w:rsid w:val="00056CD2"/>
    <w:rsid w:val="000570C3"/>
    <w:rsid w:val="00060F8C"/>
    <w:rsid w:val="000661C2"/>
    <w:rsid w:val="0006785D"/>
    <w:rsid w:val="000700FB"/>
    <w:rsid w:val="0007095A"/>
    <w:rsid w:val="000709E5"/>
    <w:rsid w:val="00076BDE"/>
    <w:rsid w:val="00080FCA"/>
    <w:rsid w:val="0008211B"/>
    <w:rsid w:val="00082FAB"/>
    <w:rsid w:val="00083604"/>
    <w:rsid w:val="00084FD0"/>
    <w:rsid w:val="000853F6"/>
    <w:rsid w:val="00085837"/>
    <w:rsid w:val="00087222"/>
    <w:rsid w:val="00087600"/>
    <w:rsid w:val="000878D5"/>
    <w:rsid w:val="000900D5"/>
    <w:rsid w:val="000928C5"/>
    <w:rsid w:val="00092FA9"/>
    <w:rsid w:val="00094CF4"/>
    <w:rsid w:val="00096EBF"/>
    <w:rsid w:val="000977EB"/>
    <w:rsid w:val="000A490C"/>
    <w:rsid w:val="000A4DFC"/>
    <w:rsid w:val="000A4F51"/>
    <w:rsid w:val="000A5585"/>
    <w:rsid w:val="000B1D36"/>
    <w:rsid w:val="000B2CC8"/>
    <w:rsid w:val="000B3C21"/>
    <w:rsid w:val="000B5760"/>
    <w:rsid w:val="000B73F9"/>
    <w:rsid w:val="000C0FDA"/>
    <w:rsid w:val="000C2895"/>
    <w:rsid w:val="000C799E"/>
    <w:rsid w:val="000D1E58"/>
    <w:rsid w:val="000D6C02"/>
    <w:rsid w:val="000D7E30"/>
    <w:rsid w:val="000E020F"/>
    <w:rsid w:val="000E16D3"/>
    <w:rsid w:val="000E40C4"/>
    <w:rsid w:val="000E6270"/>
    <w:rsid w:val="000F014D"/>
    <w:rsid w:val="000F30F0"/>
    <w:rsid w:val="000F3523"/>
    <w:rsid w:val="000F605F"/>
    <w:rsid w:val="000F6BB5"/>
    <w:rsid w:val="00102A96"/>
    <w:rsid w:val="00102F59"/>
    <w:rsid w:val="0010360D"/>
    <w:rsid w:val="00106505"/>
    <w:rsid w:val="00107520"/>
    <w:rsid w:val="00111749"/>
    <w:rsid w:val="00116523"/>
    <w:rsid w:val="00120071"/>
    <w:rsid w:val="00120FFA"/>
    <w:rsid w:val="001232BE"/>
    <w:rsid w:val="00123922"/>
    <w:rsid w:val="00123B83"/>
    <w:rsid w:val="00127EF5"/>
    <w:rsid w:val="00131602"/>
    <w:rsid w:val="001319CF"/>
    <w:rsid w:val="00132DDC"/>
    <w:rsid w:val="00136C94"/>
    <w:rsid w:val="0014179C"/>
    <w:rsid w:val="00142DA7"/>
    <w:rsid w:val="00145246"/>
    <w:rsid w:val="001465BD"/>
    <w:rsid w:val="0014692A"/>
    <w:rsid w:val="001470EF"/>
    <w:rsid w:val="00150421"/>
    <w:rsid w:val="00151269"/>
    <w:rsid w:val="00156C49"/>
    <w:rsid w:val="00160A2A"/>
    <w:rsid w:val="00161B38"/>
    <w:rsid w:val="00163C9B"/>
    <w:rsid w:val="00165E24"/>
    <w:rsid w:val="00170CE6"/>
    <w:rsid w:val="00170F86"/>
    <w:rsid w:val="001735A1"/>
    <w:rsid w:val="001760DF"/>
    <w:rsid w:val="0017732F"/>
    <w:rsid w:val="00182BDA"/>
    <w:rsid w:val="00183604"/>
    <w:rsid w:val="00184EE2"/>
    <w:rsid w:val="00190698"/>
    <w:rsid w:val="00190763"/>
    <w:rsid w:val="001908C4"/>
    <w:rsid w:val="0019279A"/>
    <w:rsid w:val="001929B8"/>
    <w:rsid w:val="001945C8"/>
    <w:rsid w:val="00194EE4"/>
    <w:rsid w:val="001969C2"/>
    <w:rsid w:val="001A0143"/>
    <w:rsid w:val="001A18CA"/>
    <w:rsid w:val="001A5B07"/>
    <w:rsid w:val="001B0102"/>
    <w:rsid w:val="001B0730"/>
    <w:rsid w:val="001B23C6"/>
    <w:rsid w:val="001B71EA"/>
    <w:rsid w:val="001B7A6F"/>
    <w:rsid w:val="001C17B2"/>
    <w:rsid w:val="001C38DF"/>
    <w:rsid w:val="001C6258"/>
    <w:rsid w:val="001C655B"/>
    <w:rsid w:val="001C656F"/>
    <w:rsid w:val="001D26C0"/>
    <w:rsid w:val="001D736F"/>
    <w:rsid w:val="001E0293"/>
    <w:rsid w:val="001E0629"/>
    <w:rsid w:val="001E615E"/>
    <w:rsid w:val="001E79D7"/>
    <w:rsid w:val="001F15B2"/>
    <w:rsid w:val="001F15C2"/>
    <w:rsid w:val="001F1CF7"/>
    <w:rsid w:val="001F2364"/>
    <w:rsid w:val="001F4B8B"/>
    <w:rsid w:val="001F649E"/>
    <w:rsid w:val="001F6B73"/>
    <w:rsid w:val="001F6DCA"/>
    <w:rsid w:val="001F738C"/>
    <w:rsid w:val="001F7A9F"/>
    <w:rsid w:val="00200442"/>
    <w:rsid w:val="0020398C"/>
    <w:rsid w:val="00203EE8"/>
    <w:rsid w:val="00205000"/>
    <w:rsid w:val="002064F0"/>
    <w:rsid w:val="00206A41"/>
    <w:rsid w:val="002110B7"/>
    <w:rsid w:val="00211AE9"/>
    <w:rsid w:val="00211FE0"/>
    <w:rsid w:val="002129C1"/>
    <w:rsid w:val="00215776"/>
    <w:rsid w:val="00217205"/>
    <w:rsid w:val="00217C9A"/>
    <w:rsid w:val="00217D5F"/>
    <w:rsid w:val="00220B6B"/>
    <w:rsid w:val="00220DE8"/>
    <w:rsid w:val="002216BB"/>
    <w:rsid w:val="00223EBE"/>
    <w:rsid w:val="00226F13"/>
    <w:rsid w:val="00232FF4"/>
    <w:rsid w:val="00234767"/>
    <w:rsid w:val="0023747F"/>
    <w:rsid w:val="0023782B"/>
    <w:rsid w:val="00237C6C"/>
    <w:rsid w:val="0024377B"/>
    <w:rsid w:val="0024639F"/>
    <w:rsid w:val="00247666"/>
    <w:rsid w:val="0025046D"/>
    <w:rsid w:val="00254235"/>
    <w:rsid w:val="00254708"/>
    <w:rsid w:val="002556FB"/>
    <w:rsid w:val="00255C8A"/>
    <w:rsid w:val="0025659C"/>
    <w:rsid w:val="00256BF4"/>
    <w:rsid w:val="00262058"/>
    <w:rsid w:val="00263D2D"/>
    <w:rsid w:val="00265750"/>
    <w:rsid w:val="00271E0A"/>
    <w:rsid w:val="00274609"/>
    <w:rsid w:val="00274D74"/>
    <w:rsid w:val="00275528"/>
    <w:rsid w:val="00280302"/>
    <w:rsid w:val="00283BEC"/>
    <w:rsid w:val="00283C5A"/>
    <w:rsid w:val="00283D6E"/>
    <w:rsid w:val="00284917"/>
    <w:rsid w:val="00284CBA"/>
    <w:rsid w:val="002853E3"/>
    <w:rsid w:val="00285981"/>
    <w:rsid w:val="0028619A"/>
    <w:rsid w:val="0028620E"/>
    <w:rsid w:val="00294EB1"/>
    <w:rsid w:val="00295FB6"/>
    <w:rsid w:val="00297FB4"/>
    <w:rsid w:val="002A22F6"/>
    <w:rsid w:val="002A254E"/>
    <w:rsid w:val="002A26A0"/>
    <w:rsid w:val="002A4E90"/>
    <w:rsid w:val="002B1857"/>
    <w:rsid w:val="002B21D4"/>
    <w:rsid w:val="002B382D"/>
    <w:rsid w:val="002B3AC4"/>
    <w:rsid w:val="002B4896"/>
    <w:rsid w:val="002B52B3"/>
    <w:rsid w:val="002B6787"/>
    <w:rsid w:val="002C14B2"/>
    <w:rsid w:val="002C3E42"/>
    <w:rsid w:val="002C3E4B"/>
    <w:rsid w:val="002C4202"/>
    <w:rsid w:val="002C5356"/>
    <w:rsid w:val="002D22D4"/>
    <w:rsid w:val="002D412A"/>
    <w:rsid w:val="002D4715"/>
    <w:rsid w:val="002D4A3B"/>
    <w:rsid w:val="002E4D13"/>
    <w:rsid w:val="002E6A1E"/>
    <w:rsid w:val="002E7172"/>
    <w:rsid w:val="002E7FE1"/>
    <w:rsid w:val="002F25FC"/>
    <w:rsid w:val="002F2837"/>
    <w:rsid w:val="002F374D"/>
    <w:rsid w:val="002F6526"/>
    <w:rsid w:val="003009A2"/>
    <w:rsid w:val="00300E34"/>
    <w:rsid w:val="003018EA"/>
    <w:rsid w:val="003027BC"/>
    <w:rsid w:val="00303D93"/>
    <w:rsid w:val="003049F3"/>
    <w:rsid w:val="00310112"/>
    <w:rsid w:val="00310279"/>
    <w:rsid w:val="00311CBD"/>
    <w:rsid w:val="00314589"/>
    <w:rsid w:val="00316D28"/>
    <w:rsid w:val="00317646"/>
    <w:rsid w:val="00317975"/>
    <w:rsid w:val="00321A60"/>
    <w:rsid w:val="00321EDD"/>
    <w:rsid w:val="00323185"/>
    <w:rsid w:val="00326AFE"/>
    <w:rsid w:val="00326E72"/>
    <w:rsid w:val="003308CE"/>
    <w:rsid w:val="00330E72"/>
    <w:rsid w:val="00332149"/>
    <w:rsid w:val="00332C05"/>
    <w:rsid w:val="00332F1B"/>
    <w:rsid w:val="0033740C"/>
    <w:rsid w:val="00340B69"/>
    <w:rsid w:val="00342733"/>
    <w:rsid w:val="00343CE3"/>
    <w:rsid w:val="00345918"/>
    <w:rsid w:val="003478F6"/>
    <w:rsid w:val="003538D5"/>
    <w:rsid w:val="00356D23"/>
    <w:rsid w:val="003627D7"/>
    <w:rsid w:val="0036323C"/>
    <w:rsid w:val="003645C1"/>
    <w:rsid w:val="00371C6B"/>
    <w:rsid w:val="00373012"/>
    <w:rsid w:val="003744A8"/>
    <w:rsid w:val="00377A73"/>
    <w:rsid w:val="00381238"/>
    <w:rsid w:val="00381E46"/>
    <w:rsid w:val="00382D01"/>
    <w:rsid w:val="0038352D"/>
    <w:rsid w:val="00383DDC"/>
    <w:rsid w:val="0038454F"/>
    <w:rsid w:val="00390978"/>
    <w:rsid w:val="00392E05"/>
    <w:rsid w:val="00393619"/>
    <w:rsid w:val="00395196"/>
    <w:rsid w:val="0039570A"/>
    <w:rsid w:val="00396B85"/>
    <w:rsid w:val="003A74FD"/>
    <w:rsid w:val="003A78CC"/>
    <w:rsid w:val="003A7A38"/>
    <w:rsid w:val="003B056B"/>
    <w:rsid w:val="003B0952"/>
    <w:rsid w:val="003B29ED"/>
    <w:rsid w:val="003B5308"/>
    <w:rsid w:val="003C0AE2"/>
    <w:rsid w:val="003C2D5A"/>
    <w:rsid w:val="003C4D96"/>
    <w:rsid w:val="003C5792"/>
    <w:rsid w:val="003C618E"/>
    <w:rsid w:val="003C7489"/>
    <w:rsid w:val="003D1A18"/>
    <w:rsid w:val="003D2B50"/>
    <w:rsid w:val="003D3448"/>
    <w:rsid w:val="003D6083"/>
    <w:rsid w:val="003D6CD5"/>
    <w:rsid w:val="003E09ED"/>
    <w:rsid w:val="003E188F"/>
    <w:rsid w:val="003E2CBA"/>
    <w:rsid w:val="003E3BA3"/>
    <w:rsid w:val="003E5293"/>
    <w:rsid w:val="003E5A01"/>
    <w:rsid w:val="003E64E4"/>
    <w:rsid w:val="003E67E7"/>
    <w:rsid w:val="003E7C79"/>
    <w:rsid w:val="003F0380"/>
    <w:rsid w:val="003F5904"/>
    <w:rsid w:val="003F5C82"/>
    <w:rsid w:val="003F77BD"/>
    <w:rsid w:val="0040051B"/>
    <w:rsid w:val="0040061D"/>
    <w:rsid w:val="00400F95"/>
    <w:rsid w:val="00400FAC"/>
    <w:rsid w:val="0040244D"/>
    <w:rsid w:val="00405EE8"/>
    <w:rsid w:val="00406D54"/>
    <w:rsid w:val="0041249A"/>
    <w:rsid w:val="00413F89"/>
    <w:rsid w:val="00414D6F"/>
    <w:rsid w:val="00417F57"/>
    <w:rsid w:val="004200B8"/>
    <w:rsid w:val="004217F1"/>
    <w:rsid w:val="00423000"/>
    <w:rsid w:val="00424D33"/>
    <w:rsid w:val="00424E76"/>
    <w:rsid w:val="00425689"/>
    <w:rsid w:val="004309B6"/>
    <w:rsid w:val="00431B23"/>
    <w:rsid w:val="00434670"/>
    <w:rsid w:val="004356BA"/>
    <w:rsid w:val="00435B54"/>
    <w:rsid w:val="00436264"/>
    <w:rsid w:val="00437BD4"/>
    <w:rsid w:val="00441299"/>
    <w:rsid w:val="00444494"/>
    <w:rsid w:val="004445BE"/>
    <w:rsid w:val="004455BB"/>
    <w:rsid w:val="00446479"/>
    <w:rsid w:val="00450CA8"/>
    <w:rsid w:val="00453E92"/>
    <w:rsid w:val="0045574A"/>
    <w:rsid w:val="00455F95"/>
    <w:rsid w:val="00456D3B"/>
    <w:rsid w:val="004644EB"/>
    <w:rsid w:val="00465F46"/>
    <w:rsid w:val="0047019F"/>
    <w:rsid w:val="0047595F"/>
    <w:rsid w:val="004768DE"/>
    <w:rsid w:val="00476A37"/>
    <w:rsid w:val="00481D88"/>
    <w:rsid w:val="00491045"/>
    <w:rsid w:val="0049187F"/>
    <w:rsid w:val="00491E3A"/>
    <w:rsid w:val="00492142"/>
    <w:rsid w:val="00492D19"/>
    <w:rsid w:val="0049446F"/>
    <w:rsid w:val="00494571"/>
    <w:rsid w:val="0049578D"/>
    <w:rsid w:val="00496A1D"/>
    <w:rsid w:val="004A5908"/>
    <w:rsid w:val="004A65E4"/>
    <w:rsid w:val="004A76D5"/>
    <w:rsid w:val="004B0D50"/>
    <w:rsid w:val="004B3E6C"/>
    <w:rsid w:val="004C209B"/>
    <w:rsid w:val="004C4AED"/>
    <w:rsid w:val="004C6B2E"/>
    <w:rsid w:val="004D0511"/>
    <w:rsid w:val="004D1394"/>
    <w:rsid w:val="004D24D5"/>
    <w:rsid w:val="004D284F"/>
    <w:rsid w:val="004D2CE5"/>
    <w:rsid w:val="004D2D25"/>
    <w:rsid w:val="004D38DA"/>
    <w:rsid w:val="004D3D80"/>
    <w:rsid w:val="004D44D5"/>
    <w:rsid w:val="004D4E54"/>
    <w:rsid w:val="004D5E08"/>
    <w:rsid w:val="004D6F91"/>
    <w:rsid w:val="004D7840"/>
    <w:rsid w:val="004D7A29"/>
    <w:rsid w:val="004E34B2"/>
    <w:rsid w:val="004E3B11"/>
    <w:rsid w:val="004E5787"/>
    <w:rsid w:val="004E5E43"/>
    <w:rsid w:val="004E6547"/>
    <w:rsid w:val="004F1061"/>
    <w:rsid w:val="004F2AF9"/>
    <w:rsid w:val="004F44BE"/>
    <w:rsid w:val="004F531C"/>
    <w:rsid w:val="005001D7"/>
    <w:rsid w:val="00500AEB"/>
    <w:rsid w:val="005052DB"/>
    <w:rsid w:val="0051022D"/>
    <w:rsid w:val="00510BE0"/>
    <w:rsid w:val="00512A63"/>
    <w:rsid w:val="00513648"/>
    <w:rsid w:val="00515176"/>
    <w:rsid w:val="005203AB"/>
    <w:rsid w:val="00520A82"/>
    <w:rsid w:val="00523350"/>
    <w:rsid w:val="0052537E"/>
    <w:rsid w:val="00525407"/>
    <w:rsid w:val="00526F8A"/>
    <w:rsid w:val="005302B1"/>
    <w:rsid w:val="005308AC"/>
    <w:rsid w:val="005310C8"/>
    <w:rsid w:val="00532E15"/>
    <w:rsid w:val="00533F44"/>
    <w:rsid w:val="00534486"/>
    <w:rsid w:val="00535B05"/>
    <w:rsid w:val="00535B14"/>
    <w:rsid w:val="0054085B"/>
    <w:rsid w:val="00543B3F"/>
    <w:rsid w:val="00544A8D"/>
    <w:rsid w:val="005467C7"/>
    <w:rsid w:val="005477A5"/>
    <w:rsid w:val="00547B5F"/>
    <w:rsid w:val="005507DF"/>
    <w:rsid w:val="005531BC"/>
    <w:rsid w:val="0055476A"/>
    <w:rsid w:val="00554B22"/>
    <w:rsid w:val="00556358"/>
    <w:rsid w:val="00562D4E"/>
    <w:rsid w:val="00562E65"/>
    <w:rsid w:val="005631ED"/>
    <w:rsid w:val="005632AA"/>
    <w:rsid w:val="0056409C"/>
    <w:rsid w:val="005641A8"/>
    <w:rsid w:val="00564E8F"/>
    <w:rsid w:val="00565ADA"/>
    <w:rsid w:val="00567809"/>
    <w:rsid w:val="00570E77"/>
    <w:rsid w:val="00573C72"/>
    <w:rsid w:val="00574C95"/>
    <w:rsid w:val="00574FB3"/>
    <w:rsid w:val="00581246"/>
    <w:rsid w:val="00581C7E"/>
    <w:rsid w:val="00582449"/>
    <w:rsid w:val="00582FC4"/>
    <w:rsid w:val="00583F62"/>
    <w:rsid w:val="00584E26"/>
    <w:rsid w:val="0058520C"/>
    <w:rsid w:val="00587762"/>
    <w:rsid w:val="005916C9"/>
    <w:rsid w:val="00594E43"/>
    <w:rsid w:val="00597A7F"/>
    <w:rsid w:val="005A0B8C"/>
    <w:rsid w:val="005A1B74"/>
    <w:rsid w:val="005A4512"/>
    <w:rsid w:val="005B066D"/>
    <w:rsid w:val="005B0A43"/>
    <w:rsid w:val="005B0EA5"/>
    <w:rsid w:val="005B2FEC"/>
    <w:rsid w:val="005B7585"/>
    <w:rsid w:val="005B775D"/>
    <w:rsid w:val="005C3B2C"/>
    <w:rsid w:val="005C4A8E"/>
    <w:rsid w:val="005D2833"/>
    <w:rsid w:val="005D3EE3"/>
    <w:rsid w:val="005E0186"/>
    <w:rsid w:val="005E06C4"/>
    <w:rsid w:val="005E20D0"/>
    <w:rsid w:val="005E339C"/>
    <w:rsid w:val="005E3411"/>
    <w:rsid w:val="005E70E7"/>
    <w:rsid w:val="005E7923"/>
    <w:rsid w:val="005E7DAF"/>
    <w:rsid w:val="005F1247"/>
    <w:rsid w:val="005F2047"/>
    <w:rsid w:val="005F35C4"/>
    <w:rsid w:val="005F4FDE"/>
    <w:rsid w:val="005F6045"/>
    <w:rsid w:val="005F75A8"/>
    <w:rsid w:val="005F7C6F"/>
    <w:rsid w:val="0060170A"/>
    <w:rsid w:val="0060259C"/>
    <w:rsid w:val="0060349F"/>
    <w:rsid w:val="006053B6"/>
    <w:rsid w:val="00605766"/>
    <w:rsid w:val="00620070"/>
    <w:rsid w:val="00621C42"/>
    <w:rsid w:val="00622047"/>
    <w:rsid w:val="006220E0"/>
    <w:rsid w:val="006268A2"/>
    <w:rsid w:val="006273E6"/>
    <w:rsid w:val="00627B61"/>
    <w:rsid w:val="00627CD6"/>
    <w:rsid w:val="00627E80"/>
    <w:rsid w:val="0063072C"/>
    <w:rsid w:val="00631165"/>
    <w:rsid w:val="006339CA"/>
    <w:rsid w:val="006347AD"/>
    <w:rsid w:val="006347EE"/>
    <w:rsid w:val="00634BB1"/>
    <w:rsid w:val="0063542C"/>
    <w:rsid w:val="006404AD"/>
    <w:rsid w:val="00641577"/>
    <w:rsid w:val="00642D59"/>
    <w:rsid w:val="00643777"/>
    <w:rsid w:val="00650C48"/>
    <w:rsid w:val="0065300D"/>
    <w:rsid w:val="00654046"/>
    <w:rsid w:val="006574D6"/>
    <w:rsid w:val="006574E3"/>
    <w:rsid w:val="006604EA"/>
    <w:rsid w:val="00664690"/>
    <w:rsid w:val="00664C74"/>
    <w:rsid w:val="00666041"/>
    <w:rsid w:val="00671AC5"/>
    <w:rsid w:val="00671DEA"/>
    <w:rsid w:val="0067289D"/>
    <w:rsid w:val="006735A0"/>
    <w:rsid w:val="00673664"/>
    <w:rsid w:val="00674E9F"/>
    <w:rsid w:val="00676DB8"/>
    <w:rsid w:val="00677E3B"/>
    <w:rsid w:val="00683436"/>
    <w:rsid w:val="00683585"/>
    <w:rsid w:val="00683A22"/>
    <w:rsid w:val="006845FA"/>
    <w:rsid w:val="006863D5"/>
    <w:rsid w:val="006869AE"/>
    <w:rsid w:val="00692B5A"/>
    <w:rsid w:val="006941C5"/>
    <w:rsid w:val="00694D09"/>
    <w:rsid w:val="00697B78"/>
    <w:rsid w:val="006A7179"/>
    <w:rsid w:val="006B04FF"/>
    <w:rsid w:val="006B1F0D"/>
    <w:rsid w:val="006B4E03"/>
    <w:rsid w:val="006B5A98"/>
    <w:rsid w:val="006B66E3"/>
    <w:rsid w:val="006B6C22"/>
    <w:rsid w:val="006C097A"/>
    <w:rsid w:val="006C2992"/>
    <w:rsid w:val="006C3215"/>
    <w:rsid w:val="006C4724"/>
    <w:rsid w:val="006C5225"/>
    <w:rsid w:val="006C7DD0"/>
    <w:rsid w:val="006D0BE6"/>
    <w:rsid w:val="006D2130"/>
    <w:rsid w:val="006D2A19"/>
    <w:rsid w:val="006D3EE0"/>
    <w:rsid w:val="006D3F4D"/>
    <w:rsid w:val="006D5A72"/>
    <w:rsid w:val="006D629B"/>
    <w:rsid w:val="006D788A"/>
    <w:rsid w:val="006E1BA8"/>
    <w:rsid w:val="006E43B1"/>
    <w:rsid w:val="006E5424"/>
    <w:rsid w:val="006E59F0"/>
    <w:rsid w:val="006E5BFE"/>
    <w:rsid w:val="006E73D2"/>
    <w:rsid w:val="006F031B"/>
    <w:rsid w:val="006F0B11"/>
    <w:rsid w:val="006F3C68"/>
    <w:rsid w:val="006F417A"/>
    <w:rsid w:val="006F4507"/>
    <w:rsid w:val="006F57FC"/>
    <w:rsid w:val="006F64A0"/>
    <w:rsid w:val="007016D8"/>
    <w:rsid w:val="00704DBF"/>
    <w:rsid w:val="007050BA"/>
    <w:rsid w:val="00712105"/>
    <w:rsid w:val="00717A94"/>
    <w:rsid w:val="00722712"/>
    <w:rsid w:val="007232A5"/>
    <w:rsid w:val="00723569"/>
    <w:rsid w:val="007242CB"/>
    <w:rsid w:val="0072474B"/>
    <w:rsid w:val="00724D19"/>
    <w:rsid w:val="00726B3B"/>
    <w:rsid w:val="00726B86"/>
    <w:rsid w:val="00726F5A"/>
    <w:rsid w:val="00730789"/>
    <w:rsid w:val="00732580"/>
    <w:rsid w:val="00732B6F"/>
    <w:rsid w:val="00732C0C"/>
    <w:rsid w:val="007353F9"/>
    <w:rsid w:val="007356F1"/>
    <w:rsid w:val="007405AA"/>
    <w:rsid w:val="00743499"/>
    <w:rsid w:val="00750A27"/>
    <w:rsid w:val="00750BB6"/>
    <w:rsid w:val="0075253A"/>
    <w:rsid w:val="00754E19"/>
    <w:rsid w:val="00755AA9"/>
    <w:rsid w:val="007578AB"/>
    <w:rsid w:val="00761F42"/>
    <w:rsid w:val="00763715"/>
    <w:rsid w:val="0076675A"/>
    <w:rsid w:val="0077135B"/>
    <w:rsid w:val="00771D95"/>
    <w:rsid w:val="007728FB"/>
    <w:rsid w:val="007733DC"/>
    <w:rsid w:val="00775F55"/>
    <w:rsid w:val="007778CF"/>
    <w:rsid w:val="00777DAC"/>
    <w:rsid w:val="00780FBA"/>
    <w:rsid w:val="0078157F"/>
    <w:rsid w:val="007822FB"/>
    <w:rsid w:val="007833CB"/>
    <w:rsid w:val="00784CF9"/>
    <w:rsid w:val="00787F06"/>
    <w:rsid w:val="00790768"/>
    <w:rsid w:val="007A0E5C"/>
    <w:rsid w:val="007A1D39"/>
    <w:rsid w:val="007B108C"/>
    <w:rsid w:val="007B275D"/>
    <w:rsid w:val="007B303B"/>
    <w:rsid w:val="007B3B1C"/>
    <w:rsid w:val="007B5A50"/>
    <w:rsid w:val="007B5AA3"/>
    <w:rsid w:val="007B711F"/>
    <w:rsid w:val="007C0D4C"/>
    <w:rsid w:val="007C57A8"/>
    <w:rsid w:val="007C65AD"/>
    <w:rsid w:val="007D2528"/>
    <w:rsid w:val="007D2ABE"/>
    <w:rsid w:val="007D39AD"/>
    <w:rsid w:val="007D6A34"/>
    <w:rsid w:val="007D7791"/>
    <w:rsid w:val="007D7C74"/>
    <w:rsid w:val="007E2F29"/>
    <w:rsid w:val="007E32CB"/>
    <w:rsid w:val="007E48AD"/>
    <w:rsid w:val="007E4EDC"/>
    <w:rsid w:val="007E7499"/>
    <w:rsid w:val="007F11C8"/>
    <w:rsid w:val="007F1C02"/>
    <w:rsid w:val="007F2E45"/>
    <w:rsid w:val="007F308C"/>
    <w:rsid w:val="007F31DE"/>
    <w:rsid w:val="007F4051"/>
    <w:rsid w:val="007F426B"/>
    <w:rsid w:val="007F4A9D"/>
    <w:rsid w:val="0080036E"/>
    <w:rsid w:val="008033ED"/>
    <w:rsid w:val="00805980"/>
    <w:rsid w:val="008077F7"/>
    <w:rsid w:val="00810794"/>
    <w:rsid w:val="00811421"/>
    <w:rsid w:val="008116A7"/>
    <w:rsid w:val="00812477"/>
    <w:rsid w:val="00813221"/>
    <w:rsid w:val="00814189"/>
    <w:rsid w:val="00814DEB"/>
    <w:rsid w:val="00815A94"/>
    <w:rsid w:val="008161FC"/>
    <w:rsid w:val="008208A7"/>
    <w:rsid w:val="00824CB2"/>
    <w:rsid w:val="008268F9"/>
    <w:rsid w:val="008273FA"/>
    <w:rsid w:val="00830472"/>
    <w:rsid w:val="00832D34"/>
    <w:rsid w:val="008330F5"/>
    <w:rsid w:val="008333D8"/>
    <w:rsid w:val="008349BD"/>
    <w:rsid w:val="00836768"/>
    <w:rsid w:val="00836849"/>
    <w:rsid w:val="00841DE5"/>
    <w:rsid w:val="00842D0D"/>
    <w:rsid w:val="00844BE5"/>
    <w:rsid w:val="0084519D"/>
    <w:rsid w:val="00852D38"/>
    <w:rsid w:val="00853117"/>
    <w:rsid w:val="00854D69"/>
    <w:rsid w:val="00855278"/>
    <w:rsid w:val="00856CB2"/>
    <w:rsid w:val="008576D4"/>
    <w:rsid w:val="00861527"/>
    <w:rsid w:val="00862B47"/>
    <w:rsid w:val="00862C1A"/>
    <w:rsid w:val="008630DF"/>
    <w:rsid w:val="008651F9"/>
    <w:rsid w:val="00865D59"/>
    <w:rsid w:val="00870284"/>
    <w:rsid w:val="00871BA3"/>
    <w:rsid w:val="00872328"/>
    <w:rsid w:val="00874315"/>
    <w:rsid w:val="008745DA"/>
    <w:rsid w:val="0087462B"/>
    <w:rsid w:val="008763B3"/>
    <w:rsid w:val="008765DE"/>
    <w:rsid w:val="008847CD"/>
    <w:rsid w:val="00887463"/>
    <w:rsid w:val="00891B24"/>
    <w:rsid w:val="008A302A"/>
    <w:rsid w:val="008A3EEE"/>
    <w:rsid w:val="008A51D9"/>
    <w:rsid w:val="008A708E"/>
    <w:rsid w:val="008A77E3"/>
    <w:rsid w:val="008B001D"/>
    <w:rsid w:val="008B1045"/>
    <w:rsid w:val="008B17F4"/>
    <w:rsid w:val="008B29A5"/>
    <w:rsid w:val="008B3C53"/>
    <w:rsid w:val="008B3D16"/>
    <w:rsid w:val="008B5D77"/>
    <w:rsid w:val="008C114C"/>
    <w:rsid w:val="008C27D7"/>
    <w:rsid w:val="008C27DA"/>
    <w:rsid w:val="008C28BA"/>
    <w:rsid w:val="008C3FAE"/>
    <w:rsid w:val="008C522A"/>
    <w:rsid w:val="008D1E0A"/>
    <w:rsid w:val="008D25AD"/>
    <w:rsid w:val="008D3115"/>
    <w:rsid w:val="008D60AB"/>
    <w:rsid w:val="008D6691"/>
    <w:rsid w:val="008D799D"/>
    <w:rsid w:val="008E0DF1"/>
    <w:rsid w:val="008E1154"/>
    <w:rsid w:val="008E20B8"/>
    <w:rsid w:val="008E3142"/>
    <w:rsid w:val="008E4C37"/>
    <w:rsid w:val="008E5DA7"/>
    <w:rsid w:val="008E6AF9"/>
    <w:rsid w:val="008E722E"/>
    <w:rsid w:val="008E7E86"/>
    <w:rsid w:val="008F2130"/>
    <w:rsid w:val="008F4CCF"/>
    <w:rsid w:val="00900450"/>
    <w:rsid w:val="00900919"/>
    <w:rsid w:val="00903256"/>
    <w:rsid w:val="0090619B"/>
    <w:rsid w:val="00906CBF"/>
    <w:rsid w:val="009110D1"/>
    <w:rsid w:val="009128F0"/>
    <w:rsid w:val="00913200"/>
    <w:rsid w:val="00915F8D"/>
    <w:rsid w:val="00916EDD"/>
    <w:rsid w:val="00917ADE"/>
    <w:rsid w:val="00917DBD"/>
    <w:rsid w:val="00917F42"/>
    <w:rsid w:val="009230E2"/>
    <w:rsid w:val="00930029"/>
    <w:rsid w:val="00930425"/>
    <w:rsid w:val="0093112A"/>
    <w:rsid w:val="009324E9"/>
    <w:rsid w:val="00933199"/>
    <w:rsid w:val="00934D6E"/>
    <w:rsid w:val="00935F13"/>
    <w:rsid w:val="00936354"/>
    <w:rsid w:val="00936C5C"/>
    <w:rsid w:val="009376A0"/>
    <w:rsid w:val="00940811"/>
    <w:rsid w:val="00942F13"/>
    <w:rsid w:val="0094600E"/>
    <w:rsid w:val="00951D67"/>
    <w:rsid w:val="009552A5"/>
    <w:rsid w:val="00957DB9"/>
    <w:rsid w:val="0096165D"/>
    <w:rsid w:val="009648C0"/>
    <w:rsid w:val="00965082"/>
    <w:rsid w:val="00967053"/>
    <w:rsid w:val="00971EB5"/>
    <w:rsid w:val="00973C62"/>
    <w:rsid w:val="009742BF"/>
    <w:rsid w:val="00976707"/>
    <w:rsid w:val="0097697E"/>
    <w:rsid w:val="00976F99"/>
    <w:rsid w:val="009814B1"/>
    <w:rsid w:val="0098532A"/>
    <w:rsid w:val="00986A5A"/>
    <w:rsid w:val="00986E50"/>
    <w:rsid w:val="00990C9A"/>
    <w:rsid w:val="00991713"/>
    <w:rsid w:val="00993784"/>
    <w:rsid w:val="00993EDE"/>
    <w:rsid w:val="009949CD"/>
    <w:rsid w:val="0099555F"/>
    <w:rsid w:val="009955EE"/>
    <w:rsid w:val="00995ABD"/>
    <w:rsid w:val="00996EAC"/>
    <w:rsid w:val="009971A0"/>
    <w:rsid w:val="009A04BC"/>
    <w:rsid w:val="009A1954"/>
    <w:rsid w:val="009A1A7D"/>
    <w:rsid w:val="009A23B7"/>
    <w:rsid w:val="009A7C87"/>
    <w:rsid w:val="009B0A8E"/>
    <w:rsid w:val="009B1E91"/>
    <w:rsid w:val="009B2917"/>
    <w:rsid w:val="009B299F"/>
    <w:rsid w:val="009B2E41"/>
    <w:rsid w:val="009B5FBE"/>
    <w:rsid w:val="009B676D"/>
    <w:rsid w:val="009C03E6"/>
    <w:rsid w:val="009C2A17"/>
    <w:rsid w:val="009C2A6F"/>
    <w:rsid w:val="009C40F0"/>
    <w:rsid w:val="009D1532"/>
    <w:rsid w:val="009D2281"/>
    <w:rsid w:val="009D4D95"/>
    <w:rsid w:val="009E1606"/>
    <w:rsid w:val="009E1E8C"/>
    <w:rsid w:val="009E22E6"/>
    <w:rsid w:val="009E28B2"/>
    <w:rsid w:val="009E314A"/>
    <w:rsid w:val="009E63ED"/>
    <w:rsid w:val="009E67A1"/>
    <w:rsid w:val="009E6DC7"/>
    <w:rsid w:val="009E7DFB"/>
    <w:rsid w:val="009F0F43"/>
    <w:rsid w:val="009F5CF3"/>
    <w:rsid w:val="00A0100F"/>
    <w:rsid w:val="00A014DA"/>
    <w:rsid w:val="00A03ABC"/>
    <w:rsid w:val="00A05041"/>
    <w:rsid w:val="00A0770B"/>
    <w:rsid w:val="00A078BF"/>
    <w:rsid w:val="00A100F0"/>
    <w:rsid w:val="00A154A0"/>
    <w:rsid w:val="00A201EF"/>
    <w:rsid w:val="00A215F6"/>
    <w:rsid w:val="00A21C52"/>
    <w:rsid w:val="00A23060"/>
    <w:rsid w:val="00A236B3"/>
    <w:rsid w:val="00A25FCD"/>
    <w:rsid w:val="00A2684C"/>
    <w:rsid w:val="00A27F3A"/>
    <w:rsid w:val="00A330BA"/>
    <w:rsid w:val="00A347CB"/>
    <w:rsid w:val="00A34D95"/>
    <w:rsid w:val="00A35519"/>
    <w:rsid w:val="00A361B2"/>
    <w:rsid w:val="00A4099F"/>
    <w:rsid w:val="00A40E7A"/>
    <w:rsid w:val="00A42AAB"/>
    <w:rsid w:val="00A43E73"/>
    <w:rsid w:val="00A44626"/>
    <w:rsid w:val="00A44FA2"/>
    <w:rsid w:val="00A460E2"/>
    <w:rsid w:val="00A46840"/>
    <w:rsid w:val="00A46D40"/>
    <w:rsid w:val="00A47EFE"/>
    <w:rsid w:val="00A47FF6"/>
    <w:rsid w:val="00A50394"/>
    <w:rsid w:val="00A50D8E"/>
    <w:rsid w:val="00A52E7E"/>
    <w:rsid w:val="00A5794D"/>
    <w:rsid w:val="00A61662"/>
    <w:rsid w:val="00A618B0"/>
    <w:rsid w:val="00A71685"/>
    <w:rsid w:val="00A72FD5"/>
    <w:rsid w:val="00A742D2"/>
    <w:rsid w:val="00A74DFC"/>
    <w:rsid w:val="00A750E9"/>
    <w:rsid w:val="00A77178"/>
    <w:rsid w:val="00A7777A"/>
    <w:rsid w:val="00A80603"/>
    <w:rsid w:val="00A84A18"/>
    <w:rsid w:val="00A87143"/>
    <w:rsid w:val="00A879C0"/>
    <w:rsid w:val="00A87CC1"/>
    <w:rsid w:val="00A919AB"/>
    <w:rsid w:val="00A95771"/>
    <w:rsid w:val="00A96044"/>
    <w:rsid w:val="00A9793D"/>
    <w:rsid w:val="00AA07E3"/>
    <w:rsid w:val="00AA0FC2"/>
    <w:rsid w:val="00AA12CA"/>
    <w:rsid w:val="00AA2694"/>
    <w:rsid w:val="00AA27C8"/>
    <w:rsid w:val="00AA544E"/>
    <w:rsid w:val="00AA6FB6"/>
    <w:rsid w:val="00AB0D53"/>
    <w:rsid w:val="00AB16DA"/>
    <w:rsid w:val="00AB319E"/>
    <w:rsid w:val="00AB36CF"/>
    <w:rsid w:val="00AB3C17"/>
    <w:rsid w:val="00AB4172"/>
    <w:rsid w:val="00AB5D37"/>
    <w:rsid w:val="00AC320B"/>
    <w:rsid w:val="00AC3478"/>
    <w:rsid w:val="00AC3CAE"/>
    <w:rsid w:val="00AC61E2"/>
    <w:rsid w:val="00AC67D3"/>
    <w:rsid w:val="00AC6A97"/>
    <w:rsid w:val="00AC6C51"/>
    <w:rsid w:val="00AD1342"/>
    <w:rsid w:val="00AD1760"/>
    <w:rsid w:val="00AD210E"/>
    <w:rsid w:val="00AD3767"/>
    <w:rsid w:val="00AD5358"/>
    <w:rsid w:val="00AD7649"/>
    <w:rsid w:val="00AD7ADD"/>
    <w:rsid w:val="00AE090B"/>
    <w:rsid w:val="00AE0C2D"/>
    <w:rsid w:val="00AE0EB0"/>
    <w:rsid w:val="00AE3388"/>
    <w:rsid w:val="00AE3BBE"/>
    <w:rsid w:val="00AE51B1"/>
    <w:rsid w:val="00AE7C01"/>
    <w:rsid w:val="00AF006C"/>
    <w:rsid w:val="00AF045C"/>
    <w:rsid w:val="00AF05BA"/>
    <w:rsid w:val="00AF1347"/>
    <w:rsid w:val="00AF1A26"/>
    <w:rsid w:val="00AF26DD"/>
    <w:rsid w:val="00AF28FD"/>
    <w:rsid w:val="00AF2C0F"/>
    <w:rsid w:val="00AF35E5"/>
    <w:rsid w:val="00AF47F9"/>
    <w:rsid w:val="00AF4932"/>
    <w:rsid w:val="00AF4D25"/>
    <w:rsid w:val="00AF5617"/>
    <w:rsid w:val="00B01601"/>
    <w:rsid w:val="00B0180D"/>
    <w:rsid w:val="00B02763"/>
    <w:rsid w:val="00B11119"/>
    <w:rsid w:val="00B14182"/>
    <w:rsid w:val="00B15DE3"/>
    <w:rsid w:val="00B242AA"/>
    <w:rsid w:val="00B2538A"/>
    <w:rsid w:val="00B319E0"/>
    <w:rsid w:val="00B32249"/>
    <w:rsid w:val="00B3492C"/>
    <w:rsid w:val="00B3590E"/>
    <w:rsid w:val="00B36320"/>
    <w:rsid w:val="00B37654"/>
    <w:rsid w:val="00B40DA1"/>
    <w:rsid w:val="00B46004"/>
    <w:rsid w:val="00B4629A"/>
    <w:rsid w:val="00B50EE0"/>
    <w:rsid w:val="00B55990"/>
    <w:rsid w:val="00B60AF4"/>
    <w:rsid w:val="00B62757"/>
    <w:rsid w:val="00B62869"/>
    <w:rsid w:val="00B65B79"/>
    <w:rsid w:val="00B67A28"/>
    <w:rsid w:val="00B7076F"/>
    <w:rsid w:val="00B71664"/>
    <w:rsid w:val="00B71887"/>
    <w:rsid w:val="00B71EC8"/>
    <w:rsid w:val="00B722EF"/>
    <w:rsid w:val="00B7333D"/>
    <w:rsid w:val="00B742D0"/>
    <w:rsid w:val="00B817B1"/>
    <w:rsid w:val="00B81EA3"/>
    <w:rsid w:val="00B86BDD"/>
    <w:rsid w:val="00B86C44"/>
    <w:rsid w:val="00B86D18"/>
    <w:rsid w:val="00B87C38"/>
    <w:rsid w:val="00B90347"/>
    <w:rsid w:val="00B91B1E"/>
    <w:rsid w:val="00B925D2"/>
    <w:rsid w:val="00B94A47"/>
    <w:rsid w:val="00B94A6B"/>
    <w:rsid w:val="00B97C79"/>
    <w:rsid w:val="00BA0CC8"/>
    <w:rsid w:val="00BA170C"/>
    <w:rsid w:val="00BA1B5F"/>
    <w:rsid w:val="00BA1E44"/>
    <w:rsid w:val="00BA3214"/>
    <w:rsid w:val="00BA41B5"/>
    <w:rsid w:val="00BA498D"/>
    <w:rsid w:val="00BA6852"/>
    <w:rsid w:val="00BA74CA"/>
    <w:rsid w:val="00BB123F"/>
    <w:rsid w:val="00BB43EC"/>
    <w:rsid w:val="00BB4CCF"/>
    <w:rsid w:val="00BB67B2"/>
    <w:rsid w:val="00BC021C"/>
    <w:rsid w:val="00BC1B80"/>
    <w:rsid w:val="00BC2CBC"/>
    <w:rsid w:val="00BC3B5C"/>
    <w:rsid w:val="00BC53D9"/>
    <w:rsid w:val="00BC6861"/>
    <w:rsid w:val="00BD05D1"/>
    <w:rsid w:val="00BD0B0E"/>
    <w:rsid w:val="00BD167E"/>
    <w:rsid w:val="00BD2561"/>
    <w:rsid w:val="00BD2637"/>
    <w:rsid w:val="00BD2C9A"/>
    <w:rsid w:val="00BD4BF4"/>
    <w:rsid w:val="00BD54FF"/>
    <w:rsid w:val="00BD5A2B"/>
    <w:rsid w:val="00BE1514"/>
    <w:rsid w:val="00BE2210"/>
    <w:rsid w:val="00BE323B"/>
    <w:rsid w:val="00BE3A86"/>
    <w:rsid w:val="00BE3D27"/>
    <w:rsid w:val="00BE3F08"/>
    <w:rsid w:val="00BE58F9"/>
    <w:rsid w:val="00BF052F"/>
    <w:rsid w:val="00BF06B4"/>
    <w:rsid w:val="00BF15F6"/>
    <w:rsid w:val="00BF4FF8"/>
    <w:rsid w:val="00BF5EBB"/>
    <w:rsid w:val="00BF6B5B"/>
    <w:rsid w:val="00BF6BA1"/>
    <w:rsid w:val="00BF7867"/>
    <w:rsid w:val="00C00668"/>
    <w:rsid w:val="00C020FA"/>
    <w:rsid w:val="00C03935"/>
    <w:rsid w:val="00C05F06"/>
    <w:rsid w:val="00C11255"/>
    <w:rsid w:val="00C152E8"/>
    <w:rsid w:val="00C2049A"/>
    <w:rsid w:val="00C204DE"/>
    <w:rsid w:val="00C214C1"/>
    <w:rsid w:val="00C2543B"/>
    <w:rsid w:val="00C26381"/>
    <w:rsid w:val="00C30EE1"/>
    <w:rsid w:val="00C32256"/>
    <w:rsid w:val="00C34C6E"/>
    <w:rsid w:val="00C37918"/>
    <w:rsid w:val="00C40B58"/>
    <w:rsid w:val="00C40CBC"/>
    <w:rsid w:val="00C46B59"/>
    <w:rsid w:val="00C47D95"/>
    <w:rsid w:val="00C5006F"/>
    <w:rsid w:val="00C511EF"/>
    <w:rsid w:val="00C53573"/>
    <w:rsid w:val="00C54ED3"/>
    <w:rsid w:val="00C5584F"/>
    <w:rsid w:val="00C5654C"/>
    <w:rsid w:val="00C56555"/>
    <w:rsid w:val="00C60082"/>
    <w:rsid w:val="00C60B7F"/>
    <w:rsid w:val="00C610C3"/>
    <w:rsid w:val="00C629A9"/>
    <w:rsid w:val="00C70019"/>
    <w:rsid w:val="00C74328"/>
    <w:rsid w:val="00C743C2"/>
    <w:rsid w:val="00C74693"/>
    <w:rsid w:val="00C74C78"/>
    <w:rsid w:val="00C821E5"/>
    <w:rsid w:val="00C9104F"/>
    <w:rsid w:val="00C92F2A"/>
    <w:rsid w:val="00C9408E"/>
    <w:rsid w:val="00CA270F"/>
    <w:rsid w:val="00CA554E"/>
    <w:rsid w:val="00CA69A3"/>
    <w:rsid w:val="00CB4BB7"/>
    <w:rsid w:val="00CB4C80"/>
    <w:rsid w:val="00CB645E"/>
    <w:rsid w:val="00CB7A7D"/>
    <w:rsid w:val="00CB7FD7"/>
    <w:rsid w:val="00CC06BE"/>
    <w:rsid w:val="00CC0DBB"/>
    <w:rsid w:val="00CC1D31"/>
    <w:rsid w:val="00CC2B62"/>
    <w:rsid w:val="00CC4B76"/>
    <w:rsid w:val="00CC4BC2"/>
    <w:rsid w:val="00CC5A2C"/>
    <w:rsid w:val="00CC6B87"/>
    <w:rsid w:val="00CC736C"/>
    <w:rsid w:val="00CD0242"/>
    <w:rsid w:val="00CD1C26"/>
    <w:rsid w:val="00CD1D19"/>
    <w:rsid w:val="00CD2F35"/>
    <w:rsid w:val="00CD5351"/>
    <w:rsid w:val="00CD56D2"/>
    <w:rsid w:val="00CD6C88"/>
    <w:rsid w:val="00CD6EFC"/>
    <w:rsid w:val="00CE276E"/>
    <w:rsid w:val="00CE450F"/>
    <w:rsid w:val="00CF18A0"/>
    <w:rsid w:val="00CF1FD6"/>
    <w:rsid w:val="00CF2EA0"/>
    <w:rsid w:val="00CF2FAD"/>
    <w:rsid w:val="00CF4345"/>
    <w:rsid w:val="00CF6F1B"/>
    <w:rsid w:val="00D04BB0"/>
    <w:rsid w:val="00D11855"/>
    <w:rsid w:val="00D12597"/>
    <w:rsid w:val="00D131CC"/>
    <w:rsid w:val="00D13C31"/>
    <w:rsid w:val="00D1448F"/>
    <w:rsid w:val="00D159BE"/>
    <w:rsid w:val="00D17E46"/>
    <w:rsid w:val="00D22D12"/>
    <w:rsid w:val="00D235CC"/>
    <w:rsid w:val="00D2633B"/>
    <w:rsid w:val="00D26C1E"/>
    <w:rsid w:val="00D26C21"/>
    <w:rsid w:val="00D325D1"/>
    <w:rsid w:val="00D32D4E"/>
    <w:rsid w:val="00D336E0"/>
    <w:rsid w:val="00D43F50"/>
    <w:rsid w:val="00D50626"/>
    <w:rsid w:val="00D60DCA"/>
    <w:rsid w:val="00D622DA"/>
    <w:rsid w:val="00D6301F"/>
    <w:rsid w:val="00D640B7"/>
    <w:rsid w:val="00D655E5"/>
    <w:rsid w:val="00D65B92"/>
    <w:rsid w:val="00D67631"/>
    <w:rsid w:val="00D70D75"/>
    <w:rsid w:val="00D7181B"/>
    <w:rsid w:val="00D72C12"/>
    <w:rsid w:val="00D751F7"/>
    <w:rsid w:val="00D759C6"/>
    <w:rsid w:val="00D75B61"/>
    <w:rsid w:val="00D774B8"/>
    <w:rsid w:val="00D800C5"/>
    <w:rsid w:val="00D81B09"/>
    <w:rsid w:val="00D83825"/>
    <w:rsid w:val="00D83A27"/>
    <w:rsid w:val="00D84024"/>
    <w:rsid w:val="00D925AE"/>
    <w:rsid w:val="00D95A0F"/>
    <w:rsid w:val="00DA35E1"/>
    <w:rsid w:val="00DA623F"/>
    <w:rsid w:val="00DA6A70"/>
    <w:rsid w:val="00DB7E84"/>
    <w:rsid w:val="00DC0168"/>
    <w:rsid w:val="00DC03BB"/>
    <w:rsid w:val="00DC3C9A"/>
    <w:rsid w:val="00DC4FC3"/>
    <w:rsid w:val="00DC669A"/>
    <w:rsid w:val="00DC74E9"/>
    <w:rsid w:val="00DD5E1F"/>
    <w:rsid w:val="00DD638A"/>
    <w:rsid w:val="00DD73C1"/>
    <w:rsid w:val="00DD7697"/>
    <w:rsid w:val="00DE1FEB"/>
    <w:rsid w:val="00DE4223"/>
    <w:rsid w:val="00DE4DAD"/>
    <w:rsid w:val="00DE52A4"/>
    <w:rsid w:val="00DF3D7C"/>
    <w:rsid w:val="00DF5DE6"/>
    <w:rsid w:val="00DF654A"/>
    <w:rsid w:val="00DF782D"/>
    <w:rsid w:val="00DF79CC"/>
    <w:rsid w:val="00E000F4"/>
    <w:rsid w:val="00E0333D"/>
    <w:rsid w:val="00E060B0"/>
    <w:rsid w:val="00E10345"/>
    <w:rsid w:val="00E10819"/>
    <w:rsid w:val="00E10943"/>
    <w:rsid w:val="00E10C0E"/>
    <w:rsid w:val="00E11762"/>
    <w:rsid w:val="00E11E20"/>
    <w:rsid w:val="00E140BF"/>
    <w:rsid w:val="00E15CAE"/>
    <w:rsid w:val="00E16BC6"/>
    <w:rsid w:val="00E1774B"/>
    <w:rsid w:val="00E20DF8"/>
    <w:rsid w:val="00E23FA1"/>
    <w:rsid w:val="00E25E8F"/>
    <w:rsid w:val="00E27656"/>
    <w:rsid w:val="00E308B8"/>
    <w:rsid w:val="00E32D03"/>
    <w:rsid w:val="00E332E1"/>
    <w:rsid w:val="00E347C1"/>
    <w:rsid w:val="00E34E2B"/>
    <w:rsid w:val="00E3761A"/>
    <w:rsid w:val="00E4124D"/>
    <w:rsid w:val="00E4259C"/>
    <w:rsid w:val="00E44353"/>
    <w:rsid w:val="00E45413"/>
    <w:rsid w:val="00E45F5E"/>
    <w:rsid w:val="00E47D66"/>
    <w:rsid w:val="00E52A48"/>
    <w:rsid w:val="00E57993"/>
    <w:rsid w:val="00E60500"/>
    <w:rsid w:val="00E60824"/>
    <w:rsid w:val="00E613A5"/>
    <w:rsid w:val="00E62D50"/>
    <w:rsid w:val="00E63295"/>
    <w:rsid w:val="00E64324"/>
    <w:rsid w:val="00E6505B"/>
    <w:rsid w:val="00E66927"/>
    <w:rsid w:val="00E670EF"/>
    <w:rsid w:val="00E671C3"/>
    <w:rsid w:val="00E71E47"/>
    <w:rsid w:val="00E74074"/>
    <w:rsid w:val="00E7553E"/>
    <w:rsid w:val="00E76DAD"/>
    <w:rsid w:val="00E76ECF"/>
    <w:rsid w:val="00E80CA5"/>
    <w:rsid w:val="00E822E5"/>
    <w:rsid w:val="00E83B14"/>
    <w:rsid w:val="00E85564"/>
    <w:rsid w:val="00E855E3"/>
    <w:rsid w:val="00E8776B"/>
    <w:rsid w:val="00E877ED"/>
    <w:rsid w:val="00E87A00"/>
    <w:rsid w:val="00E87DD8"/>
    <w:rsid w:val="00E87F1E"/>
    <w:rsid w:val="00E91831"/>
    <w:rsid w:val="00E929E6"/>
    <w:rsid w:val="00E93CB4"/>
    <w:rsid w:val="00E94B6B"/>
    <w:rsid w:val="00E964AD"/>
    <w:rsid w:val="00EA155E"/>
    <w:rsid w:val="00EA1734"/>
    <w:rsid w:val="00EA1D7B"/>
    <w:rsid w:val="00EA440D"/>
    <w:rsid w:val="00EA4842"/>
    <w:rsid w:val="00EA725B"/>
    <w:rsid w:val="00EB4615"/>
    <w:rsid w:val="00EB54C1"/>
    <w:rsid w:val="00EB7F04"/>
    <w:rsid w:val="00EC0B53"/>
    <w:rsid w:val="00EC17AE"/>
    <w:rsid w:val="00EC1824"/>
    <w:rsid w:val="00EC2691"/>
    <w:rsid w:val="00EC2D3C"/>
    <w:rsid w:val="00EC32C9"/>
    <w:rsid w:val="00EC73B3"/>
    <w:rsid w:val="00ED0B92"/>
    <w:rsid w:val="00ED0C09"/>
    <w:rsid w:val="00ED66BC"/>
    <w:rsid w:val="00EE03EE"/>
    <w:rsid w:val="00EE42AF"/>
    <w:rsid w:val="00EE5403"/>
    <w:rsid w:val="00EE5D52"/>
    <w:rsid w:val="00EF043B"/>
    <w:rsid w:val="00EF0EC5"/>
    <w:rsid w:val="00EF237E"/>
    <w:rsid w:val="00EF23DF"/>
    <w:rsid w:val="00EF2575"/>
    <w:rsid w:val="00EF3198"/>
    <w:rsid w:val="00EF603D"/>
    <w:rsid w:val="00F02809"/>
    <w:rsid w:val="00F031D9"/>
    <w:rsid w:val="00F0776F"/>
    <w:rsid w:val="00F0780D"/>
    <w:rsid w:val="00F16C65"/>
    <w:rsid w:val="00F16D65"/>
    <w:rsid w:val="00F17B83"/>
    <w:rsid w:val="00F20244"/>
    <w:rsid w:val="00F20790"/>
    <w:rsid w:val="00F21E1F"/>
    <w:rsid w:val="00F2351B"/>
    <w:rsid w:val="00F25EA2"/>
    <w:rsid w:val="00F26A49"/>
    <w:rsid w:val="00F30415"/>
    <w:rsid w:val="00F32B29"/>
    <w:rsid w:val="00F33B28"/>
    <w:rsid w:val="00F37581"/>
    <w:rsid w:val="00F41597"/>
    <w:rsid w:val="00F4296D"/>
    <w:rsid w:val="00F45E61"/>
    <w:rsid w:val="00F46396"/>
    <w:rsid w:val="00F4742D"/>
    <w:rsid w:val="00F53B8A"/>
    <w:rsid w:val="00F53FDC"/>
    <w:rsid w:val="00F55118"/>
    <w:rsid w:val="00F551AD"/>
    <w:rsid w:val="00F55C53"/>
    <w:rsid w:val="00F56E8C"/>
    <w:rsid w:val="00F61308"/>
    <w:rsid w:val="00F61547"/>
    <w:rsid w:val="00F619F6"/>
    <w:rsid w:val="00F625A9"/>
    <w:rsid w:val="00F673F0"/>
    <w:rsid w:val="00F7163B"/>
    <w:rsid w:val="00F721F0"/>
    <w:rsid w:val="00F7326C"/>
    <w:rsid w:val="00F73827"/>
    <w:rsid w:val="00F7476C"/>
    <w:rsid w:val="00F76612"/>
    <w:rsid w:val="00F76D5B"/>
    <w:rsid w:val="00F778DE"/>
    <w:rsid w:val="00F8327E"/>
    <w:rsid w:val="00F83300"/>
    <w:rsid w:val="00F868B9"/>
    <w:rsid w:val="00F8796D"/>
    <w:rsid w:val="00F912B1"/>
    <w:rsid w:val="00F91942"/>
    <w:rsid w:val="00F91969"/>
    <w:rsid w:val="00F924C7"/>
    <w:rsid w:val="00F93B0E"/>
    <w:rsid w:val="00F93BEE"/>
    <w:rsid w:val="00F948D4"/>
    <w:rsid w:val="00F94A49"/>
    <w:rsid w:val="00F96890"/>
    <w:rsid w:val="00F97147"/>
    <w:rsid w:val="00FA0AF2"/>
    <w:rsid w:val="00FA1473"/>
    <w:rsid w:val="00FA6626"/>
    <w:rsid w:val="00FB033D"/>
    <w:rsid w:val="00FB0DAB"/>
    <w:rsid w:val="00FB3AE9"/>
    <w:rsid w:val="00FB6A4B"/>
    <w:rsid w:val="00FB6CD0"/>
    <w:rsid w:val="00FB79C9"/>
    <w:rsid w:val="00FC0076"/>
    <w:rsid w:val="00FC1156"/>
    <w:rsid w:val="00FC2989"/>
    <w:rsid w:val="00FC342C"/>
    <w:rsid w:val="00FD13E3"/>
    <w:rsid w:val="00FD5516"/>
    <w:rsid w:val="00FD6D44"/>
    <w:rsid w:val="00FD72D9"/>
    <w:rsid w:val="00FD7366"/>
    <w:rsid w:val="00FD77F9"/>
    <w:rsid w:val="00FE359C"/>
    <w:rsid w:val="00FE7C65"/>
    <w:rsid w:val="00FE7F17"/>
    <w:rsid w:val="00FF08AD"/>
    <w:rsid w:val="00FF2267"/>
    <w:rsid w:val="00FF4009"/>
    <w:rsid w:val="00FF49EB"/>
    <w:rsid w:val="00FF7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customStyle="1" w:styleId="Body1">
    <w:name w:val="Body1"/>
    <w:basedOn w:val="Normal"/>
    <w:rsid w:val="00C11255"/>
    <w:pPr>
      <w:ind w:left="720"/>
    </w:pPr>
  </w:style>
  <w:style w:type="paragraph" w:customStyle="1" w:styleId="Body2">
    <w:name w:val="Body2"/>
    <w:basedOn w:val="Normal"/>
    <w:rsid w:val="00C11255"/>
    <w:pPr>
      <w:ind w:left="1440"/>
    </w:pPr>
  </w:style>
  <w:style w:type="paragraph" w:customStyle="1" w:styleId="Body3">
    <w:name w:val="Body3"/>
    <w:basedOn w:val="Normal"/>
    <w:rsid w:val="00C11255"/>
    <w:pPr>
      <w:ind w:left="2404"/>
    </w:pPr>
  </w:style>
  <w:style w:type="paragraph" w:customStyle="1" w:styleId="Body4">
    <w:name w:val="Body4"/>
    <w:basedOn w:val="Normal"/>
    <w:rsid w:val="00C11255"/>
    <w:pPr>
      <w:ind w:left="3617"/>
    </w:pPr>
  </w:style>
  <w:style w:type="paragraph" w:customStyle="1" w:styleId="Body5">
    <w:name w:val="Body5"/>
    <w:basedOn w:val="Normal"/>
    <w:rsid w:val="00C11255"/>
    <w:pPr>
      <w:ind w:left="4349"/>
    </w:pPr>
  </w:style>
  <w:style w:type="paragraph" w:styleId="BodyTextIndent">
    <w:name w:val="Body Text Indent"/>
    <w:basedOn w:val="Normal"/>
    <w:rsid w:val="00C11255"/>
    <w:pPr>
      <w:ind w:left="709"/>
    </w:pPr>
  </w:style>
  <w:style w:type="paragraph" w:customStyle="1" w:styleId="Body6">
    <w:name w:val="Body6"/>
    <w:basedOn w:val="Normal"/>
    <w:rsid w:val="00C11255"/>
    <w:pPr>
      <w:ind w:left="5058"/>
    </w:pPr>
  </w:style>
  <w:style w:type="paragraph" w:customStyle="1" w:styleId="Body7">
    <w:name w:val="Body7"/>
    <w:basedOn w:val="Normal"/>
    <w:rsid w:val="00C11255"/>
    <w:pPr>
      <w:ind w:left="5761"/>
    </w:pPr>
  </w:style>
  <w:style w:type="paragraph" w:customStyle="1" w:styleId="Body8">
    <w:name w:val="Body8"/>
    <w:basedOn w:val="Normal"/>
    <w:rsid w:val="00C11255"/>
    <w:pPr>
      <w:ind w:left="6447"/>
    </w:pPr>
  </w:style>
  <w:style w:type="paragraph" w:customStyle="1" w:styleId="Body9">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customStyle="1" w:styleId="DocSpace">
    <w:name w:val="DocSpace"/>
    <w:basedOn w:val="Normal"/>
    <w:rsid w:val="00C11255"/>
  </w:style>
  <w:style w:type="paragraph" w:customStyle="1" w:styleId="SchTitle">
    <w:name w:val="Sch Title"/>
    <w:next w:val="Normal"/>
    <w:rsid w:val="00C11255"/>
    <w:pPr>
      <w:keepNext/>
      <w:spacing w:before="240" w:after="60"/>
      <w:jc w:val="center"/>
    </w:pPr>
    <w:rPr>
      <w:rFonts w:ascii="Arial" w:hAnsi="Arial"/>
      <w:b/>
      <w:noProof/>
      <w:lang w:eastAsia="en-US"/>
    </w:rPr>
  </w:style>
  <w:style w:type="paragraph" w:customStyle="1" w:styleId="SchedClauses">
    <w:name w:val="Sched Clauses"/>
    <w:basedOn w:val="Normal"/>
    <w:rsid w:val="00C11255"/>
  </w:style>
  <w:style w:type="paragraph" w:customStyle="1" w:styleId="STBody">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customStyle="1" w:styleId="SingleSpace">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34"/>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customStyle="1" w:styleId="Default">
    <w:name w:val="Default"/>
    <w:rsid w:val="005E70E7"/>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customStyle="1" w:styleId="CommentTextChar">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customStyle="1" w:styleId="CommentSubjectChar">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customStyle="1" w:styleId="FootnoteTextChar">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customStyle="1" w:styleId="NICEnormalChar">
    <w:name w:val="NICE normal Char"/>
    <w:basedOn w:val="DefaultParagraphFont"/>
    <w:link w:val="NICEnormal"/>
    <w:locked/>
    <w:rsid w:val="00B94A47"/>
    <w:rPr>
      <w:rFonts w:ascii="Arial" w:hAnsi="Arial" w:cs="Arial"/>
      <w:lang w:eastAsia="en-US"/>
    </w:rPr>
  </w:style>
  <w:style w:type="paragraph" w:customStyle="1" w:styleId="NICEnormal">
    <w:name w:val="NICE normal"/>
    <w:basedOn w:val="Normal"/>
    <w:link w:val="NICEnormalChar"/>
    <w:rsid w:val="00B94A47"/>
    <w:pPr>
      <w:spacing w:after="240" w:line="360" w:lineRule="auto"/>
    </w:pPr>
    <w:rPr>
      <w:rFonts w:cs="Arial"/>
      <w:color w:val="auto"/>
    </w:rPr>
  </w:style>
  <w:style w:type="character" w:customStyle="1" w:styleId="HeaderChar">
    <w:name w:val="Header Char"/>
    <w:basedOn w:val="DefaultParagraphFont"/>
    <w:link w:val="Header"/>
    <w:uiPriority w:val="99"/>
    <w:rsid w:val="00491045"/>
    <w:rPr>
      <w:rFonts w:ascii="Arial" w:hAnsi="Arial"/>
      <w:color w:val="333333"/>
      <w:lang w:eastAsia="en-US"/>
    </w:rPr>
  </w:style>
  <w:style w:type="paragraph" w:customStyle="1" w:styleId="StyleParagraph11pt">
    <w:name w:val="Style Paragraph + 11 pt"/>
    <w:basedOn w:val="Normal"/>
    <w:link w:val="StyleParagraph11ptChar"/>
    <w:rsid w:val="00D75B61"/>
    <w:pPr>
      <w:spacing w:before="240" w:after="240" w:line="276" w:lineRule="auto"/>
      <w:jc w:val="both"/>
    </w:pPr>
    <w:rPr>
      <w:color w:val="auto"/>
      <w:sz w:val="22"/>
      <w:szCs w:val="24"/>
      <w:lang w:eastAsia="en-GB"/>
    </w:rPr>
  </w:style>
  <w:style w:type="character" w:customStyle="1" w:styleId="StyleParagraph11ptChar">
    <w:name w:val="Style Paragraph + 11 pt Char"/>
    <w:basedOn w:val="DefaultParagraphFont"/>
    <w:link w:val="StyleParagraph11pt"/>
    <w:rsid w:val="00D75B61"/>
    <w:rPr>
      <w:rFonts w:ascii="Arial" w:hAnsi="Arial"/>
      <w:sz w:val="22"/>
      <w:szCs w:val="24"/>
    </w:rPr>
  </w:style>
  <w:style w:type="paragraph" w:customStyle="1" w:styleId="StyleParagraph11ptBoldAfter0pt">
    <w:name w:val="Style Paragraph + 11 pt Bold After:  0 pt"/>
    <w:basedOn w:val="Normal"/>
    <w:rsid w:val="009B1E91"/>
    <w:pPr>
      <w:spacing w:before="240" w:after="0" w:line="276" w:lineRule="auto"/>
      <w:jc w:val="both"/>
    </w:pPr>
    <w:rPr>
      <w:b/>
      <w:bCs/>
      <w:color w:val="auto"/>
      <w:sz w:val="22"/>
      <w:lang w:eastAsia="en-GB"/>
    </w:rPr>
  </w:style>
  <w:style w:type="character" w:customStyle="1" w:styleId="ui-provider">
    <w:name w:val="ui-provider"/>
    <w:basedOn w:val="DefaultParagraphFont"/>
    <w:rsid w:val="009B1E91"/>
  </w:style>
  <w:style w:type="character" w:styleId="UnresolvedMention">
    <w:name w:val="Unresolved Mention"/>
    <w:basedOn w:val="DefaultParagraphFont"/>
    <w:uiPriority w:val="99"/>
    <w:semiHidden/>
    <w:unhideWhenUsed/>
    <w:rsid w:val="00EC1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227155949">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632056513">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28437425">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gid-ta10936/documents/assessment-report" TargetMode="External"/><Relationship Id="rId2" Type="http://schemas.openxmlformats.org/officeDocument/2006/relationships/hyperlink" Target="https://www.nice.org.uk/guidance/gid-ta10936/documents/supporting-documentation" TargetMode="External"/><Relationship Id="rId1" Type="http://schemas.openxmlformats.org/officeDocument/2006/relationships/hyperlink" Target="https://www.nice.org.uk/process/pmg36/resources/nice-health-technology-evaluations-the-manual-pdf-72286779244741" TargetMode="External"/><Relationship Id="rId4" Type="http://schemas.openxmlformats.org/officeDocument/2006/relationships/hyperlink" Target="https://www.nice.org.uk/guidance/gid-tag507/documents/appeal-deci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 A c t i v e 1 ! 1 4 9 4 4 4 2 0 2 . 2 < / d o c u m e n t i d >  
     < s e n d e r i d > A X Y S < / s e n d e r i d >  
     < s e n d e r e m a i l > A X S M I T H @ D A C B E A C H C R O F T . C O M < / s e n d e r e m a i l >  
     < l a s t m o d i f i e d > 2 0 2 3 - 0 3 - 1 3 T 1 7 : 1 3 : 0 0 . 0 0 0 0 0 0 0 + 0 0 : 0 0 < / l a s t m o d i f i e d >  
     < d a t a b a s e > A c t i v e 1 < / d a t a b a s e >  
 < / p r o p e r t i e s > 
</file>

<file path=customXml/itemProps1.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customXml/itemProps2.xml><?xml version="1.0" encoding="utf-8"?>
<ds:datastoreItem xmlns:ds="http://schemas.openxmlformats.org/officeDocument/2006/customXml" ds:itemID="{0518CC16-61F7-4B3F-ACC0-4B0D9C96A4E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4553</Words>
  <Characters>24090</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Titmus, Scott</dc:creator>
  <cp:lastModifiedBy>Emma Gordon</cp:lastModifiedBy>
  <cp:revision>8</cp:revision>
  <cp:lastPrinted>2023-03-14T10:16:00Z</cp:lastPrinted>
  <dcterms:created xsi:type="dcterms:W3CDTF">2023-03-13T16:52:00Z</dcterms:created>
  <dcterms:modified xsi:type="dcterms:W3CDTF">2023-04-21T10:37:00Z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2023-03-14T10:14:46Z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0714e905-d1ca-486f-b1fb-897fe0ccb640</vt:lpwstr>
  </property>
  <property fmtid="{D5CDD505-2E9C-101B-9397-08002B2CF9AE}" pid="8" name="MSIP_Label_c69d85d5-6d9e-4305-a294-1f636ec0f2d6_ContentBits">
    <vt:lpwstr>0</vt:lpwstr>
  </property>
</Properties>
</file>