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E601" w14:textId="77777777" w:rsidR="00E75203" w:rsidRPr="00D57FBF" w:rsidRDefault="00F84BDA" w:rsidP="00D57FBF">
      <w:pPr>
        <w:spacing w:after="0" w:line="240" w:lineRule="auto"/>
        <w:jc w:val="center"/>
        <w:rPr>
          <w:rFonts w:ascii="Arial" w:hAnsi="Arial" w:cs="Arial"/>
          <w:b/>
          <w:sz w:val="24"/>
          <w:szCs w:val="24"/>
        </w:rPr>
      </w:pPr>
      <w:r w:rsidRPr="00D57FBF">
        <w:rPr>
          <w:rFonts w:ascii="Arial" w:hAnsi="Arial" w:cs="Arial"/>
          <w:b/>
          <w:sz w:val="24"/>
          <w:szCs w:val="24"/>
        </w:rPr>
        <w:t>Joint statement: NICE and SMC/HIS collaboration</w:t>
      </w:r>
    </w:p>
    <w:p w14:paraId="2F8A3290" w14:textId="77777777" w:rsidR="00E75203" w:rsidRPr="00D57FBF" w:rsidRDefault="00E75203" w:rsidP="00F84BDA">
      <w:pPr>
        <w:spacing w:after="0" w:line="240" w:lineRule="auto"/>
        <w:rPr>
          <w:rFonts w:ascii="Arial" w:hAnsi="Arial" w:cs="Arial"/>
          <w:b/>
          <w:sz w:val="24"/>
          <w:szCs w:val="24"/>
        </w:rPr>
      </w:pPr>
    </w:p>
    <w:p w14:paraId="55846716" w14:textId="426F6D11" w:rsidR="00F84BDA" w:rsidRPr="00D57FBF" w:rsidRDefault="00E75203" w:rsidP="00F84BDA">
      <w:pPr>
        <w:spacing w:after="0" w:line="240" w:lineRule="auto"/>
        <w:rPr>
          <w:rFonts w:ascii="Arial" w:hAnsi="Arial" w:cs="Arial"/>
          <w:b/>
          <w:sz w:val="24"/>
          <w:szCs w:val="24"/>
        </w:rPr>
      </w:pPr>
      <w:r w:rsidRPr="00D57FBF">
        <w:rPr>
          <w:rFonts w:ascii="Arial" w:hAnsi="Arial" w:cs="Arial"/>
          <w:b/>
          <w:sz w:val="24"/>
          <w:szCs w:val="24"/>
        </w:rPr>
        <w:t>NICE and SMC/HIS collaboration</w:t>
      </w:r>
      <w:r w:rsidR="00F84BDA" w:rsidRPr="00D57FBF">
        <w:rPr>
          <w:rFonts w:ascii="Arial" w:hAnsi="Arial" w:cs="Arial"/>
          <w:b/>
          <w:sz w:val="24"/>
          <w:szCs w:val="24"/>
        </w:rPr>
        <w:t xml:space="preserve"> on health technology appraisal of ivacaftor-tezacaftor-elexacaftor</w:t>
      </w:r>
      <w:r w:rsidR="001D540A" w:rsidRPr="00D57FBF">
        <w:rPr>
          <w:rFonts w:ascii="Arial" w:hAnsi="Arial" w:cs="Arial"/>
          <w:b/>
          <w:sz w:val="24"/>
          <w:szCs w:val="24"/>
        </w:rPr>
        <w:t xml:space="preserve"> (Kaftrio)</w:t>
      </w:r>
      <w:r w:rsidR="00F84BDA" w:rsidRPr="00D57FBF">
        <w:rPr>
          <w:rFonts w:ascii="Arial" w:hAnsi="Arial" w:cs="Arial"/>
          <w:b/>
          <w:sz w:val="24"/>
          <w:szCs w:val="24"/>
        </w:rPr>
        <w:t>, tezacaftor-ivacaftor</w:t>
      </w:r>
      <w:r w:rsidR="001D540A" w:rsidRPr="00D57FBF">
        <w:rPr>
          <w:rFonts w:ascii="Arial" w:hAnsi="Arial" w:cs="Arial"/>
          <w:b/>
          <w:sz w:val="24"/>
          <w:szCs w:val="24"/>
        </w:rPr>
        <w:t xml:space="preserve"> (Symkevi)</w:t>
      </w:r>
      <w:r w:rsidR="00F84BDA" w:rsidRPr="00D57FBF">
        <w:rPr>
          <w:rFonts w:ascii="Arial" w:hAnsi="Arial" w:cs="Arial"/>
          <w:b/>
          <w:sz w:val="24"/>
          <w:szCs w:val="24"/>
        </w:rPr>
        <w:t xml:space="preserve"> and lumacaftor-ivacaftor </w:t>
      </w:r>
      <w:r w:rsidR="001D540A" w:rsidRPr="00D57FBF">
        <w:rPr>
          <w:rFonts w:ascii="Arial" w:hAnsi="Arial" w:cs="Arial"/>
          <w:b/>
          <w:sz w:val="24"/>
          <w:szCs w:val="24"/>
        </w:rPr>
        <w:t xml:space="preserve">(Orkambi) </w:t>
      </w:r>
      <w:r w:rsidR="00F84BDA" w:rsidRPr="00D57FBF">
        <w:rPr>
          <w:rFonts w:ascii="Arial" w:hAnsi="Arial" w:cs="Arial"/>
          <w:b/>
          <w:sz w:val="24"/>
          <w:szCs w:val="24"/>
        </w:rPr>
        <w:t>for treating cystic fibrosis</w:t>
      </w:r>
    </w:p>
    <w:p w14:paraId="37AA9C0F" w14:textId="2731AC0A" w:rsidR="00631DC5" w:rsidRPr="00D57FBF" w:rsidRDefault="00631DC5" w:rsidP="00023788">
      <w:pPr>
        <w:rPr>
          <w:rFonts w:ascii="Arial" w:hAnsi="Arial" w:cs="Arial"/>
          <w:sz w:val="24"/>
          <w:szCs w:val="24"/>
        </w:rPr>
      </w:pPr>
    </w:p>
    <w:p w14:paraId="46CC5DC0" w14:textId="6329E2E3" w:rsidR="00580BFA" w:rsidRPr="00D57FBF" w:rsidRDefault="00580BFA" w:rsidP="00580BFA">
      <w:pPr>
        <w:rPr>
          <w:rFonts w:ascii="Arial" w:hAnsi="Arial" w:cs="Arial"/>
          <w:sz w:val="24"/>
          <w:szCs w:val="24"/>
        </w:rPr>
      </w:pPr>
      <w:r w:rsidRPr="00D57FBF">
        <w:rPr>
          <w:rFonts w:ascii="Arial" w:hAnsi="Arial" w:cs="Arial"/>
          <w:sz w:val="24"/>
          <w:szCs w:val="24"/>
        </w:rPr>
        <w:t>NHS England has an interim access agreement with Vertex Pharmaceuticals for Orkambi, Symkevi and Kaftrio, which includes collecting further data through an interim data collection agreement.</w:t>
      </w:r>
      <w:r w:rsidR="0089494E" w:rsidRPr="00D57FBF">
        <w:rPr>
          <w:rFonts w:ascii="Arial" w:hAnsi="Arial" w:cs="Arial"/>
          <w:sz w:val="24"/>
          <w:szCs w:val="24"/>
        </w:rPr>
        <w:t xml:space="preserve"> This comes to an end in 2023/4.</w:t>
      </w:r>
      <w:r w:rsidRPr="00D57FBF">
        <w:rPr>
          <w:rFonts w:ascii="Arial" w:hAnsi="Arial" w:cs="Arial"/>
          <w:sz w:val="24"/>
          <w:szCs w:val="24"/>
        </w:rPr>
        <w:t xml:space="preserve"> Scottish Government and Vertex </w:t>
      </w:r>
      <w:r w:rsidR="001D540A" w:rsidRPr="00D57FBF">
        <w:rPr>
          <w:rFonts w:ascii="Arial" w:hAnsi="Arial" w:cs="Arial"/>
          <w:sz w:val="24"/>
          <w:szCs w:val="24"/>
        </w:rPr>
        <w:t xml:space="preserve">Pharmaceuticals </w:t>
      </w:r>
      <w:r w:rsidR="008A1B4C" w:rsidRPr="00D57FBF">
        <w:rPr>
          <w:rFonts w:ascii="Arial" w:hAnsi="Arial" w:cs="Arial"/>
          <w:sz w:val="24"/>
          <w:szCs w:val="24"/>
        </w:rPr>
        <w:t>arranged</w:t>
      </w:r>
      <w:r w:rsidR="0089494E" w:rsidRPr="00D57FBF">
        <w:rPr>
          <w:rFonts w:ascii="Arial" w:hAnsi="Arial" w:cs="Arial"/>
          <w:sz w:val="24"/>
          <w:szCs w:val="24"/>
        </w:rPr>
        <w:t xml:space="preserve"> a </w:t>
      </w:r>
      <w:r w:rsidRPr="00D57FBF">
        <w:rPr>
          <w:rFonts w:ascii="Arial" w:hAnsi="Arial" w:cs="Arial"/>
          <w:sz w:val="24"/>
          <w:szCs w:val="24"/>
        </w:rPr>
        <w:t>pricing agreement for the supply of Orkambi, Symkevi and Kaftrio</w:t>
      </w:r>
      <w:r w:rsidR="00AB2A1E" w:rsidRPr="00D57FBF">
        <w:rPr>
          <w:rFonts w:ascii="Arial" w:hAnsi="Arial" w:cs="Arial"/>
          <w:sz w:val="24"/>
          <w:szCs w:val="24"/>
        </w:rPr>
        <w:t xml:space="preserve"> </w:t>
      </w:r>
      <w:r w:rsidR="0089494E" w:rsidRPr="00D57FBF">
        <w:rPr>
          <w:rFonts w:ascii="Arial" w:hAnsi="Arial" w:cs="Arial"/>
          <w:sz w:val="24"/>
          <w:szCs w:val="24"/>
          <w:shd w:val="clear" w:color="auto" w:fill="FFFFFF"/>
        </w:rPr>
        <w:t xml:space="preserve">for NHS Scotland, which also includes </w:t>
      </w:r>
      <w:r w:rsidRPr="00D57FBF">
        <w:rPr>
          <w:rFonts w:ascii="Arial" w:hAnsi="Arial" w:cs="Arial"/>
          <w:sz w:val="24"/>
          <w:szCs w:val="24"/>
          <w:shd w:val="clear" w:color="auto" w:fill="FFFFFF"/>
        </w:rPr>
        <w:t xml:space="preserve">data collection. </w:t>
      </w:r>
      <w:r w:rsidR="00AB2A1E" w:rsidRPr="00D57FBF">
        <w:rPr>
          <w:rFonts w:ascii="Arial" w:hAnsi="Arial" w:cs="Arial"/>
          <w:sz w:val="24"/>
          <w:szCs w:val="24"/>
          <w:shd w:val="clear" w:color="auto" w:fill="FFFFFF"/>
        </w:rPr>
        <w:t xml:space="preserve">This comes to an end in 2024. Both data collection exercises are through </w:t>
      </w:r>
      <w:r w:rsidR="001D540A" w:rsidRPr="00D57FBF">
        <w:rPr>
          <w:rFonts w:ascii="Arial" w:hAnsi="Arial" w:cs="Arial"/>
          <w:sz w:val="24"/>
          <w:szCs w:val="24"/>
          <w:shd w:val="clear" w:color="auto" w:fill="FFFFFF"/>
        </w:rPr>
        <w:t xml:space="preserve">the </w:t>
      </w:r>
      <w:r w:rsidR="00AB2A1E" w:rsidRPr="00D57FBF">
        <w:rPr>
          <w:rFonts w:ascii="Arial" w:hAnsi="Arial" w:cs="Arial"/>
          <w:sz w:val="24"/>
          <w:szCs w:val="24"/>
          <w:shd w:val="clear" w:color="auto" w:fill="FFFFFF"/>
        </w:rPr>
        <w:t xml:space="preserve">UK </w:t>
      </w:r>
      <w:r w:rsidR="001D540A" w:rsidRPr="00D57FBF">
        <w:rPr>
          <w:rFonts w:ascii="Arial" w:hAnsi="Arial" w:cs="Arial"/>
          <w:sz w:val="24"/>
          <w:szCs w:val="24"/>
          <w:shd w:val="clear" w:color="auto" w:fill="FFFFFF"/>
        </w:rPr>
        <w:t xml:space="preserve">Cystic Fibrosis </w:t>
      </w:r>
      <w:r w:rsidR="00F92133" w:rsidRPr="00D57FBF">
        <w:rPr>
          <w:rFonts w:ascii="Arial" w:hAnsi="Arial" w:cs="Arial"/>
          <w:sz w:val="24"/>
          <w:szCs w:val="24"/>
          <w:shd w:val="clear" w:color="auto" w:fill="FFFFFF"/>
        </w:rPr>
        <w:t>registry.</w:t>
      </w:r>
    </w:p>
    <w:p w14:paraId="669403F1" w14:textId="54B8D78B" w:rsidR="00023788" w:rsidRPr="00D57FBF" w:rsidRDefault="003560F6" w:rsidP="003560F6">
      <w:pPr>
        <w:pStyle w:val="Default"/>
      </w:pPr>
      <w:r w:rsidRPr="00D57FBF">
        <w:t xml:space="preserve">NICE has commenced </w:t>
      </w:r>
      <w:r w:rsidR="00834BCD" w:rsidRPr="00D57FBF">
        <w:t>a multiple technology appraisal (</w:t>
      </w:r>
      <w:r w:rsidR="00F84BDA" w:rsidRPr="00D57FBF">
        <w:t>MTA</w:t>
      </w:r>
      <w:r w:rsidR="00834BCD" w:rsidRPr="00D57FBF">
        <w:t>)</w:t>
      </w:r>
      <w:r w:rsidR="00F84BDA" w:rsidRPr="00D57FBF">
        <w:t xml:space="preserve"> </w:t>
      </w:r>
      <w:r w:rsidR="006A6A2D" w:rsidRPr="00D57FBF">
        <w:t xml:space="preserve">of </w:t>
      </w:r>
      <w:r w:rsidR="00F84BDA" w:rsidRPr="00D57FBF">
        <w:t>ivacaftor-tezacaftor-elexacaftor, tezacaftor-ivacaftor and lumacaftor-ivacaftor for treating cystic fibrosis</w:t>
      </w:r>
      <w:r w:rsidR="00023788" w:rsidRPr="00D57FBF">
        <w:t>.</w:t>
      </w:r>
      <w:r w:rsidRPr="00D57FBF">
        <w:t xml:space="preserve"> </w:t>
      </w:r>
      <w:r w:rsidR="00F92133" w:rsidRPr="00D57FBF">
        <w:rPr>
          <w:shd w:val="clear" w:color="auto" w:fill="FFFFFF"/>
        </w:rPr>
        <w:t xml:space="preserve">Given </w:t>
      </w:r>
      <w:r w:rsidR="00375566" w:rsidRPr="00D57FBF">
        <w:rPr>
          <w:shd w:val="clear" w:color="auto" w:fill="FFFFFF"/>
        </w:rPr>
        <w:t xml:space="preserve">similar </w:t>
      </w:r>
      <w:r w:rsidR="00F92133" w:rsidRPr="00D57FBF">
        <w:rPr>
          <w:shd w:val="clear" w:color="auto" w:fill="FFFFFF"/>
        </w:rPr>
        <w:t>circumstances</w:t>
      </w:r>
      <w:r w:rsidR="00375566" w:rsidRPr="00D57FBF">
        <w:rPr>
          <w:shd w:val="clear" w:color="auto" w:fill="FFFFFF"/>
        </w:rPr>
        <w:t xml:space="preserve"> regarding access arrangements and data collection to date</w:t>
      </w:r>
      <w:r w:rsidR="001D540A" w:rsidRPr="00D57FBF">
        <w:rPr>
          <w:shd w:val="clear" w:color="auto" w:fill="FFFFFF"/>
        </w:rPr>
        <w:t>,</w:t>
      </w:r>
      <w:r w:rsidR="00F92133" w:rsidRPr="00D57FBF">
        <w:rPr>
          <w:shd w:val="clear" w:color="auto" w:fill="FFFFFF"/>
        </w:rPr>
        <w:t xml:space="preserve"> NICE and SMC have agreed to collaborate on the MTA</w:t>
      </w:r>
      <w:r w:rsidR="001D540A" w:rsidRPr="00D57FBF">
        <w:rPr>
          <w:shd w:val="clear" w:color="auto" w:fill="FFFFFF"/>
        </w:rPr>
        <w:t xml:space="preserve">, which will </w:t>
      </w:r>
      <w:r w:rsidRPr="00D57FBF">
        <w:t xml:space="preserve">ensure alignment of guidance on these therapies across </w:t>
      </w:r>
      <w:r w:rsidR="008A1B4C" w:rsidRPr="00D57FBF">
        <w:t>England and Scotland</w:t>
      </w:r>
      <w:r w:rsidRPr="00D57FBF">
        <w:t xml:space="preserve">. </w:t>
      </w:r>
    </w:p>
    <w:p w14:paraId="57682FE2" w14:textId="77777777" w:rsidR="00816B9F" w:rsidRPr="00D57FBF" w:rsidRDefault="00816B9F" w:rsidP="00816B9F">
      <w:pPr>
        <w:pStyle w:val="Default"/>
      </w:pPr>
    </w:p>
    <w:p w14:paraId="5301CA31" w14:textId="1117E5B5" w:rsidR="001232FB" w:rsidRPr="00D57FBF" w:rsidRDefault="00F84BDA">
      <w:pPr>
        <w:rPr>
          <w:rFonts w:ascii="Arial" w:hAnsi="Arial" w:cs="Arial"/>
          <w:sz w:val="24"/>
          <w:szCs w:val="24"/>
        </w:rPr>
      </w:pPr>
      <w:r w:rsidRPr="00D57FBF">
        <w:rPr>
          <w:rFonts w:ascii="Arial" w:hAnsi="Arial" w:cs="Arial"/>
          <w:sz w:val="24"/>
          <w:szCs w:val="24"/>
        </w:rPr>
        <w:t xml:space="preserve">The SMC will input directly into the MTA so that the MTA guidance will also be relevant to the NHS in Scotland. </w:t>
      </w:r>
      <w:r w:rsidR="00E75203" w:rsidRPr="00D57FBF">
        <w:rPr>
          <w:rFonts w:ascii="Arial" w:hAnsi="Arial" w:cs="Arial"/>
          <w:sz w:val="24"/>
          <w:szCs w:val="24"/>
        </w:rPr>
        <w:t>B</w:t>
      </w:r>
      <w:r w:rsidRPr="00D57FBF">
        <w:rPr>
          <w:rFonts w:ascii="Arial" w:hAnsi="Arial" w:cs="Arial"/>
          <w:sz w:val="24"/>
          <w:szCs w:val="24"/>
        </w:rPr>
        <w:t>oth NICE and the SMC will produce separate guidance and advice documents, but the recommendations will be aligned. The usual obligations for complying with technology appraisal recommendations will apply to healthcare commissioners in England. In Scotland, the MTA advice will have the same status for health board consideration as other SMC advice on new medicines.</w:t>
      </w:r>
    </w:p>
    <w:p w14:paraId="5CD3FDDC" w14:textId="0A863DA8" w:rsidR="0089494E" w:rsidRPr="00D57FBF" w:rsidRDefault="0089494E">
      <w:pPr>
        <w:rPr>
          <w:rFonts w:ascii="Arial" w:hAnsi="Arial" w:cs="Arial"/>
          <w:sz w:val="24"/>
          <w:szCs w:val="24"/>
        </w:rPr>
      </w:pPr>
      <w:r w:rsidRPr="00D57FBF">
        <w:rPr>
          <w:rFonts w:ascii="Arial" w:hAnsi="Arial" w:cs="Arial"/>
          <w:sz w:val="24"/>
          <w:szCs w:val="24"/>
        </w:rPr>
        <w:t>While the MTA is underway</w:t>
      </w:r>
      <w:r w:rsidR="0014485B" w:rsidRPr="00D57FBF">
        <w:rPr>
          <w:rFonts w:ascii="Arial" w:hAnsi="Arial" w:cs="Arial"/>
          <w:sz w:val="24"/>
          <w:szCs w:val="24"/>
        </w:rPr>
        <w:t xml:space="preserve"> and until </w:t>
      </w:r>
      <w:r w:rsidR="005473DC" w:rsidRPr="00D57FBF">
        <w:rPr>
          <w:rFonts w:ascii="Arial" w:hAnsi="Arial" w:cs="Arial"/>
          <w:sz w:val="24"/>
          <w:szCs w:val="24"/>
        </w:rPr>
        <w:t xml:space="preserve">NICE </w:t>
      </w:r>
      <w:r w:rsidR="0014485B" w:rsidRPr="00D57FBF">
        <w:rPr>
          <w:rFonts w:ascii="Arial" w:hAnsi="Arial" w:cs="Arial"/>
          <w:sz w:val="24"/>
          <w:szCs w:val="24"/>
        </w:rPr>
        <w:t xml:space="preserve">final guidance </w:t>
      </w:r>
      <w:r w:rsidR="005473DC" w:rsidRPr="00D57FBF">
        <w:rPr>
          <w:rFonts w:ascii="Arial" w:hAnsi="Arial" w:cs="Arial"/>
          <w:sz w:val="24"/>
          <w:szCs w:val="24"/>
        </w:rPr>
        <w:t xml:space="preserve">and SMC advice </w:t>
      </w:r>
      <w:r w:rsidR="0014485B" w:rsidRPr="00D57FBF">
        <w:rPr>
          <w:rFonts w:ascii="Arial" w:hAnsi="Arial" w:cs="Arial"/>
          <w:sz w:val="24"/>
          <w:szCs w:val="24"/>
        </w:rPr>
        <w:t>is issued</w:t>
      </w:r>
      <w:r w:rsidRPr="00D57FBF">
        <w:rPr>
          <w:rFonts w:ascii="Arial" w:hAnsi="Arial" w:cs="Arial"/>
          <w:sz w:val="24"/>
          <w:szCs w:val="24"/>
        </w:rPr>
        <w:t xml:space="preserve"> the existing arrangements </w:t>
      </w:r>
      <w:r w:rsidR="008A1B4C" w:rsidRPr="00D57FBF">
        <w:rPr>
          <w:rFonts w:ascii="Arial" w:hAnsi="Arial" w:cs="Arial"/>
          <w:sz w:val="24"/>
          <w:szCs w:val="24"/>
        </w:rPr>
        <w:t xml:space="preserve">in England and Scotland </w:t>
      </w:r>
      <w:r w:rsidRPr="00D57FBF">
        <w:rPr>
          <w:rFonts w:ascii="Arial" w:hAnsi="Arial" w:cs="Arial"/>
          <w:sz w:val="24"/>
          <w:szCs w:val="24"/>
        </w:rPr>
        <w:t xml:space="preserve">for access </w:t>
      </w:r>
      <w:r w:rsidR="008A1B4C" w:rsidRPr="00D57FBF">
        <w:rPr>
          <w:rFonts w:ascii="Arial" w:hAnsi="Arial" w:cs="Arial"/>
          <w:sz w:val="24"/>
          <w:szCs w:val="24"/>
        </w:rPr>
        <w:t xml:space="preserve">to these medicines </w:t>
      </w:r>
      <w:r w:rsidRPr="00D57FBF">
        <w:rPr>
          <w:rFonts w:ascii="Arial" w:hAnsi="Arial" w:cs="Arial"/>
          <w:sz w:val="24"/>
          <w:szCs w:val="24"/>
        </w:rPr>
        <w:t xml:space="preserve">will continue. </w:t>
      </w:r>
    </w:p>
    <w:p w14:paraId="06B69285" w14:textId="51AE7CEA" w:rsidR="00F84BDA" w:rsidRPr="00D57FBF" w:rsidRDefault="00F84BDA">
      <w:pPr>
        <w:rPr>
          <w:rFonts w:ascii="Arial" w:hAnsi="Arial" w:cs="Arial"/>
          <w:sz w:val="24"/>
          <w:szCs w:val="24"/>
        </w:rPr>
      </w:pPr>
      <w:r w:rsidRPr="00D57FBF">
        <w:rPr>
          <w:rFonts w:ascii="Arial" w:hAnsi="Arial" w:cs="Arial"/>
          <w:sz w:val="24"/>
          <w:szCs w:val="24"/>
        </w:rPr>
        <w:t xml:space="preserve">NICE and the SMC will continue to work together on any updates to this MTA guidance after publication. </w:t>
      </w:r>
    </w:p>
    <w:p w14:paraId="59E30717" w14:textId="61FBB9E8" w:rsidR="0089494E" w:rsidRPr="00D57FBF" w:rsidRDefault="0089494E">
      <w:pPr>
        <w:rPr>
          <w:rFonts w:ascii="Arial" w:hAnsi="Arial" w:cs="Arial"/>
          <w:sz w:val="24"/>
          <w:szCs w:val="24"/>
        </w:rPr>
      </w:pPr>
    </w:p>
    <w:sectPr w:rsidR="0089494E" w:rsidRPr="00D57F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FC28" w14:textId="77777777" w:rsidR="00D57FBF" w:rsidRDefault="00D57FBF" w:rsidP="00D57FBF">
      <w:pPr>
        <w:spacing w:after="0" w:line="240" w:lineRule="auto"/>
      </w:pPr>
      <w:r>
        <w:separator/>
      </w:r>
    </w:p>
  </w:endnote>
  <w:endnote w:type="continuationSeparator" w:id="0">
    <w:p w14:paraId="389EC2A3" w14:textId="77777777" w:rsidR="00D57FBF" w:rsidRDefault="00D57FBF" w:rsidP="00D5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BCDF" w14:textId="77777777" w:rsidR="00D57FBF" w:rsidRDefault="00D5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B9C7" w14:textId="03C5CB72" w:rsidR="00D57FBF" w:rsidRPr="00D57FBF" w:rsidRDefault="00D57FBF" w:rsidP="00D57FBF">
    <w:pPr>
      <w:spacing w:after="0" w:line="240" w:lineRule="auto"/>
      <w:rPr>
        <w:rFonts w:ascii="Arial" w:hAnsi="Arial" w:cs="Arial"/>
        <w:bCs/>
        <w:sz w:val="20"/>
        <w:szCs w:val="20"/>
      </w:rPr>
    </w:pPr>
    <w:r w:rsidRPr="00D57FBF">
      <w:rPr>
        <w:rFonts w:ascii="Arial" w:hAnsi="Arial" w:cs="Arial"/>
        <w:bCs/>
        <w:sz w:val="20"/>
        <w:szCs w:val="20"/>
      </w:rPr>
      <w:t>Joint statement: NICE and SMC/HIS collaboration</w:t>
    </w:r>
  </w:p>
  <w:p w14:paraId="6892C7E1" w14:textId="77777777" w:rsidR="00D57FBF" w:rsidRDefault="00D57FBF" w:rsidP="00D57FBF">
    <w:pPr>
      <w:spacing w:after="0" w:line="240" w:lineRule="auto"/>
      <w:rPr>
        <w:rFonts w:ascii="Arial" w:hAnsi="Arial" w:cs="Arial"/>
        <w:bCs/>
        <w:sz w:val="20"/>
        <w:szCs w:val="20"/>
      </w:rPr>
    </w:pPr>
    <w:r w:rsidRPr="00D57FBF">
      <w:rPr>
        <w:rFonts w:ascii="Arial" w:hAnsi="Arial" w:cs="Arial"/>
        <w:bCs/>
        <w:sz w:val="20"/>
        <w:szCs w:val="20"/>
      </w:rPr>
      <w:t>NICE and SMC/HIS collaboration on health technology appraisal of ivacaftor-tezacaftor-elexacaftor (Kaftrio), tezacaftor-ivacaftor (Symkevi) and lumacaftor-ivacaftor (Orkambi) for treating cystic fibrosis</w:t>
    </w:r>
  </w:p>
  <w:p w14:paraId="1CF9429A" w14:textId="77777777" w:rsidR="00D57FBF" w:rsidRDefault="00D57FBF" w:rsidP="00D57FBF">
    <w:pPr>
      <w:spacing w:after="0" w:line="240" w:lineRule="auto"/>
      <w:rPr>
        <w:rFonts w:ascii="Arial" w:hAnsi="Arial" w:cs="Arial"/>
        <w:bCs/>
        <w:sz w:val="20"/>
        <w:szCs w:val="20"/>
      </w:rPr>
    </w:pPr>
  </w:p>
  <w:p w14:paraId="4D6517C1" w14:textId="6E56674C" w:rsidR="00D57FBF" w:rsidRPr="00D57FBF" w:rsidRDefault="00D57FBF" w:rsidP="00D57FBF">
    <w:pPr>
      <w:spacing w:after="0" w:line="240" w:lineRule="auto"/>
      <w:rPr>
        <w:rFonts w:ascii="Arial" w:hAnsi="Arial" w:cs="Arial"/>
        <w:bCs/>
        <w:sz w:val="20"/>
        <w:szCs w:val="20"/>
      </w:rPr>
    </w:pPr>
    <w:r>
      <w:rPr>
        <w:rFonts w:ascii="Arial" w:hAnsi="Arial" w:cs="Arial"/>
        <w:bCs/>
        <w:sz w:val="20"/>
        <w:szCs w:val="20"/>
      </w:rPr>
      <w:t>Issue Date: August 2023</w:t>
    </w:r>
  </w:p>
  <w:p w14:paraId="44173CF6" w14:textId="77777777" w:rsidR="00D57FBF" w:rsidRDefault="00D57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B941" w14:textId="77777777" w:rsidR="00D57FBF" w:rsidRDefault="00D5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5E7F" w14:textId="77777777" w:rsidR="00D57FBF" w:rsidRDefault="00D57FBF" w:rsidP="00D57FBF">
      <w:pPr>
        <w:spacing w:after="0" w:line="240" w:lineRule="auto"/>
      </w:pPr>
      <w:r>
        <w:separator/>
      </w:r>
    </w:p>
  </w:footnote>
  <w:footnote w:type="continuationSeparator" w:id="0">
    <w:p w14:paraId="39F4BEF3" w14:textId="77777777" w:rsidR="00D57FBF" w:rsidRDefault="00D57FBF" w:rsidP="00D5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5891" w14:textId="77777777" w:rsidR="00D57FBF" w:rsidRDefault="00D57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3683" w14:textId="77777777" w:rsidR="00D57FBF" w:rsidRDefault="00D57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94F5" w14:textId="77777777" w:rsidR="00D57FBF" w:rsidRDefault="00D57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DA"/>
    <w:rsid w:val="00023788"/>
    <w:rsid w:val="001232FB"/>
    <w:rsid w:val="0014485B"/>
    <w:rsid w:val="001A1C5F"/>
    <w:rsid w:val="001D540A"/>
    <w:rsid w:val="00262331"/>
    <w:rsid w:val="003560F6"/>
    <w:rsid w:val="00375566"/>
    <w:rsid w:val="003A18D7"/>
    <w:rsid w:val="005473DC"/>
    <w:rsid w:val="00580BFA"/>
    <w:rsid w:val="00631DC5"/>
    <w:rsid w:val="006A6A2D"/>
    <w:rsid w:val="006D12A9"/>
    <w:rsid w:val="00736929"/>
    <w:rsid w:val="00816B9F"/>
    <w:rsid w:val="00834BCD"/>
    <w:rsid w:val="0089494E"/>
    <w:rsid w:val="008A1B4C"/>
    <w:rsid w:val="00A35AF1"/>
    <w:rsid w:val="00AB2A1E"/>
    <w:rsid w:val="00B6488C"/>
    <w:rsid w:val="00D118FC"/>
    <w:rsid w:val="00D57FBF"/>
    <w:rsid w:val="00E73809"/>
    <w:rsid w:val="00E75203"/>
    <w:rsid w:val="00ED4B59"/>
    <w:rsid w:val="00F84BDA"/>
    <w:rsid w:val="00F9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534E"/>
  <w15:chartTrackingRefBased/>
  <w15:docId w15:val="{6DCC2FC6-5F33-4504-9A28-C523FE17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BDA"/>
    <w:rPr>
      <w:rFonts w:ascii="Segoe UI" w:hAnsi="Segoe UI" w:cs="Segoe UI"/>
      <w:sz w:val="18"/>
      <w:szCs w:val="18"/>
    </w:rPr>
  </w:style>
  <w:style w:type="character" w:styleId="CommentReference">
    <w:name w:val="annotation reference"/>
    <w:basedOn w:val="DefaultParagraphFont"/>
    <w:uiPriority w:val="99"/>
    <w:semiHidden/>
    <w:unhideWhenUsed/>
    <w:rsid w:val="001A1C5F"/>
    <w:rPr>
      <w:sz w:val="16"/>
      <w:szCs w:val="16"/>
    </w:rPr>
  </w:style>
  <w:style w:type="paragraph" w:styleId="CommentText">
    <w:name w:val="annotation text"/>
    <w:basedOn w:val="Normal"/>
    <w:link w:val="CommentTextChar"/>
    <w:uiPriority w:val="99"/>
    <w:semiHidden/>
    <w:unhideWhenUsed/>
    <w:rsid w:val="001A1C5F"/>
    <w:pPr>
      <w:spacing w:line="240" w:lineRule="auto"/>
    </w:pPr>
    <w:rPr>
      <w:sz w:val="20"/>
      <w:szCs w:val="20"/>
    </w:rPr>
  </w:style>
  <w:style w:type="character" w:customStyle="1" w:styleId="CommentTextChar">
    <w:name w:val="Comment Text Char"/>
    <w:basedOn w:val="DefaultParagraphFont"/>
    <w:link w:val="CommentText"/>
    <w:uiPriority w:val="99"/>
    <w:semiHidden/>
    <w:rsid w:val="001A1C5F"/>
    <w:rPr>
      <w:sz w:val="20"/>
      <w:szCs w:val="20"/>
    </w:rPr>
  </w:style>
  <w:style w:type="paragraph" w:styleId="CommentSubject">
    <w:name w:val="annotation subject"/>
    <w:basedOn w:val="CommentText"/>
    <w:next w:val="CommentText"/>
    <w:link w:val="CommentSubjectChar"/>
    <w:uiPriority w:val="99"/>
    <w:semiHidden/>
    <w:unhideWhenUsed/>
    <w:rsid w:val="001A1C5F"/>
    <w:rPr>
      <w:b/>
      <w:bCs/>
    </w:rPr>
  </w:style>
  <w:style w:type="character" w:customStyle="1" w:styleId="CommentSubjectChar">
    <w:name w:val="Comment Subject Char"/>
    <w:basedOn w:val="CommentTextChar"/>
    <w:link w:val="CommentSubject"/>
    <w:uiPriority w:val="99"/>
    <w:semiHidden/>
    <w:rsid w:val="001A1C5F"/>
    <w:rPr>
      <w:b/>
      <w:bCs/>
      <w:sz w:val="20"/>
      <w:szCs w:val="20"/>
    </w:rPr>
  </w:style>
  <w:style w:type="paragraph" w:customStyle="1" w:styleId="Default">
    <w:name w:val="Default"/>
    <w:rsid w:val="00816B9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62331"/>
    <w:pPr>
      <w:spacing w:after="0" w:line="240" w:lineRule="auto"/>
    </w:pPr>
  </w:style>
  <w:style w:type="paragraph" w:styleId="Header">
    <w:name w:val="header"/>
    <w:basedOn w:val="Normal"/>
    <w:link w:val="HeaderChar"/>
    <w:uiPriority w:val="99"/>
    <w:unhideWhenUsed/>
    <w:rsid w:val="00D57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FBF"/>
  </w:style>
  <w:style w:type="paragraph" w:styleId="Footer">
    <w:name w:val="footer"/>
    <w:basedOn w:val="Normal"/>
    <w:link w:val="FooterChar"/>
    <w:uiPriority w:val="99"/>
    <w:unhideWhenUsed/>
    <w:rsid w:val="00D57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3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dc:description/>
  <cp:lastModifiedBy>Kate Moore</cp:lastModifiedBy>
  <cp:revision>3</cp:revision>
  <dcterms:created xsi:type="dcterms:W3CDTF">2023-08-04T09:31:00Z</dcterms:created>
  <dcterms:modified xsi:type="dcterms:W3CDTF">2023-08-04T09:34:00Z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2023-08-04T09:31:10Z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e5361989-6c91-4fc8-b411-42cff763cd39</vt:lpwstr>
  </property>
  <property fmtid="{D5CDD505-2E9C-101B-9397-08002B2CF9AE}" pid="8" name="MSIP_Label_c69d85d5-6d9e-4305-a294-1f636ec0f2d6_ContentBits">
    <vt:lpwstr>0</vt:lpwstr>
  </property>
</Properties>
</file>