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8694B" w14:textId="6946FEE7" w:rsidR="00C9475C" w:rsidRDefault="00C9475C" w:rsidP="00181A4A">
      <w:pPr>
        <w:pStyle w:val="Title"/>
      </w:pPr>
      <w:r>
        <w:t>HST checklist</w:t>
      </w:r>
    </w:p>
    <w:p w14:paraId="2A38D048" w14:textId="4FCCD74D" w:rsidR="00443081" w:rsidRDefault="00BC2283" w:rsidP="00181A4A">
      <w:pPr>
        <w:pStyle w:val="Title"/>
      </w:pPr>
      <w:r>
        <w:t>Burosumab for treating XLH in adults [ID3822]</w:t>
      </w:r>
    </w:p>
    <w:p w14:paraId="3E95E146" w14:textId="41DED5CF" w:rsidR="00C9475C" w:rsidRDefault="00C9475C" w:rsidP="00F90BB8">
      <w:pPr>
        <w:rPr>
          <w:rFonts w:ascii="Arial" w:hAnsi="Arial" w:cs="Arial"/>
        </w:rPr>
      </w:pPr>
      <w:r w:rsidRPr="00C9475C">
        <w:rPr>
          <w:rFonts w:ascii="Arial" w:hAnsi="Arial" w:cs="Arial"/>
          <w:b/>
          <w:bCs/>
        </w:rPr>
        <w:t xml:space="preserve">MA wording: </w:t>
      </w:r>
      <w:r w:rsidR="004B3C24" w:rsidRPr="00B933FB">
        <w:rPr>
          <w:rFonts w:ascii="Arial" w:hAnsi="Arial" w:cs="Arial"/>
        </w:rPr>
        <w:t>CRYSVITA is indicated for the treatment of X-linked hypophosphataemia, in children and adolescents aged 1 to 17 years with radiographic evidence of bone disease, and in adults.</w:t>
      </w:r>
    </w:p>
    <w:p w14:paraId="1CBD4104" w14:textId="2373EFA0" w:rsidR="001722BA" w:rsidRDefault="001722BA" w:rsidP="00F90BB8">
      <w:pPr>
        <w:rPr>
          <w:rFonts w:ascii="Arial" w:hAnsi="Arial" w:cs="Arial"/>
          <w:b/>
          <w:bCs/>
        </w:rPr>
      </w:pPr>
    </w:p>
    <w:tbl>
      <w:tblPr>
        <w:tblStyle w:val="TableGrid"/>
        <w:tblW w:w="0" w:type="auto"/>
        <w:tblInd w:w="421" w:type="dxa"/>
        <w:tblLook w:val="04A0" w:firstRow="1" w:lastRow="0" w:firstColumn="1" w:lastColumn="0" w:noHBand="0" w:noVBand="1"/>
      </w:tblPr>
      <w:tblGrid>
        <w:gridCol w:w="279"/>
        <w:gridCol w:w="3839"/>
      </w:tblGrid>
      <w:tr w:rsidR="001722BA" w:rsidRPr="007D268E" w14:paraId="5B2FA30B" w14:textId="77777777" w:rsidTr="000557FF">
        <w:trPr>
          <w:trHeight w:val="280"/>
        </w:trPr>
        <w:tc>
          <w:tcPr>
            <w:tcW w:w="279" w:type="dxa"/>
            <w:shd w:val="clear" w:color="auto" w:fill="92D050"/>
          </w:tcPr>
          <w:p w14:paraId="4A67C743" w14:textId="77777777" w:rsidR="001722BA" w:rsidRPr="007D268E" w:rsidRDefault="001722BA" w:rsidP="000557FF">
            <w:pPr>
              <w:spacing w:after="240" w:line="276" w:lineRule="auto"/>
              <w:rPr>
                <w:rFonts w:ascii="Arial" w:hAnsi="Arial"/>
              </w:rPr>
            </w:pPr>
          </w:p>
        </w:tc>
        <w:tc>
          <w:tcPr>
            <w:tcW w:w="3839" w:type="dxa"/>
          </w:tcPr>
          <w:p w14:paraId="0A5432DB" w14:textId="77777777" w:rsidR="001722BA" w:rsidRPr="007D268E" w:rsidRDefault="001722BA" w:rsidP="000557FF">
            <w:pPr>
              <w:spacing w:after="240" w:line="276" w:lineRule="auto"/>
              <w:rPr>
                <w:rFonts w:ascii="Arial" w:hAnsi="Arial"/>
              </w:rPr>
            </w:pPr>
            <w:r w:rsidRPr="007D268E">
              <w:rPr>
                <w:rFonts w:ascii="Arial" w:hAnsi="Arial"/>
              </w:rPr>
              <w:t>Criterion Met</w:t>
            </w:r>
          </w:p>
        </w:tc>
      </w:tr>
      <w:tr w:rsidR="001722BA" w:rsidRPr="007D268E" w14:paraId="7F938E54" w14:textId="77777777" w:rsidTr="000557FF">
        <w:trPr>
          <w:trHeight w:val="280"/>
        </w:trPr>
        <w:tc>
          <w:tcPr>
            <w:tcW w:w="279" w:type="dxa"/>
            <w:shd w:val="clear" w:color="auto" w:fill="FFC000"/>
          </w:tcPr>
          <w:p w14:paraId="4D8ED2A2" w14:textId="77777777" w:rsidR="001722BA" w:rsidRPr="007D268E" w:rsidRDefault="001722BA" w:rsidP="000557FF">
            <w:pPr>
              <w:spacing w:after="240" w:line="276" w:lineRule="auto"/>
              <w:rPr>
                <w:rFonts w:ascii="Arial" w:hAnsi="Arial"/>
              </w:rPr>
            </w:pPr>
          </w:p>
        </w:tc>
        <w:tc>
          <w:tcPr>
            <w:tcW w:w="3839" w:type="dxa"/>
          </w:tcPr>
          <w:p w14:paraId="7B33716E" w14:textId="77777777" w:rsidR="001722BA" w:rsidRPr="007D268E" w:rsidRDefault="001722BA" w:rsidP="000557FF">
            <w:pPr>
              <w:spacing w:after="240" w:line="276" w:lineRule="auto"/>
              <w:rPr>
                <w:rFonts w:ascii="Arial" w:hAnsi="Arial"/>
              </w:rPr>
            </w:pPr>
            <w:r w:rsidRPr="007D268E">
              <w:rPr>
                <w:rFonts w:ascii="Arial" w:hAnsi="Arial"/>
              </w:rPr>
              <w:t>Criterion partially met</w:t>
            </w:r>
          </w:p>
        </w:tc>
      </w:tr>
      <w:tr w:rsidR="001722BA" w:rsidRPr="007D268E" w14:paraId="006A3749" w14:textId="77777777" w:rsidTr="000557FF">
        <w:trPr>
          <w:trHeight w:val="343"/>
        </w:trPr>
        <w:tc>
          <w:tcPr>
            <w:tcW w:w="279" w:type="dxa"/>
            <w:shd w:val="clear" w:color="auto" w:fill="FF0000"/>
          </w:tcPr>
          <w:p w14:paraId="5AC83901" w14:textId="77777777" w:rsidR="001722BA" w:rsidRPr="007D268E" w:rsidRDefault="001722BA" w:rsidP="000557FF">
            <w:pPr>
              <w:spacing w:after="240" w:line="276" w:lineRule="auto"/>
              <w:rPr>
                <w:rFonts w:ascii="Arial" w:hAnsi="Arial"/>
              </w:rPr>
            </w:pPr>
          </w:p>
        </w:tc>
        <w:tc>
          <w:tcPr>
            <w:tcW w:w="3839" w:type="dxa"/>
          </w:tcPr>
          <w:p w14:paraId="4E3FCB61" w14:textId="77777777" w:rsidR="001722BA" w:rsidRPr="007D268E" w:rsidRDefault="001722BA" w:rsidP="000557FF">
            <w:pPr>
              <w:spacing w:after="240" w:line="276" w:lineRule="auto"/>
              <w:rPr>
                <w:rFonts w:ascii="Arial" w:hAnsi="Arial"/>
              </w:rPr>
            </w:pPr>
            <w:r w:rsidRPr="007D268E">
              <w:rPr>
                <w:rFonts w:ascii="Arial" w:hAnsi="Arial"/>
              </w:rPr>
              <w:t>Criterion not met</w:t>
            </w:r>
          </w:p>
        </w:tc>
      </w:tr>
    </w:tbl>
    <w:p w14:paraId="31BC974E" w14:textId="77777777" w:rsidR="001722BA" w:rsidRPr="00C9475C" w:rsidRDefault="001722BA" w:rsidP="00F90BB8">
      <w:pPr>
        <w:rPr>
          <w:rFonts w:ascii="Arial" w:hAnsi="Arial" w:cs="Arial"/>
          <w:b/>
          <w:bCs/>
        </w:rPr>
      </w:pPr>
    </w:p>
    <w:tbl>
      <w:tblPr>
        <w:tblpPr w:leftFromText="180" w:rightFromText="180" w:vertAnchor="text" w:horzAnchor="margin" w:tblpY="271"/>
        <w:tblW w:w="5000" w:type="pct"/>
        <w:tblCellMar>
          <w:left w:w="0" w:type="dxa"/>
          <w:right w:w="0" w:type="dxa"/>
        </w:tblCellMar>
        <w:tblLook w:val="04A0" w:firstRow="1" w:lastRow="0" w:firstColumn="1" w:lastColumn="0" w:noHBand="0" w:noVBand="1"/>
      </w:tblPr>
      <w:tblGrid>
        <w:gridCol w:w="2825"/>
        <w:gridCol w:w="4962"/>
        <w:gridCol w:w="1219"/>
      </w:tblGrid>
      <w:tr w:rsidR="00F90BB8" w:rsidRPr="00C9475C" w14:paraId="5A8E072E" w14:textId="77777777" w:rsidTr="001722BA">
        <w:trPr>
          <w:trHeight w:val="266"/>
        </w:trPr>
        <w:tc>
          <w:tcPr>
            <w:tcW w:w="15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9CFDA7" w14:textId="77777777" w:rsidR="00F90BB8" w:rsidRPr="00C9475C" w:rsidRDefault="00F90BB8" w:rsidP="00F90BB8">
            <w:pPr>
              <w:rPr>
                <w:rFonts w:ascii="Arial" w:hAnsi="Arial" w:cs="Arial"/>
                <w:b/>
                <w:bCs/>
              </w:rPr>
            </w:pPr>
            <w:r w:rsidRPr="00C9475C">
              <w:rPr>
                <w:rFonts w:ascii="Arial" w:hAnsi="Arial" w:cs="Arial"/>
                <w:b/>
                <w:bCs/>
              </w:rPr>
              <w:t>Criterion</w:t>
            </w:r>
          </w:p>
        </w:tc>
        <w:tc>
          <w:tcPr>
            <w:tcW w:w="343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BBAAA4" w14:textId="086132D3" w:rsidR="00F90BB8" w:rsidRPr="00C9475C" w:rsidRDefault="00F90BB8" w:rsidP="00F90BB8">
            <w:pPr>
              <w:rPr>
                <w:rFonts w:ascii="Arial" w:hAnsi="Arial" w:cs="Arial"/>
                <w:b/>
                <w:bCs/>
              </w:rPr>
            </w:pPr>
          </w:p>
        </w:tc>
      </w:tr>
      <w:tr w:rsidR="00DC3B22" w:rsidRPr="00C9475C" w14:paraId="06F94CE8" w14:textId="77777777" w:rsidTr="001722BA">
        <w:trPr>
          <w:trHeight w:val="752"/>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652FE" w14:textId="77777777" w:rsidR="00DC3B22" w:rsidRPr="00C9475C" w:rsidRDefault="00DC3B22" w:rsidP="00DC3B22">
            <w:pPr>
              <w:rPr>
                <w:rFonts w:ascii="Arial" w:hAnsi="Arial" w:cs="Arial"/>
                <w:b/>
                <w:bCs/>
              </w:rPr>
            </w:pPr>
            <w:r w:rsidRPr="00C9475C">
              <w:rPr>
                <w:rFonts w:ascii="Arial" w:hAnsi="Arial" w:cs="Arial"/>
                <w:b/>
                <w:bCs/>
              </w:rPr>
              <w:t>The target patient group for the technology in its licensed indication is so small that treatment will usually be concentrated in very few centres in the NHS</w:t>
            </w:r>
          </w:p>
        </w:tc>
        <w:tc>
          <w:tcPr>
            <w:tcW w:w="2755" w:type="pct"/>
            <w:tcBorders>
              <w:top w:val="nil"/>
              <w:left w:val="nil"/>
              <w:bottom w:val="single" w:sz="8" w:space="0" w:color="auto"/>
              <w:right w:val="single" w:sz="8" w:space="0" w:color="auto"/>
            </w:tcBorders>
            <w:tcMar>
              <w:top w:w="0" w:type="dxa"/>
              <w:left w:w="108" w:type="dxa"/>
              <w:bottom w:w="0" w:type="dxa"/>
              <w:right w:w="108" w:type="dxa"/>
            </w:tcMar>
          </w:tcPr>
          <w:p w14:paraId="78B71214" w14:textId="77777777" w:rsidR="00DC3B22" w:rsidRDefault="003537FD" w:rsidP="004503F2">
            <w:pPr>
              <w:spacing w:before="120" w:after="120"/>
              <w:rPr>
                <w:rFonts w:ascii="Arial" w:hAnsi="Arial" w:cs="Arial"/>
              </w:rPr>
            </w:pPr>
            <w:r w:rsidRPr="004503F2">
              <w:rPr>
                <w:rFonts w:ascii="Arial" w:hAnsi="Arial" w:cs="Arial"/>
              </w:rPr>
              <w:t xml:space="preserve">The </w:t>
            </w:r>
            <w:r w:rsidR="000575B1" w:rsidRPr="004503F2">
              <w:rPr>
                <w:rFonts w:ascii="Arial" w:hAnsi="Arial" w:cs="Arial"/>
              </w:rPr>
              <w:t>MA</w:t>
            </w:r>
            <w:r w:rsidR="00C5738E" w:rsidRPr="004503F2">
              <w:rPr>
                <w:rFonts w:ascii="Arial" w:hAnsi="Arial" w:cs="Arial"/>
              </w:rPr>
              <w:t xml:space="preserve"> </w:t>
            </w:r>
            <w:r w:rsidR="004F1A46" w:rsidRPr="004503F2">
              <w:rPr>
                <w:rFonts w:ascii="Arial" w:hAnsi="Arial" w:cs="Arial"/>
              </w:rPr>
              <w:t>currently covers</w:t>
            </w:r>
            <w:r w:rsidR="00C5738E" w:rsidRPr="004503F2">
              <w:rPr>
                <w:rFonts w:ascii="Arial" w:hAnsi="Arial" w:cs="Arial"/>
              </w:rPr>
              <w:t xml:space="preserve"> the entire adult population of XLH. </w:t>
            </w:r>
            <w:r w:rsidR="00D52E53" w:rsidRPr="004503F2">
              <w:rPr>
                <w:rFonts w:ascii="Arial" w:hAnsi="Arial" w:cs="Arial"/>
              </w:rPr>
              <w:t>A</w:t>
            </w:r>
            <w:r w:rsidR="000575B1" w:rsidRPr="004503F2">
              <w:rPr>
                <w:rFonts w:ascii="Arial" w:hAnsi="Arial" w:cs="Arial"/>
              </w:rPr>
              <w:t xml:space="preserve"> voluntary</w:t>
            </w:r>
            <w:r w:rsidR="00D52E53" w:rsidRPr="004503F2">
              <w:rPr>
                <w:rFonts w:ascii="Arial" w:hAnsi="Arial" w:cs="Arial"/>
              </w:rPr>
              <w:t xml:space="preserve"> survey of </w:t>
            </w:r>
            <w:r w:rsidR="000575B1" w:rsidRPr="004503F2">
              <w:rPr>
                <w:rFonts w:ascii="Arial" w:hAnsi="Arial" w:cs="Arial"/>
              </w:rPr>
              <w:t xml:space="preserve">14 </w:t>
            </w:r>
            <w:r w:rsidR="00D52E53" w:rsidRPr="004503F2">
              <w:rPr>
                <w:rFonts w:ascii="Arial" w:hAnsi="Arial" w:cs="Arial"/>
              </w:rPr>
              <w:t>XLH treatment centres</w:t>
            </w:r>
            <w:r w:rsidR="000575B1" w:rsidRPr="004503F2">
              <w:rPr>
                <w:rFonts w:ascii="Arial" w:hAnsi="Arial" w:cs="Arial"/>
              </w:rPr>
              <w:t xml:space="preserve"> commissioned</w:t>
            </w:r>
            <w:r w:rsidR="00D52E53" w:rsidRPr="004503F2">
              <w:rPr>
                <w:rFonts w:ascii="Arial" w:hAnsi="Arial" w:cs="Arial"/>
              </w:rPr>
              <w:t xml:space="preserve"> by NHS England recorded</w:t>
            </w:r>
            <w:r w:rsidR="000575B1" w:rsidRPr="004503F2">
              <w:rPr>
                <w:rFonts w:ascii="Arial" w:hAnsi="Arial" w:cs="Arial"/>
              </w:rPr>
              <w:t xml:space="preserve"> approximately</w:t>
            </w:r>
            <w:r w:rsidR="00D52E53" w:rsidRPr="004503F2">
              <w:rPr>
                <w:rFonts w:ascii="Arial" w:hAnsi="Arial" w:cs="Arial"/>
              </w:rPr>
              <w:t xml:space="preserve"> </w:t>
            </w:r>
            <w:r w:rsidR="000575B1" w:rsidRPr="004503F2">
              <w:rPr>
                <w:rFonts w:ascii="Arial" w:hAnsi="Arial" w:cs="Arial"/>
              </w:rPr>
              <w:t>280 people</w:t>
            </w:r>
            <w:r w:rsidR="003377C1" w:rsidRPr="004503F2">
              <w:rPr>
                <w:rFonts w:ascii="Arial" w:hAnsi="Arial" w:cs="Arial"/>
              </w:rPr>
              <w:t xml:space="preserve"> </w:t>
            </w:r>
            <w:r w:rsidR="000575B1" w:rsidRPr="004503F2">
              <w:rPr>
                <w:rFonts w:ascii="Arial" w:hAnsi="Arial" w:cs="Arial"/>
              </w:rPr>
              <w:t>with genetically confirmed, symptomatic XLH receiving treatment</w:t>
            </w:r>
            <w:r w:rsidR="003377C1" w:rsidRPr="004503F2">
              <w:rPr>
                <w:rFonts w:ascii="Arial" w:hAnsi="Arial" w:cs="Arial"/>
              </w:rPr>
              <w:t>.</w:t>
            </w:r>
            <w:r w:rsidR="000575B1" w:rsidRPr="004503F2">
              <w:rPr>
                <w:rFonts w:ascii="Arial" w:hAnsi="Arial" w:cs="Arial"/>
              </w:rPr>
              <w:t xml:space="preserve"> At the scoping workshop, an additional 70 patients were </w:t>
            </w:r>
            <w:r w:rsidR="00D50D22" w:rsidRPr="004503F2">
              <w:rPr>
                <w:rFonts w:ascii="Arial" w:hAnsi="Arial" w:cs="Arial"/>
              </w:rPr>
              <w:t>estimated</w:t>
            </w:r>
            <w:r w:rsidR="000575B1" w:rsidRPr="004503F2">
              <w:rPr>
                <w:rFonts w:ascii="Arial" w:hAnsi="Arial" w:cs="Arial"/>
              </w:rPr>
              <w:t xml:space="preserve"> from the Manchester treatment centre that did not respond to the NHS survey.</w:t>
            </w:r>
            <w:r w:rsidR="00D50D22" w:rsidRPr="004503F2">
              <w:rPr>
                <w:rFonts w:ascii="Arial" w:hAnsi="Arial" w:cs="Arial"/>
              </w:rPr>
              <w:t xml:space="preserve"> The clinical experts noted that prevalence is increasing because of better diagnosis and that some patients would not always receive treatment. The NHS survey also cautioned that the survey did not represent all activity for </w:t>
            </w:r>
            <w:r w:rsidR="00FD3BB8" w:rsidRPr="004503F2">
              <w:rPr>
                <w:rFonts w:ascii="Arial" w:hAnsi="Arial" w:cs="Arial"/>
              </w:rPr>
              <w:t>XLH</w:t>
            </w:r>
            <w:r w:rsidR="00D50D22" w:rsidRPr="004503F2">
              <w:rPr>
                <w:rFonts w:ascii="Arial" w:hAnsi="Arial" w:cs="Arial"/>
              </w:rPr>
              <w:t xml:space="preserve"> patients because some would only seek treatment for pseudofractures</w:t>
            </w:r>
            <w:r w:rsidR="00FD3BB8" w:rsidRPr="004503F2">
              <w:rPr>
                <w:rFonts w:ascii="Arial" w:hAnsi="Arial" w:cs="Arial"/>
              </w:rPr>
              <w:t xml:space="preserve"> or intermittent treatment</w:t>
            </w:r>
            <w:r w:rsidR="00D50D22" w:rsidRPr="004503F2">
              <w:rPr>
                <w:rFonts w:ascii="Arial" w:hAnsi="Arial" w:cs="Arial"/>
              </w:rPr>
              <w:t>. The adult population is therefore a minimum of 350 patients currently receiving treatment, the clinical experts estimated that the true prevalence could be up to</w:t>
            </w:r>
            <w:r w:rsidRPr="004503F2">
              <w:rPr>
                <w:rFonts w:ascii="Arial" w:hAnsi="Arial" w:cs="Arial"/>
              </w:rPr>
              <w:t xml:space="preserve"> 1,000 people including those not </w:t>
            </w:r>
            <w:r w:rsidR="00FD3BB8" w:rsidRPr="004503F2">
              <w:rPr>
                <w:rFonts w:ascii="Arial" w:hAnsi="Arial" w:cs="Arial"/>
              </w:rPr>
              <w:t>currently receiving</w:t>
            </w:r>
            <w:r w:rsidRPr="004503F2">
              <w:rPr>
                <w:rFonts w:ascii="Arial" w:hAnsi="Arial" w:cs="Arial"/>
              </w:rPr>
              <w:t xml:space="preserve"> treatment or </w:t>
            </w:r>
            <w:r w:rsidR="00FD3BB8" w:rsidRPr="004503F2">
              <w:rPr>
                <w:rFonts w:ascii="Arial" w:hAnsi="Arial" w:cs="Arial"/>
              </w:rPr>
              <w:t xml:space="preserve">are </w:t>
            </w:r>
            <w:r w:rsidRPr="004503F2">
              <w:rPr>
                <w:rFonts w:ascii="Arial" w:hAnsi="Arial" w:cs="Arial"/>
              </w:rPr>
              <w:t>undiagnosed</w:t>
            </w:r>
            <w:r w:rsidR="00BC2283" w:rsidRPr="004503F2">
              <w:rPr>
                <w:rFonts w:ascii="Arial" w:hAnsi="Arial" w:cs="Arial"/>
              </w:rPr>
              <w:t xml:space="preserve">. </w:t>
            </w:r>
            <w:r w:rsidR="00F3454C">
              <w:rPr>
                <w:rFonts w:ascii="Arial" w:hAnsi="Arial" w:cs="Arial"/>
              </w:rPr>
              <w:t>The company proposed targeting only patients with debilitating symptoms and clinical complications, however the full population within the licensed indication was considered as the target patient group.</w:t>
            </w:r>
          </w:p>
          <w:p w14:paraId="2A6B7966" w14:textId="77777777" w:rsidR="006165CC" w:rsidRDefault="006165CC" w:rsidP="004503F2">
            <w:pPr>
              <w:spacing w:before="120" w:after="120"/>
              <w:rPr>
                <w:rFonts w:ascii="Arial" w:hAnsi="Arial" w:cs="Arial"/>
              </w:rPr>
            </w:pPr>
          </w:p>
          <w:p w14:paraId="0E9AA79A" w14:textId="2347C191" w:rsidR="006165CC" w:rsidRPr="004503F2" w:rsidRDefault="006165CC" w:rsidP="004503F2">
            <w:pPr>
              <w:spacing w:before="120" w:after="120"/>
              <w:rPr>
                <w:rFonts w:ascii="Arial" w:hAnsi="Arial" w:cs="Arial"/>
              </w:rPr>
            </w:pPr>
            <w:r>
              <w:rPr>
                <w:rFonts w:ascii="Arial" w:hAnsi="Arial" w:cs="Arial"/>
              </w:rPr>
              <w:t>Note - after the stakeholder listening event: clinician and patient experts confirmed expected patient numbers</w:t>
            </w:r>
            <w:r w:rsidR="00DB7AC5">
              <w:rPr>
                <w:rFonts w:ascii="Arial" w:hAnsi="Arial" w:cs="Arial"/>
              </w:rPr>
              <w:t xml:space="preserve"> currently receiving treatment</w:t>
            </w:r>
            <w:r>
              <w:rPr>
                <w:rFonts w:ascii="Arial" w:hAnsi="Arial" w:cs="Arial"/>
              </w:rPr>
              <w:t xml:space="preserve"> within the marketing authorisation including a prevalence study estimating approximately 784 patients in total with XLH in England. </w:t>
            </w:r>
            <w:r w:rsidR="00DB7AC5">
              <w:rPr>
                <w:rFonts w:ascii="Arial" w:hAnsi="Arial" w:cs="Arial"/>
              </w:rPr>
              <w:t>Clinicians and patient experts also considered a targeted subgroup of the population.</w:t>
            </w:r>
          </w:p>
        </w:tc>
        <w:tc>
          <w:tcPr>
            <w:tcW w:w="677" w:type="pct"/>
            <w:tcBorders>
              <w:top w:val="nil"/>
              <w:left w:val="nil"/>
              <w:bottom w:val="single" w:sz="8" w:space="0" w:color="auto"/>
              <w:right w:val="single" w:sz="8" w:space="0" w:color="auto"/>
            </w:tcBorders>
            <w:shd w:val="clear" w:color="auto" w:fill="FF0000"/>
          </w:tcPr>
          <w:p w14:paraId="5024612F" w14:textId="77777777" w:rsidR="001722BA" w:rsidRPr="001722BA" w:rsidRDefault="001722BA" w:rsidP="001722BA">
            <w:pPr>
              <w:spacing w:before="120" w:after="120"/>
              <w:rPr>
                <w:rFonts w:ascii="Arial" w:hAnsi="Arial" w:cs="Arial"/>
                <w:b/>
                <w:bCs/>
                <w:u w:val="single"/>
              </w:rPr>
            </w:pPr>
            <w:r w:rsidRPr="001722BA">
              <w:rPr>
                <w:rFonts w:ascii="Arial" w:hAnsi="Arial" w:cs="Arial"/>
                <w:b/>
                <w:bCs/>
                <w:u w:val="single"/>
              </w:rPr>
              <w:t>Not Met</w:t>
            </w:r>
          </w:p>
          <w:p w14:paraId="5E1C83CE" w14:textId="77777777" w:rsidR="00DC3B22" w:rsidRPr="00C9475C" w:rsidRDefault="00DC3B22" w:rsidP="00DC3B22">
            <w:pPr>
              <w:ind w:left="87"/>
              <w:rPr>
                <w:rFonts w:ascii="Arial" w:hAnsi="Arial" w:cs="Arial"/>
                <w:highlight w:val="yellow"/>
              </w:rPr>
            </w:pPr>
          </w:p>
        </w:tc>
      </w:tr>
      <w:tr w:rsidR="00DC3B22" w:rsidRPr="00C9475C" w14:paraId="067C18A1" w14:textId="77777777" w:rsidTr="00F3454C">
        <w:trPr>
          <w:trHeight w:val="924"/>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08164E" w14:textId="77777777" w:rsidR="00DC3B22" w:rsidRPr="00C9475C" w:rsidRDefault="00DC3B22" w:rsidP="00DC3B22">
            <w:pPr>
              <w:rPr>
                <w:rFonts w:ascii="Arial" w:hAnsi="Arial" w:cs="Arial"/>
                <w:b/>
                <w:bCs/>
              </w:rPr>
            </w:pPr>
            <w:r w:rsidRPr="00C9475C">
              <w:rPr>
                <w:rFonts w:ascii="Arial" w:hAnsi="Arial" w:cs="Arial"/>
                <w:b/>
                <w:bCs/>
              </w:rPr>
              <w:lastRenderedPageBreak/>
              <w:t>The target patient group is distinct for clinical reasons</w:t>
            </w:r>
          </w:p>
          <w:p w14:paraId="424C86C0" w14:textId="77777777" w:rsidR="00DC3B22" w:rsidRPr="00C9475C" w:rsidRDefault="00DC3B22" w:rsidP="00DC3B22">
            <w:pPr>
              <w:rPr>
                <w:rFonts w:ascii="Arial" w:hAnsi="Arial" w:cs="Arial"/>
                <w:b/>
                <w:bCs/>
              </w:rPr>
            </w:pPr>
          </w:p>
        </w:tc>
        <w:tc>
          <w:tcPr>
            <w:tcW w:w="2755" w:type="pct"/>
            <w:tcBorders>
              <w:top w:val="nil"/>
              <w:left w:val="nil"/>
              <w:bottom w:val="single" w:sz="8" w:space="0" w:color="auto"/>
              <w:right w:val="single" w:sz="8" w:space="0" w:color="auto"/>
            </w:tcBorders>
            <w:tcMar>
              <w:top w:w="0" w:type="dxa"/>
              <w:left w:w="108" w:type="dxa"/>
              <w:bottom w:w="0" w:type="dxa"/>
              <w:right w:w="108" w:type="dxa"/>
            </w:tcMar>
          </w:tcPr>
          <w:p w14:paraId="6DC4DCDA" w14:textId="77777777" w:rsidR="00DC3B22" w:rsidRDefault="00D50D22" w:rsidP="004503F2">
            <w:pPr>
              <w:spacing w:before="120" w:after="120"/>
              <w:rPr>
                <w:rFonts w:ascii="Arial" w:hAnsi="Arial" w:cs="Arial"/>
              </w:rPr>
            </w:pPr>
            <w:r>
              <w:rPr>
                <w:rFonts w:ascii="Arial" w:hAnsi="Arial" w:cs="Arial"/>
              </w:rPr>
              <w:t xml:space="preserve">XLH is a </w:t>
            </w:r>
            <w:r w:rsidR="00F3454C">
              <w:rPr>
                <w:rFonts w:ascii="Arial" w:hAnsi="Arial" w:cs="Arial"/>
              </w:rPr>
              <w:t xml:space="preserve">clinically distinct </w:t>
            </w:r>
            <w:r>
              <w:rPr>
                <w:rFonts w:ascii="Arial" w:hAnsi="Arial" w:cs="Arial"/>
              </w:rPr>
              <w:t xml:space="preserve">genetic condition that needs to be treated differently to other bone metabolic disorders. </w:t>
            </w:r>
            <w:r w:rsidR="00F3454C">
              <w:rPr>
                <w:rFonts w:ascii="Arial" w:hAnsi="Arial" w:cs="Arial"/>
              </w:rPr>
              <w:t>However, t</w:t>
            </w:r>
            <w:r>
              <w:rPr>
                <w:rFonts w:ascii="Arial" w:hAnsi="Arial" w:cs="Arial"/>
              </w:rPr>
              <w:t xml:space="preserve">he company considered that only patients with </w:t>
            </w:r>
            <w:r w:rsidRPr="00D50D22">
              <w:rPr>
                <w:rFonts w:ascii="Arial" w:hAnsi="Arial" w:cs="Arial"/>
              </w:rPr>
              <w:t xml:space="preserve">debilitating symptoms and clinical </w:t>
            </w:r>
            <w:r>
              <w:rPr>
                <w:rFonts w:ascii="Arial" w:hAnsi="Arial" w:cs="Arial"/>
              </w:rPr>
              <w:t>c</w:t>
            </w:r>
            <w:r w:rsidRPr="00D50D22">
              <w:rPr>
                <w:rFonts w:ascii="Arial" w:hAnsi="Arial" w:cs="Arial"/>
              </w:rPr>
              <w:t>omplications</w:t>
            </w:r>
            <w:r>
              <w:rPr>
                <w:rFonts w:ascii="Arial" w:hAnsi="Arial" w:cs="Arial"/>
              </w:rPr>
              <w:t xml:space="preserve"> would require treatment with burosumab. </w:t>
            </w:r>
            <w:r w:rsidR="00187E2B">
              <w:rPr>
                <w:rFonts w:ascii="Arial" w:hAnsi="Arial" w:cs="Arial"/>
              </w:rPr>
              <w:t xml:space="preserve">The company estimated that approximately 50% of patients would be eligible, based on estimates from an early access programme. </w:t>
            </w:r>
            <w:r w:rsidRPr="00D50D22">
              <w:rPr>
                <w:rFonts w:ascii="Arial" w:hAnsi="Arial" w:cs="Arial"/>
              </w:rPr>
              <w:t xml:space="preserve">However, </w:t>
            </w:r>
            <w:r w:rsidR="00FD3BB8">
              <w:rPr>
                <w:rFonts w:ascii="Arial" w:hAnsi="Arial" w:cs="Arial"/>
              </w:rPr>
              <w:t>the clinical experts noted that the MA covers all adults with XLH and that there is no clinical distinction or rationale for treating only patients with debilitating symptoms or clinical complications, therefore all adult patients would be treated within the MA.</w:t>
            </w:r>
            <w:r w:rsidR="00F3454C">
              <w:rPr>
                <w:rFonts w:ascii="Arial" w:hAnsi="Arial" w:cs="Arial"/>
              </w:rPr>
              <w:t xml:space="preserve"> The proposed optimisation would not be distinct for clinical reasons as clinical experts considered all patients with XLH would be treated based on the genetic indication.</w:t>
            </w:r>
          </w:p>
          <w:p w14:paraId="69F86DE9" w14:textId="77777777" w:rsidR="009068FC" w:rsidRDefault="009068FC" w:rsidP="004503F2">
            <w:pPr>
              <w:spacing w:before="120" w:after="120"/>
              <w:rPr>
                <w:rFonts w:ascii="Arial" w:hAnsi="Arial" w:cs="Arial"/>
              </w:rPr>
            </w:pPr>
          </w:p>
          <w:p w14:paraId="0CDA5A7B" w14:textId="4CE94CA1" w:rsidR="009068FC" w:rsidRPr="00BC2283" w:rsidRDefault="009068FC" w:rsidP="004503F2">
            <w:pPr>
              <w:spacing w:before="120" w:after="120"/>
              <w:rPr>
                <w:rFonts w:ascii="Arial" w:hAnsi="Arial" w:cs="Arial"/>
              </w:rPr>
            </w:pPr>
            <w:r>
              <w:rPr>
                <w:rFonts w:ascii="Arial" w:hAnsi="Arial" w:cs="Arial"/>
              </w:rPr>
              <w:t xml:space="preserve">Note - after the stakeholder listening event: </w:t>
            </w:r>
            <w:r w:rsidR="00DB7AC5">
              <w:rPr>
                <w:rFonts w:ascii="Arial" w:hAnsi="Arial" w:cs="Arial"/>
              </w:rPr>
              <w:t>clinicians presented a draft care pathway under development</w:t>
            </w:r>
            <w:r w:rsidR="006B745C">
              <w:rPr>
                <w:rFonts w:ascii="Arial" w:hAnsi="Arial" w:cs="Arial"/>
              </w:rPr>
              <w:t>. They considered severe cases to be distinct although there</w:t>
            </w:r>
            <w:r w:rsidR="00272143">
              <w:rPr>
                <w:rFonts w:ascii="Arial" w:hAnsi="Arial" w:cs="Arial"/>
              </w:rPr>
              <w:t xml:space="preserve"> are no single diagnostic criteria such as a clinical event or genetic subtype for differentiating those that have debilitating symptoms</w:t>
            </w:r>
            <w:r w:rsidR="006B745C">
              <w:rPr>
                <w:rFonts w:ascii="Arial" w:hAnsi="Arial" w:cs="Arial"/>
              </w:rPr>
              <w:t xml:space="preserve"> </w:t>
            </w:r>
            <w:r w:rsidR="00272143">
              <w:rPr>
                <w:rFonts w:ascii="Arial" w:hAnsi="Arial" w:cs="Arial"/>
              </w:rPr>
              <w:t>and clinical complications that would support restricting use to this subgroup.</w:t>
            </w:r>
          </w:p>
        </w:tc>
        <w:tc>
          <w:tcPr>
            <w:tcW w:w="677" w:type="pct"/>
            <w:tcBorders>
              <w:top w:val="nil"/>
              <w:left w:val="nil"/>
              <w:bottom w:val="single" w:sz="8" w:space="0" w:color="auto"/>
              <w:right w:val="single" w:sz="8" w:space="0" w:color="auto"/>
            </w:tcBorders>
            <w:shd w:val="clear" w:color="auto" w:fill="FFC000"/>
          </w:tcPr>
          <w:p w14:paraId="62F6128E" w14:textId="4A195A3F" w:rsidR="001722BA" w:rsidRPr="001722BA" w:rsidRDefault="00F3454C" w:rsidP="001722BA">
            <w:pPr>
              <w:spacing w:before="120" w:after="120"/>
              <w:rPr>
                <w:rFonts w:ascii="Arial" w:hAnsi="Arial" w:cs="Arial"/>
                <w:b/>
                <w:bCs/>
                <w:u w:val="single"/>
              </w:rPr>
            </w:pPr>
            <w:r>
              <w:rPr>
                <w:rFonts w:ascii="Arial" w:hAnsi="Arial" w:cs="Arial"/>
                <w:b/>
                <w:bCs/>
                <w:u w:val="single"/>
              </w:rPr>
              <w:t>Partially met</w:t>
            </w:r>
          </w:p>
          <w:p w14:paraId="2FCDD549" w14:textId="77777777" w:rsidR="00DC3B22" w:rsidRPr="00C9475C" w:rsidRDefault="00DC3B22" w:rsidP="00F3454C">
            <w:pPr>
              <w:rPr>
                <w:rFonts w:ascii="Arial" w:hAnsi="Arial" w:cs="Arial"/>
                <w:highlight w:val="yellow"/>
              </w:rPr>
            </w:pPr>
          </w:p>
        </w:tc>
      </w:tr>
      <w:tr w:rsidR="00DC3B22" w:rsidRPr="00C9475C" w14:paraId="2ED25291" w14:textId="77777777" w:rsidTr="001722BA">
        <w:trPr>
          <w:trHeight w:val="502"/>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C99A6C" w14:textId="77777777" w:rsidR="00DC3B22" w:rsidRPr="00C9475C" w:rsidRDefault="00DC3B22" w:rsidP="00DC3B22">
            <w:pPr>
              <w:rPr>
                <w:rFonts w:ascii="Arial" w:hAnsi="Arial" w:cs="Arial"/>
                <w:b/>
                <w:bCs/>
              </w:rPr>
            </w:pPr>
            <w:r w:rsidRPr="00C9475C">
              <w:rPr>
                <w:rFonts w:ascii="Arial" w:hAnsi="Arial" w:cs="Arial"/>
                <w:b/>
                <w:bCs/>
              </w:rPr>
              <w:t>The condition is chronic and severely disabling</w:t>
            </w:r>
          </w:p>
          <w:p w14:paraId="0E361B72" w14:textId="77777777" w:rsidR="00DC3B22" w:rsidRPr="00C9475C" w:rsidRDefault="00DC3B22" w:rsidP="00DC3B22">
            <w:pPr>
              <w:rPr>
                <w:rFonts w:ascii="Arial" w:hAnsi="Arial" w:cs="Arial"/>
                <w:b/>
                <w:bCs/>
              </w:rPr>
            </w:pPr>
          </w:p>
        </w:tc>
        <w:tc>
          <w:tcPr>
            <w:tcW w:w="2755" w:type="pct"/>
            <w:tcBorders>
              <w:top w:val="nil"/>
              <w:left w:val="nil"/>
              <w:bottom w:val="single" w:sz="8" w:space="0" w:color="auto"/>
              <w:right w:val="single" w:sz="8" w:space="0" w:color="auto"/>
            </w:tcBorders>
            <w:tcMar>
              <w:top w:w="0" w:type="dxa"/>
              <w:left w:w="108" w:type="dxa"/>
              <w:bottom w:w="0" w:type="dxa"/>
              <w:right w:w="108" w:type="dxa"/>
            </w:tcMar>
          </w:tcPr>
          <w:p w14:paraId="2CFCDED5" w14:textId="77777777" w:rsidR="00DC3B22" w:rsidRDefault="00FD3BB8" w:rsidP="004503F2">
            <w:pPr>
              <w:spacing w:before="120" w:after="120"/>
              <w:rPr>
                <w:rFonts w:ascii="Arial" w:hAnsi="Arial" w:cs="Arial"/>
              </w:rPr>
            </w:pPr>
            <w:r>
              <w:rPr>
                <w:rFonts w:ascii="Arial" w:hAnsi="Arial" w:cs="Arial"/>
              </w:rPr>
              <w:t>XLH is a lifelong chronic</w:t>
            </w:r>
            <w:r w:rsidR="009B1E96">
              <w:rPr>
                <w:rFonts w:ascii="Arial" w:hAnsi="Arial" w:cs="Arial"/>
              </w:rPr>
              <w:t xml:space="preserve"> condition</w:t>
            </w:r>
            <w:r w:rsidR="00F3454C">
              <w:rPr>
                <w:rFonts w:ascii="Arial" w:hAnsi="Arial" w:cs="Arial"/>
              </w:rPr>
              <w:t xml:space="preserve">, but the disease activity is </w:t>
            </w:r>
            <w:r w:rsidR="00D7679B">
              <w:rPr>
                <w:rFonts w:ascii="Arial" w:hAnsi="Arial" w:cs="Arial"/>
              </w:rPr>
              <w:t>variable throughout a person’s lifetime</w:t>
            </w:r>
            <w:r w:rsidR="009B1E96">
              <w:rPr>
                <w:rFonts w:ascii="Arial" w:hAnsi="Arial" w:cs="Arial"/>
              </w:rPr>
              <w:t xml:space="preserve">. </w:t>
            </w:r>
            <w:r>
              <w:rPr>
                <w:rFonts w:ascii="Arial" w:hAnsi="Arial" w:cs="Arial"/>
              </w:rPr>
              <w:t>For some patients, XLH is</w:t>
            </w:r>
            <w:r w:rsidR="00FB5ECF">
              <w:rPr>
                <w:rFonts w:ascii="Arial" w:hAnsi="Arial" w:cs="Arial"/>
              </w:rPr>
              <w:t xml:space="preserve"> a</w:t>
            </w:r>
            <w:r>
              <w:rPr>
                <w:rFonts w:ascii="Arial" w:hAnsi="Arial" w:cs="Arial"/>
              </w:rPr>
              <w:t xml:space="preserve"> severely disabling</w:t>
            </w:r>
            <w:r w:rsidR="00FB5ECF">
              <w:rPr>
                <w:rFonts w:ascii="Arial" w:hAnsi="Arial" w:cs="Arial"/>
              </w:rPr>
              <w:t xml:space="preserve"> progressive condition</w:t>
            </w:r>
            <w:r>
              <w:rPr>
                <w:rFonts w:ascii="Arial" w:hAnsi="Arial" w:cs="Arial"/>
              </w:rPr>
              <w:t xml:space="preserve"> and can cause impairments to fracture healing, mobility, bone pain, neurological complications and depression and anxiety. </w:t>
            </w:r>
            <w:r w:rsidR="00D52E53">
              <w:rPr>
                <w:rFonts w:ascii="Arial" w:hAnsi="Arial" w:cs="Arial"/>
              </w:rPr>
              <w:t>However,</w:t>
            </w:r>
            <w:r w:rsidR="00187E2B">
              <w:rPr>
                <w:rFonts w:ascii="Arial" w:hAnsi="Arial" w:cs="Arial"/>
              </w:rPr>
              <w:t xml:space="preserve"> the clinical experts explained that</w:t>
            </w:r>
            <w:r w:rsidR="00D52E53">
              <w:rPr>
                <w:rFonts w:ascii="Arial" w:hAnsi="Arial" w:cs="Arial"/>
              </w:rPr>
              <w:t xml:space="preserve"> </w:t>
            </w:r>
            <w:r>
              <w:rPr>
                <w:rFonts w:ascii="Arial" w:hAnsi="Arial" w:cs="Arial"/>
              </w:rPr>
              <w:t>symptoms</w:t>
            </w:r>
            <w:r w:rsidR="009007BF">
              <w:rPr>
                <w:rFonts w:ascii="Arial" w:hAnsi="Arial" w:cs="Arial"/>
              </w:rPr>
              <w:t>,</w:t>
            </w:r>
            <w:r w:rsidR="00D7679B">
              <w:rPr>
                <w:rFonts w:ascii="Arial" w:hAnsi="Arial" w:cs="Arial"/>
              </w:rPr>
              <w:t xml:space="preserve"> </w:t>
            </w:r>
            <w:proofErr w:type="gramStart"/>
            <w:r w:rsidR="00D7679B">
              <w:rPr>
                <w:rFonts w:ascii="Arial" w:hAnsi="Arial" w:cs="Arial"/>
              </w:rPr>
              <w:t>complications</w:t>
            </w:r>
            <w:proofErr w:type="gramEnd"/>
            <w:r w:rsidR="009007BF">
              <w:rPr>
                <w:rFonts w:ascii="Arial" w:hAnsi="Arial" w:cs="Arial"/>
              </w:rPr>
              <w:t xml:space="preserve"> and lifelong disability</w:t>
            </w:r>
            <w:r w:rsidR="00D7679B">
              <w:rPr>
                <w:rFonts w:ascii="Arial" w:hAnsi="Arial" w:cs="Arial"/>
              </w:rPr>
              <w:t xml:space="preserve"> are m</w:t>
            </w:r>
            <w:r w:rsidR="009007BF">
              <w:rPr>
                <w:rFonts w:ascii="Arial" w:hAnsi="Arial" w:cs="Arial"/>
              </w:rPr>
              <w:t xml:space="preserve">ost severe and </w:t>
            </w:r>
            <w:r w:rsidR="00476B64">
              <w:rPr>
                <w:rFonts w:ascii="Arial" w:hAnsi="Arial" w:cs="Arial"/>
              </w:rPr>
              <w:t xml:space="preserve">partially </w:t>
            </w:r>
            <w:r w:rsidR="009007BF">
              <w:rPr>
                <w:rFonts w:ascii="Arial" w:hAnsi="Arial" w:cs="Arial"/>
              </w:rPr>
              <w:t>determined</w:t>
            </w:r>
            <w:r w:rsidR="00D7679B">
              <w:rPr>
                <w:rFonts w:ascii="Arial" w:hAnsi="Arial" w:cs="Arial"/>
              </w:rPr>
              <w:t xml:space="preserve"> during bone growth throughout childhood (burosumab is available through HST8 for children). S</w:t>
            </w:r>
            <w:r>
              <w:rPr>
                <w:rFonts w:ascii="Arial" w:hAnsi="Arial" w:cs="Arial"/>
              </w:rPr>
              <w:t>ome patients do not seek treatment</w:t>
            </w:r>
            <w:r w:rsidR="009007BF">
              <w:rPr>
                <w:rFonts w:ascii="Arial" w:hAnsi="Arial" w:cs="Arial"/>
              </w:rPr>
              <w:t>, are treated</w:t>
            </w:r>
            <w:r w:rsidR="00476B64">
              <w:rPr>
                <w:rFonts w:ascii="Arial" w:hAnsi="Arial" w:cs="Arial"/>
              </w:rPr>
              <w:t xml:space="preserve"> intermittently</w:t>
            </w:r>
            <w:r w:rsidR="009007BF">
              <w:rPr>
                <w:rFonts w:ascii="Arial" w:hAnsi="Arial" w:cs="Arial"/>
              </w:rPr>
              <w:t xml:space="preserve"> during </w:t>
            </w:r>
            <w:r w:rsidR="00476B64">
              <w:rPr>
                <w:rFonts w:ascii="Arial" w:hAnsi="Arial" w:cs="Arial"/>
              </w:rPr>
              <w:t>pseudofractures,</w:t>
            </w:r>
            <w:r w:rsidR="004C5DA1">
              <w:rPr>
                <w:rFonts w:ascii="Arial" w:hAnsi="Arial" w:cs="Arial"/>
              </w:rPr>
              <w:t xml:space="preserve"> or have skeletal crises only in later life</w:t>
            </w:r>
            <w:r w:rsidR="00D7679B">
              <w:rPr>
                <w:rFonts w:ascii="Arial" w:hAnsi="Arial" w:cs="Arial"/>
              </w:rPr>
              <w:t xml:space="preserve"> and</w:t>
            </w:r>
            <w:r w:rsidR="004C5DA1">
              <w:rPr>
                <w:rFonts w:ascii="Arial" w:hAnsi="Arial" w:cs="Arial"/>
              </w:rPr>
              <w:t xml:space="preserve"> this is</w:t>
            </w:r>
            <w:r w:rsidR="00187E2B">
              <w:rPr>
                <w:rFonts w:ascii="Arial" w:hAnsi="Arial" w:cs="Arial"/>
              </w:rPr>
              <w:t xml:space="preserve"> dependent on disease activity.</w:t>
            </w:r>
          </w:p>
          <w:p w14:paraId="4CC7A1B4" w14:textId="530BF143" w:rsidR="00272143" w:rsidRPr="004503F2" w:rsidRDefault="00272143" w:rsidP="004503F2">
            <w:pPr>
              <w:spacing w:before="120" w:after="120"/>
              <w:rPr>
                <w:rFonts w:ascii="Arial" w:hAnsi="Arial" w:cs="Arial"/>
              </w:rPr>
            </w:pPr>
            <w:r>
              <w:rPr>
                <w:rFonts w:ascii="Arial" w:hAnsi="Arial" w:cs="Arial"/>
              </w:rPr>
              <w:t xml:space="preserve">Note - after the stakeholder listening event: </w:t>
            </w:r>
            <w:r w:rsidR="007B26B5">
              <w:rPr>
                <w:rFonts w:ascii="Arial" w:hAnsi="Arial" w:cs="Arial"/>
              </w:rPr>
              <w:t xml:space="preserve">clinicians and patient experts presented evidence highlighting </w:t>
            </w:r>
            <w:proofErr w:type="gramStart"/>
            <w:r w:rsidR="007B26B5">
              <w:rPr>
                <w:rFonts w:ascii="Arial" w:hAnsi="Arial" w:cs="Arial"/>
              </w:rPr>
              <w:t>that adults</w:t>
            </w:r>
            <w:proofErr w:type="gramEnd"/>
            <w:r w:rsidR="007B26B5">
              <w:rPr>
                <w:rFonts w:ascii="Arial" w:hAnsi="Arial" w:cs="Arial"/>
              </w:rPr>
              <w:t xml:space="preserve"> have different manifestations of the disease than children.</w:t>
            </w:r>
            <w:r w:rsidR="000A79B1">
              <w:rPr>
                <w:rFonts w:ascii="Arial" w:hAnsi="Arial" w:cs="Arial"/>
              </w:rPr>
              <w:t xml:space="preserve"> They considered those that those with chronic and severely disabling disease were distinct.</w:t>
            </w:r>
          </w:p>
        </w:tc>
        <w:tc>
          <w:tcPr>
            <w:tcW w:w="677" w:type="pct"/>
            <w:tcBorders>
              <w:top w:val="nil"/>
              <w:left w:val="nil"/>
              <w:bottom w:val="single" w:sz="8" w:space="0" w:color="auto"/>
              <w:right w:val="single" w:sz="8" w:space="0" w:color="auto"/>
            </w:tcBorders>
            <w:shd w:val="clear" w:color="auto" w:fill="FFC000"/>
          </w:tcPr>
          <w:p w14:paraId="5579B42A" w14:textId="77777777" w:rsidR="001722BA" w:rsidRPr="001722BA" w:rsidRDefault="001722BA" w:rsidP="001722BA">
            <w:pPr>
              <w:spacing w:before="120" w:after="120"/>
              <w:rPr>
                <w:rFonts w:ascii="Arial" w:hAnsi="Arial" w:cs="Arial"/>
                <w:b/>
                <w:bCs/>
                <w:u w:val="single"/>
              </w:rPr>
            </w:pPr>
            <w:r w:rsidRPr="001722BA">
              <w:rPr>
                <w:rFonts w:ascii="Arial" w:hAnsi="Arial" w:cs="Arial"/>
                <w:b/>
                <w:bCs/>
                <w:u w:val="single"/>
              </w:rPr>
              <w:t>Partially met</w:t>
            </w:r>
          </w:p>
          <w:p w14:paraId="2193668F" w14:textId="77777777" w:rsidR="00DC3B22" w:rsidRPr="00C9475C" w:rsidRDefault="00DC3B22" w:rsidP="00DC3B22">
            <w:pPr>
              <w:ind w:left="360"/>
              <w:rPr>
                <w:rFonts w:ascii="Arial" w:hAnsi="Arial" w:cs="Arial"/>
                <w:highlight w:val="yellow"/>
              </w:rPr>
            </w:pPr>
          </w:p>
        </w:tc>
      </w:tr>
      <w:tr w:rsidR="00DC3B22" w:rsidRPr="00C9475C" w14:paraId="6BCC71BE" w14:textId="77777777" w:rsidTr="001722BA">
        <w:trPr>
          <w:trHeight w:val="605"/>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65D9D" w14:textId="77777777" w:rsidR="00DC3B22" w:rsidRPr="00C9475C" w:rsidRDefault="00DC3B22" w:rsidP="00DC3B22">
            <w:pPr>
              <w:rPr>
                <w:rFonts w:ascii="Arial" w:hAnsi="Arial" w:cs="Arial"/>
                <w:b/>
                <w:bCs/>
              </w:rPr>
            </w:pPr>
            <w:r w:rsidRPr="00C9475C">
              <w:rPr>
                <w:rFonts w:ascii="Arial" w:hAnsi="Arial" w:cs="Arial"/>
                <w:b/>
                <w:bCs/>
              </w:rPr>
              <w:lastRenderedPageBreak/>
              <w:t>The technology is expected to be used exclusively in the context of a highly specialised service</w:t>
            </w:r>
          </w:p>
        </w:tc>
        <w:tc>
          <w:tcPr>
            <w:tcW w:w="2755" w:type="pct"/>
            <w:tcBorders>
              <w:top w:val="nil"/>
              <w:left w:val="nil"/>
              <w:bottom w:val="single" w:sz="8" w:space="0" w:color="auto"/>
              <w:right w:val="single" w:sz="8" w:space="0" w:color="auto"/>
            </w:tcBorders>
            <w:tcMar>
              <w:top w:w="0" w:type="dxa"/>
              <w:left w:w="108" w:type="dxa"/>
              <w:bottom w:w="0" w:type="dxa"/>
              <w:right w:w="108" w:type="dxa"/>
            </w:tcMar>
          </w:tcPr>
          <w:p w14:paraId="0999664C" w14:textId="77777777" w:rsidR="000A79B1" w:rsidRDefault="003537FD" w:rsidP="00831B01">
            <w:pPr>
              <w:spacing w:before="120" w:after="120"/>
              <w:rPr>
                <w:rFonts w:ascii="Arial" w:hAnsi="Arial" w:cs="Arial"/>
              </w:rPr>
            </w:pPr>
            <w:r>
              <w:rPr>
                <w:rFonts w:ascii="Arial" w:hAnsi="Arial" w:cs="Arial"/>
              </w:rPr>
              <w:t>NHS England reported at the scoping workshop that burosumab would be given in a specialised service environment not a highly specialised service.</w:t>
            </w:r>
            <w:r w:rsidR="000E2119">
              <w:rPr>
                <w:rFonts w:ascii="Arial" w:hAnsi="Arial" w:cs="Arial"/>
              </w:rPr>
              <w:t xml:space="preserve"> There are currently </w:t>
            </w:r>
            <w:r w:rsidR="000E2119" w:rsidRPr="000E2119">
              <w:rPr>
                <w:rFonts w:ascii="Arial" w:hAnsi="Arial" w:cs="Arial"/>
              </w:rPr>
              <w:t>15-20 metabolic bone disorders regional specialist centres</w:t>
            </w:r>
            <w:r w:rsidR="004503F2">
              <w:rPr>
                <w:rFonts w:ascii="Arial" w:hAnsi="Arial" w:cs="Arial"/>
              </w:rPr>
              <w:t xml:space="preserve"> with 15 responding to the NHS survey and scoping workshop.</w:t>
            </w:r>
          </w:p>
          <w:p w14:paraId="5032412D" w14:textId="161A4967" w:rsidR="000A79B1" w:rsidRPr="000A79B1" w:rsidRDefault="000A79B1" w:rsidP="00831B01">
            <w:pPr>
              <w:spacing w:before="120" w:after="120"/>
              <w:rPr>
                <w:rFonts w:ascii="Arial" w:hAnsi="Arial" w:cs="Arial"/>
              </w:rPr>
            </w:pPr>
            <w:r>
              <w:rPr>
                <w:rFonts w:ascii="Arial" w:hAnsi="Arial" w:cs="Arial"/>
              </w:rPr>
              <w:t xml:space="preserve">Note - after the stakeholder listening event: burosumab would be administered through a multidisciplinary team. Clinicians suggested a hub and spoke system based on </w:t>
            </w:r>
            <w:r w:rsidR="00FE0924">
              <w:rPr>
                <w:rFonts w:ascii="Arial" w:hAnsi="Arial" w:cs="Arial"/>
              </w:rPr>
              <w:t>3-4 regional networks.</w:t>
            </w:r>
          </w:p>
        </w:tc>
        <w:tc>
          <w:tcPr>
            <w:tcW w:w="677" w:type="pct"/>
            <w:tcBorders>
              <w:top w:val="nil"/>
              <w:left w:val="nil"/>
              <w:bottom w:val="single" w:sz="8" w:space="0" w:color="auto"/>
              <w:right w:val="single" w:sz="8" w:space="0" w:color="auto"/>
            </w:tcBorders>
            <w:shd w:val="clear" w:color="auto" w:fill="FF0000"/>
          </w:tcPr>
          <w:p w14:paraId="0AAA991F" w14:textId="77777777" w:rsidR="001722BA" w:rsidRPr="001722BA" w:rsidRDefault="001722BA" w:rsidP="001722BA">
            <w:pPr>
              <w:spacing w:before="120" w:after="120"/>
              <w:rPr>
                <w:rFonts w:ascii="Arial" w:hAnsi="Arial" w:cs="Arial"/>
                <w:b/>
                <w:bCs/>
                <w:u w:val="single"/>
              </w:rPr>
            </w:pPr>
            <w:r w:rsidRPr="001722BA">
              <w:rPr>
                <w:rFonts w:ascii="Arial" w:hAnsi="Arial" w:cs="Arial"/>
                <w:b/>
                <w:bCs/>
                <w:u w:val="single"/>
              </w:rPr>
              <w:t>Not Met</w:t>
            </w:r>
          </w:p>
          <w:p w14:paraId="32FB3FD4" w14:textId="77777777" w:rsidR="00DC3B22" w:rsidRPr="00C9475C" w:rsidRDefault="00DC3B22" w:rsidP="00DC3B22">
            <w:pPr>
              <w:ind w:left="360"/>
              <w:rPr>
                <w:rFonts w:ascii="Arial" w:hAnsi="Arial" w:cs="Arial"/>
                <w:highlight w:val="yellow"/>
              </w:rPr>
            </w:pPr>
          </w:p>
        </w:tc>
      </w:tr>
      <w:tr w:rsidR="00DC3B22" w:rsidRPr="00C9475C" w14:paraId="789AF90C" w14:textId="77777777" w:rsidTr="001722BA">
        <w:trPr>
          <w:trHeight w:val="502"/>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347C0A" w14:textId="77777777" w:rsidR="00DC3B22" w:rsidRPr="00C9475C" w:rsidRDefault="00DC3B22" w:rsidP="00DC3B22">
            <w:pPr>
              <w:rPr>
                <w:rFonts w:ascii="Arial" w:hAnsi="Arial" w:cs="Arial"/>
                <w:b/>
                <w:bCs/>
              </w:rPr>
            </w:pPr>
            <w:r w:rsidRPr="00C9475C">
              <w:rPr>
                <w:rFonts w:ascii="Arial" w:hAnsi="Arial" w:cs="Arial"/>
                <w:b/>
                <w:bCs/>
              </w:rPr>
              <w:t>The technology is likely to have a very high acquisition cost</w:t>
            </w:r>
          </w:p>
        </w:tc>
        <w:tc>
          <w:tcPr>
            <w:tcW w:w="2755" w:type="pct"/>
            <w:tcBorders>
              <w:top w:val="nil"/>
              <w:left w:val="nil"/>
              <w:bottom w:val="single" w:sz="8" w:space="0" w:color="auto"/>
              <w:right w:val="single" w:sz="8" w:space="0" w:color="auto"/>
            </w:tcBorders>
            <w:tcMar>
              <w:top w:w="0" w:type="dxa"/>
              <w:left w:w="108" w:type="dxa"/>
              <w:bottom w:w="0" w:type="dxa"/>
              <w:right w:w="108" w:type="dxa"/>
            </w:tcMar>
          </w:tcPr>
          <w:p w14:paraId="01874269" w14:textId="136F8D95" w:rsidR="00DC3B22" w:rsidRPr="00BC2283" w:rsidRDefault="004503F2" w:rsidP="004503F2">
            <w:pPr>
              <w:spacing w:before="120" w:after="120"/>
              <w:rPr>
                <w:rFonts w:ascii="Arial" w:hAnsi="Arial" w:cs="Arial"/>
              </w:rPr>
            </w:pPr>
            <w:r>
              <w:rPr>
                <w:rFonts w:ascii="Arial" w:hAnsi="Arial" w:cs="Arial"/>
              </w:rPr>
              <w:t xml:space="preserve">The dose used in the clinical trials for adults with XLH is weight-based and therefore the cost of burosumab is expected to be higher </w:t>
            </w:r>
            <w:r w:rsidR="00291EEC">
              <w:rPr>
                <w:rFonts w:ascii="Arial" w:hAnsi="Arial" w:cs="Arial"/>
              </w:rPr>
              <w:t xml:space="preserve">for adults </w:t>
            </w:r>
            <w:r>
              <w:rPr>
                <w:rFonts w:ascii="Arial" w:hAnsi="Arial" w:cs="Arial"/>
              </w:rPr>
              <w:t>than for children, however the dosing schedule is less frequent</w:t>
            </w:r>
            <w:r w:rsidR="007636E6" w:rsidRPr="004503F2">
              <w:rPr>
                <w:rFonts w:ascii="Arial" w:hAnsi="Arial" w:cs="Arial"/>
              </w:rPr>
              <w:t xml:space="preserve">. </w:t>
            </w:r>
            <w:r w:rsidR="00291EEC">
              <w:rPr>
                <w:rFonts w:ascii="Arial" w:hAnsi="Arial" w:cs="Arial"/>
              </w:rPr>
              <w:t xml:space="preserve">The acquisition cost is estimated to be approximately </w:t>
            </w:r>
            <w:proofErr w:type="gramStart"/>
            <w:r w:rsidR="00291EEC">
              <w:rPr>
                <w:rFonts w:ascii="Arial" w:hAnsi="Arial" w:cs="Arial"/>
              </w:rPr>
              <w:t>similar to</w:t>
            </w:r>
            <w:proofErr w:type="gramEnd"/>
            <w:r w:rsidR="00291EEC">
              <w:rPr>
                <w:rFonts w:ascii="Arial" w:hAnsi="Arial" w:cs="Arial"/>
              </w:rPr>
              <w:t xml:space="preserve"> the price used in </w:t>
            </w:r>
            <w:r w:rsidR="007636E6">
              <w:rPr>
                <w:rFonts w:ascii="Arial" w:hAnsi="Arial" w:cs="Arial"/>
              </w:rPr>
              <w:t>HST8.</w:t>
            </w:r>
          </w:p>
        </w:tc>
        <w:tc>
          <w:tcPr>
            <w:tcW w:w="677" w:type="pct"/>
            <w:tcBorders>
              <w:top w:val="nil"/>
              <w:left w:val="nil"/>
              <w:bottom w:val="single" w:sz="8" w:space="0" w:color="auto"/>
              <w:right w:val="single" w:sz="8" w:space="0" w:color="auto"/>
            </w:tcBorders>
            <w:shd w:val="clear" w:color="auto" w:fill="92D050"/>
          </w:tcPr>
          <w:p w14:paraId="416DDBF5" w14:textId="77777777" w:rsidR="001722BA" w:rsidRDefault="001722BA" w:rsidP="001722BA">
            <w:pPr>
              <w:spacing w:before="120" w:after="120"/>
              <w:rPr>
                <w:rFonts w:ascii="Arial" w:hAnsi="Arial" w:cs="Arial"/>
              </w:rPr>
            </w:pPr>
            <w:r w:rsidRPr="001722BA">
              <w:rPr>
                <w:rFonts w:ascii="Arial" w:hAnsi="Arial" w:cs="Arial"/>
                <w:b/>
                <w:bCs/>
                <w:u w:val="single"/>
              </w:rPr>
              <w:t>Met</w:t>
            </w:r>
          </w:p>
          <w:p w14:paraId="3D0B6127" w14:textId="77777777" w:rsidR="00DC3B22" w:rsidRPr="00C9475C" w:rsidRDefault="00DC3B22" w:rsidP="00DC3B22">
            <w:pPr>
              <w:ind w:left="360"/>
              <w:rPr>
                <w:rFonts w:ascii="Arial" w:hAnsi="Arial" w:cs="Arial"/>
              </w:rPr>
            </w:pPr>
          </w:p>
        </w:tc>
      </w:tr>
      <w:tr w:rsidR="00DC3B22" w:rsidRPr="00C9475C" w14:paraId="5D51318F" w14:textId="77777777" w:rsidTr="001722BA">
        <w:trPr>
          <w:trHeight w:val="502"/>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12B88" w14:textId="1BF40904" w:rsidR="00DC3B22" w:rsidRPr="00C9475C" w:rsidRDefault="00DC3B22" w:rsidP="00DC3B22">
            <w:pPr>
              <w:rPr>
                <w:rFonts w:ascii="Arial" w:hAnsi="Arial" w:cs="Arial"/>
                <w:b/>
                <w:bCs/>
              </w:rPr>
            </w:pPr>
            <w:r w:rsidRPr="00C9475C">
              <w:rPr>
                <w:rFonts w:ascii="Arial" w:hAnsi="Arial" w:cs="Arial"/>
                <w:b/>
                <w:bCs/>
              </w:rPr>
              <w:t xml:space="preserve">The technology has the potential for </w:t>
            </w:r>
            <w:r w:rsidR="00566E2A" w:rsidRPr="00C9475C">
              <w:rPr>
                <w:rFonts w:ascii="Arial" w:hAnsi="Arial" w:cs="Arial"/>
                <w:b/>
                <w:bCs/>
              </w:rPr>
              <w:t>lifelong</w:t>
            </w:r>
            <w:r w:rsidRPr="00C9475C">
              <w:rPr>
                <w:rFonts w:ascii="Arial" w:hAnsi="Arial" w:cs="Arial"/>
                <w:b/>
                <w:bCs/>
              </w:rPr>
              <w:t xml:space="preserve"> use</w:t>
            </w:r>
          </w:p>
        </w:tc>
        <w:tc>
          <w:tcPr>
            <w:tcW w:w="2755" w:type="pct"/>
            <w:tcBorders>
              <w:top w:val="nil"/>
              <w:left w:val="nil"/>
              <w:bottom w:val="single" w:sz="8" w:space="0" w:color="auto"/>
              <w:right w:val="single" w:sz="8" w:space="0" w:color="auto"/>
            </w:tcBorders>
            <w:tcMar>
              <w:top w:w="0" w:type="dxa"/>
              <w:left w:w="108" w:type="dxa"/>
              <w:bottom w:w="0" w:type="dxa"/>
              <w:right w:w="108" w:type="dxa"/>
            </w:tcMar>
          </w:tcPr>
          <w:p w14:paraId="00FFE916" w14:textId="4593B41B" w:rsidR="00DC3B22" w:rsidRPr="00C9475C" w:rsidRDefault="00015B08" w:rsidP="004503F2">
            <w:pPr>
              <w:spacing w:before="120" w:after="120"/>
              <w:rPr>
                <w:rFonts w:ascii="Arial" w:hAnsi="Arial" w:cs="Arial"/>
              </w:rPr>
            </w:pPr>
            <w:r>
              <w:rPr>
                <w:rFonts w:ascii="Arial" w:hAnsi="Arial" w:cs="Arial"/>
              </w:rPr>
              <w:t>Assuming that there are no differences in the clinical response or side effects in the long-term, the technology has the potential for lifelong use. However long-term clinical evidence is limited (maximum study length is 96 weeks). There is also the potential for benefit from short term use in the case of improved fracture healing.</w:t>
            </w:r>
            <w:r w:rsidR="00D7679B">
              <w:rPr>
                <w:rFonts w:ascii="Arial" w:hAnsi="Arial" w:cs="Arial"/>
              </w:rPr>
              <w:t xml:space="preserve"> The logic of the mechanism of action would suggest permanent lifelong use for all people with XLH to maintain bone mass and decrease chances of skeletal events.</w:t>
            </w:r>
          </w:p>
        </w:tc>
        <w:tc>
          <w:tcPr>
            <w:tcW w:w="677" w:type="pct"/>
            <w:tcBorders>
              <w:top w:val="nil"/>
              <w:left w:val="nil"/>
              <w:bottom w:val="single" w:sz="8" w:space="0" w:color="auto"/>
              <w:right w:val="single" w:sz="8" w:space="0" w:color="auto"/>
            </w:tcBorders>
            <w:shd w:val="clear" w:color="auto" w:fill="92D050"/>
          </w:tcPr>
          <w:p w14:paraId="632F6CD2" w14:textId="77777777" w:rsidR="001722BA" w:rsidRPr="001722BA" w:rsidRDefault="001722BA" w:rsidP="001722BA">
            <w:pPr>
              <w:spacing w:before="120" w:after="120"/>
              <w:rPr>
                <w:rFonts w:ascii="Arial" w:hAnsi="Arial" w:cs="Arial"/>
                <w:b/>
                <w:bCs/>
                <w:u w:val="single"/>
              </w:rPr>
            </w:pPr>
            <w:r w:rsidRPr="001722BA">
              <w:rPr>
                <w:rFonts w:ascii="Arial" w:hAnsi="Arial" w:cs="Arial"/>
                <w:b/>
                <w:bCs/>
                <w:u w:val="single"/>
              </w:rPr>
              <w:t xml:space="preserve">Met </w:t>
            </w:r>
          </w:p>
          <w:p w14:paraId="749D9B06" w14:textId="77777777" w:rsidR="00DC3B22" w:rsidRPr="00C9475C" w:rsidRDefault="00DC3B22" w:rsidP="00DC3B22">
            <w:pPr>
              <w:ind w:left="360"/>
              <w:rPr>
                <w:rFonts w:ascii="Arial" w:hAnsi="Arial" w:cs="Arial"/>
              </w:rPr>
            </w:pPr>
          </w:p>
        </w:tc>
      </w:tr>
      <w:tr w:rsidR="00DC3B22" w:rsidRPr="00C9475C" w14:paraId="3338A91D" w14:textId="77777777" w:rsidTr="001722BA">
        <w:trPr>
          <w:trHeight w:val="502"/>
        </w:trPr>
        <w:tc>
          <w:tcPr>
            <w:tcW w:w="15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73469" w14:textId="77777777" w:rsidR="00DC3B22" w:rsidRPr="00C9475C" w:rsidRDefault="00DC3B22" w:rsidP="00DC3B22">
            <w:pPr>
              <w:rPr>
                <w:rFonts w:ascii="Arial" w:hAnsi="Arial" w:cs="Arial"/>
                <w:b/>
                <w:bCs/>
              </w:rPr>
            </w:pPr>
            <w:r w:rsidRPr="00C9475C">
              <w:rPr>
                <w:rFonts w:ascii="Arial" w:hAnsi="Arial" w:cs="Arial"/>
                <w:b/>
                <w:bCs/>
              </w:rPr>
              <w:t>The need for national commissioning of the technology is significant</w:t>
            </w:r>
          </w:p>
        </w:tc>
        <w:tc>
          <w:tcPr>
            <w:tcW w:w="2755" w:type="pct"/>
            <w:tcBorders>
              <w:top w:val="nil"/>
              <w:left w:val="nil"/>
              <w:bottom w:val="single" w:sz="8" w:space="0" w:color="auto"/>
              <w:right w:val="single" w:sz="8" w:space="0" w:color="auto"/>
            </w:tcBorders>
            <w:tcMar>
              <w:top w:w="0" w:type="dxa"/>
              <w:left w:w="108" w:type="dxa"/>
              <w:bottom w:w="0" w:type="dxa"/>
              <w:right w:w="108" w:type="dxa"/>
            </w:tcMar>
          </w:tcPr>
          <w:p w14:paraId="56D2647A" w14:textId="2564C9AA" w:rsidR="00DC3B22" w:rsidRPr="00C9475C" w:rsidRDefault="00015B08" w:rsidP="004503F2">
            <w:pPr>
              <w:spacing w:before="120" w:after="120"/>
              <w:rPr>
                <w:rFonts w:ascii="Arial" w:hAnsi="Arial" w:cs="Arial"/>
              </w:rPr>
            </w:pPr>
            <w:r>
              <w:rPr>
                <w:rFonts w:ascii="Arial" w:hAnsi="Arial" w:cs="Arial"/>
              </w:rPr>
              <w:t>There is currently no consensus on how adults with XLH should be treated</w:t>
            </w:r>
            <w:r w:rsidR="0038348A">
              <w:rPr>
                <w:rFonts w:ascii="Arial" w:hAnsi="Arial" w:cs="Arial"/>
              </w:rPr>
              <w:t xml:space="preserve"> and no</w:t>
            </w:r>
            <w:r w:rsidR="00D7679B">
              <w:rPr>
                <w:rFonts w:ascii="Arial" w:hAnsi="Arial" w:cs="Arial"/>
              </w:rPr>
              <w:t xml:space="preserve"> disease modifying</w:t>
            </w:r>
            <w:r w:rsidR="0038348A">
              <w:rPr>
                <w:rFonts w:ascii="Arial" w:hAnsi="Arial" w:cs="Arial"/>
              </w:rPr>
              <w:t xml:space="preserve"> </w:t>
            </w:r>
            <w:r w:rsidR="009C2BE3">
              <w:rPr>
                <w:rFonts w:ascii="Arial" w:hAnsi="Arial" w:cs="Arial"/>
              </w:rPr>
              <w:t>treatment beyond symptom management</w:t>
            </w:r>
            <w:r w:rsidR="00D7679B">
              <w:rPr>
                <w:rFonts w:ascii="Arial" w:hAnsi="Arial" w:cs="Arial"/>
              </w:rPr>
              <w:t xml:space="preserve"> and supplementation</w:t>
            </w:r>
            <w:r w:rsidR="009C2BE3">
              <w:rPr>
                <w:rFonts w:ascii="Arial" w:hAnsi="Arial" w:cs="Arial"/>
              </w:rPr>
              <w:t xml:space="preserve">. Further, current treatment options may </w:t>
            </w:r>
            <w:r w:rsidR="009C2BE3" w:rsidRPr="009C2BE3">
              <w:rPr>
                <w:rFonts w:ascii="Arial" w:hAnsi="Arial" w:cs="Arial"/>
              </w:rPr>
              <w:t>elevate FGF23, which</w:t>
            </w:r>
            <w:r w:rsidR="009C2BE3">
              <w:rPr>
                <w:rFonts w:ascii="Arial" w:hAnsi="Arial" w:cs="Arial"/>
              </w:rPr>
              <w:t xml:space="preserve"> can</w:t>
            </w:r>
            <w:r w:rsidR="009C2BE3" w:rsidRPr="009C2BE3">
              <w:rPr>
                <w:rFonts w:ascii="Arial" w:hAnsi="Arial" w:cs="Arial"/>
              </w:rPr>
              <w:t xml:space="preserve"> worsen</w:t>
            </w:r>
            <w:r w:rsidR="009C2BE3">
              <w:rPr>
                <w:rFonts w:ascii="Arial" w:hAnsi="Arial" w:cs="Arial"/>
              </w:rPr>
              <w:t xml:space="preserve"> </w:t>
            </w:r>
            <w:r w:rsidR="009C2BE3" w:rsidRPr="009C2BE3">
              <w:rPr>
                <w:rFonts w:ascii="Arial" w:hAnsi="Arial" w:cs="Arial"/>
              </w:rPr>
              <w:t>enthesopathy and lead to secondary hyperparathyroidism</w:t>
            </w:r>
            <w:r w:rsidR="009C2BE3">
              <w:rPr>
                <w:rFonts w:ascii="Arial" w:hAnsi="Arial" w:cs="Arial"/>
              </w:rPr>
              <w:t>.</w:t>
            </w:r>
          </w:p>
        </w:tc>
        <w:tc>
          <w:tcPr>
            <w:tcW w:w="677" w:type="pct"/>
            <w:tcBorders>
              <w:top w:val="nil"/>
              <w:left w:val="nil"/>
              <w:bottom w:val="single" w:sz="8" w:space="0" w:color="auto"/>
              <w:right w:val="single" w:sz="8" w:space="0" w:color="auto"/>
            </w:tcBorders>
            <w:shd w:val="clear" w:color="auto" w:fill="92D050"/>
          </w:tcPr>
          <w:p w14:paraId="054C79CB" w14:textId="77777777" w:rsidR="001722BA" w:rsidRDefault="001722BA" w:rsidP="001722BA">
            <w:pPr>
              <w:spacing w:before="120" w:after="120"/>
              <w:rPr>
                <w:rFonts w:ascii="Arial" w:hAnsi="Arial" w:cs="Arial"/>
                <w:b/>
                <w:bCs/>
                <w:u w:val="single"/>
              </w:rPr>
            </w:pPr>
            <w:r w:rsidRPr="001128BA">
              <w:rPr>
                <w:rFonts w:ascii="Arial" w:hAnsi="Arial" w:cs="Arial"/>
                <w:b/>
                <w:bCs/>
                <w:u w:val="single"/>
              </w:rPr>
              <w:t>Met</w:t>
            </w:r>
          </w:p>
          <w:p w14:paraId="60658F55" w14:textId="77777777" w:rsidR="00DC3B22" w:rsidRPr="00C9475C" w:rsidRDefault="00DC3B22" w:rsidP="00DC3B22">
            <w:pPr>
              <w:ind w:left="360"/>
              <w:rPr>
                <w:rFonts w:ascii="Arial" w:hAnsi="Arial" w:cs="Arial"/>
              </w:rPr>
            </w:pPr>
          </w:p>
        </w:tc>
      </w:tr>
    </w:tbl>
    <w:p w14:paraId="1FBC9355" w14:textId="77777777" w:rsidR="000567FF" w:rsidRPr="00F90BB8" w:rsidRDefault="000567FF" w:rsidP="00F90BB8"/>
    <w:p w14:paraId="206CD688" w14:textId="77777777" w:rsidR="000567FF" w:rsidRPr="000567FF" w:rsidRDefault="000567FF" w:rsidP="000567FF">
      <w:pPr>
        <w:pStyle w:val="Paragraphnonumbers"/>
      </w:pPr>
    </w:p>
    <w:sectPr w:rsidR="000567FF" w:rsidRPr="000567FF" w:rsidSect="0017149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1CE0" w14:textId="77777777" w:rsidR="000567FF" w:rsidRDefault="000567FF" w:rsidP="00446BEE">
      <w:r>
        <w:separator/>
      </w:r>
    </w:p>
  </w:endnote>
  <w:endnote w:type="continuationSeparator" w:id="0">
    <w:p w14:paraId="35862D2B" w14:textId="77777777" w:rsidR="000567FF" w:rsidRDefault="000567F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61257"/>
      <w:docPartObj>
        <w:docPartGallery w:val="Page Numbers (Bottom of Page)"/>
        <w:docPartUnique/>
      </w:docPartObj>
    </w:sdtPr>
    <w:sdtEndPr>
      <w:rPr>
        <w:noProof/>
      </w:rPr>
    </w:sdtEndPr>
    <w:sdtContent>
      <w:p w14:paraId="3E2D0C58" w14:textId="58540651" w:rsidR="00696A5C" w:rsidRDefault="00696A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13DDC8" w14:textId="59AA2FDB" w:rsidR="00696A5C" w:rsidRDefault="00210B8B">
    <w:pPr>
      <w:pStyle w:val="Footer"/>
    </w:pPr>
    <w:r>
      <w:t>Published -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C7BEF" w14:textId="77777777" w:rsidR="000567FF" w:rsidRDefault="000567FF" w:rsidP="00446BEE">
      <w:r>
        <w:separator/>
      </w:r>
    </w:p>
  </w:footnote>
  <w:footnote w:type="continuationSeparator" w:id="0">
    <w:p w14:paraId="61D0BE6E" w14:textId="77777777" w:rsidR="000567FF" w:rsidRDefault="000567FF"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E463" w14:textId="3D868242" w:rsidR="00696A5C" w:rsidRDefault="00696A5C" w:rsidP="00696A5C">
    <w:pPr>
      <w:pStyle w:val="Header"/>
      <w:ind w:left="-567"/>
    </w:pPr>
    <w:r>
      <w:rPr>
        <w:noProof/>
        <w:lang w:eastAsia="en-GB"/>
      </w:rPr>
      <w:drawing>
        <wp:inline distT="0" distB="0" distL="0" distR="0" wp14:anchorId="195691D1" wp14:editId="2924CF7A">
          <wp:extent cx="2484120" cy="252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252095"/>
                  </a:xfrm>
                  <a:prstGeom prst="rect">
                    <a:avLst/>
                  </a:prstGeom>
                  <a:noFill/>
                </pic:spPr>
              </pic:pic>
            </a:graphicData>
          </a:graphic>
        </wp:inline>
      </w:drawing>
    </w:r>
    <w:r>
      <w:rPr>
        <w:noProof/>
      </w:rPr>
      <w:tab/>
      <w:t xml:space="preserve">     </w:t>
    </w:r>
  </w:p>
  <w:p w14:paraId="0E5E5CCD" w14:textId="4A0D35C3" w:rsidR="002C5E6A" w:rsidRDefault="002C5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33D6E"/>
    <w:multiLevelType w:val="hybridMultilevel"/>
    <w:tmpl w:val="BBB20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A34FA"/>
    <w:multiLevelType w:val="hybridMultilevel"/>
    <w:tmpl w:val="5012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5C7411"/>
    <w:multiLevelType w:val="hybridMultilevel"/>
    <w:tmpl w:val="030C458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6A841FA"/>
    <w:multiLevelType w:val="hybridMultilevel"/>
    <w:tmpl w:val="C54C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E96BD8"/>
    <w:multiLevelType w:val="hybridMultilevel"/>
    <w:tmpl w:val="0A4C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267E21"/>
    <w:multiLevelType w:val="hybridMultilevel"/>
    <w:tmpl w:val="127EF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7A83C75"/>
    <w:multiLevelType w:val="hybridMultilevel"/>
    <w:tmpl w:val="422AB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15760">
    <w:abstractNumId w:val="16"/>
  </w:num>
  <w:num w:numId="2" w16cid:durableId="852233099">
    <w:abstractNumId w:val="18"/>
  </w:num>
  <w:num w:numId="3" w16cid:durableId="974682749">
    <w:abstractNumId w:val="18"/>
    <w:lvlOverride w:ilvl="0">
      <w:startOverride w:val="1"/>
    </w:lvlOverride>
  </w:num>
  <w:num w:numId="4" w16cid:durableId="1916158355">
    <w:abstractNumId w:val="18"/>
    <w:lvlOverride w:ilvl="0">
      <w:startOverride w:val="1"/>
    </w:lvlOverride>
  </w:num>
  <w:num w:numId="5" w16cid:durableId="667051212">
    <w:abstractNumId w:val="18"/>
    <w:lvlOverride w:ilvl="0">
      <w:startOverride w:val="1"/>
    </w:lvlOverride>
  </w:num>
  <w:num w:numId="6" w16cid:durableId="948703813">
    <w:abstractNumId w:val="18"/>
    <w:lvlOverride w:ilvl="0">
      <w:startOverride w:val="1"/>
    </w:lvlOverride>
  </w:num>
  <w:num w:numId="7" w16cid:durableId="117996050">
    <w:abstractNumId w:val="18"/>
    <w:lvlOverride w:ilvl="0">
      <w:startOverride w:val="1"/>
    </w:lvlOverride>
  </w:num>
  <w:num w:numId="8" w16cid:durableId="2044207136">
    <w:abstractNumId w:val="9"/>
  </w:num>
  <w:num w:numId="9" w16cid:durableId="1393500737">
    <w:abstractNumId w:val="7"/>
  </w:num>
  <w:num w:numId="10" w16cid:durableId="1199972693">
    <w:abstractNumId w:val="6"/>
  </w:num>
  <w:num w:numId="11" w16cid:durableId="653293975">
    <w:abstractNumId w:val="5"/>
  </w:num>
  <w:num w:numId="12" w16cid:durableId="2112239836">
    <w:abstractNumId w:val="4"/>
  </w:num>
  <w:num w:numId="13" w16cid:durableId="1092317016">
    <w:abstractNumId w:val="8"/>
  </w:num>
  <w:num w:numId="14" w16cid:durableId="107044444">
    <w:abstractNumId w:val="3"/>
  </w:num>
  <w:num w:numId="15" w16cid:durableId="188492324">
    <w:abstractNumId w:val="2"/>
  </w:num>
  <w:num w:numId="16" w16cid:durableId="783185104">
    <w:abstractNumId w:val="1"/>
  </w:num>
  <w:num w:numId="17" w16cid:durableId="1754818120">
    <w:abstractNumId w:val="0"/>
  </w:num>
  <w:num w:numId="18" w16cid:durableId="978998913">
    <w:abstractNumId w:val="11"/>
  </w:num>
  <w:num w:numId="19" w16cid:durableId="658971204">
    <w:abstractNumId w:val="11"/>
    <w:lvlOverride w:ilvl="0">
      <w:startOverride w:val="1"/>
    </w:lvlOverride>
  </w:num>
  <w:num w:numId="20" w16cid:durableId="601497448">
    <w:abstractNumId w:val="10"/>
  </w:num>
  <w:num w:numId="21" w16cid:durableId="1693922066">
    <w:abstractNumId w:val="20"/>
  </w:num>
  <w:num w:numId="22" w16cid:durableId="1587110390">
    <w:abstractNumId w:val="15"/>
  </w:num>
  <w:num w:numId="23" w16cid:durableId="1337079073">
    <w:abstractNumId w:val="19"/>
  </w:num>
  <w:num w:numId="24" w16cid:durableId="299118349">
    <w:abstractNumId w:val="17"/>
  </w:num>
  <w:num w:numId="25" w16cid:durableId="1769421803">
    <w:abstractNumId w:val="14"/>
  </w:num>
  <w:num w:numId="26" w16cid:durableId="794251286">
    <w:abstractNumId w:val="13"/>
  </w:num>
  <w:num w:numId="27" w16cid:durableId="12887785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FF"/>
    <w:rsid w:val="000002E3"/>
    <w:rsid w:val="000053F8"/>
    <w:rsid w:val="00006FAF"/>
    <w:rsid w:val="00015B08"/>
    <w:rsid w:val="00024D0A"/>
    <w:rsid w:val="000301FD"/>
    <w:rsid w:val="000472DC"/>
    <w:rsid w:val="000502B2"/>
    <w:rsid w:val="000567FF"/>
    <w:rsid w:val="000575B1"/>
    <w:rsid w:val="00070065"/>
    <w:rsid w:val="000A4FEE"/>
    <w:rsid w:val="000A79B1"/>
    <w:rsid w:val="000B5939"/>
    <w:rsid w:val="000B734B"/>
    <w:rsid w:val="000C0985"/>
    <w:rsid w:val="000E2119"/>
    <w:rsid w:val="000E39C5"/>
    <w:rsid w:val="000E42DB"/>
    <w:rsid w:val="00111CCE"/>
    <w:rsid w:val="001134E7"/>
    <w:rsid w:val="0017149E"/>
    <w:rsid w:val="0017169E"/>
    <w:rsid w:val="001722BA"/>
    <w:rsid w:val="00181A4A"/>
    <w:rsid w:val="00187E2B"/>
    <w:rsid w:val="001A1FB4"/>
    <w:rsid w:val="001B0EE9"/>
    <w:rsid w:val="001B65B3"/>
    <w:rsid w:val="002029A6"/>
    <w:rsid w:val="00210B8B"/>
    <w:rsid w:val="002408EA"/>
    <w:rsid w:val="00272143"/>
    <w:rsid w:val="002819D7"/>
    <w:rsid w:val="00282FA7"/>
    <w:rsid w:val="00291A17"/>
    <w:rsid w:val="00291EEC"/>
    <w:rsid w:val="002C1A7E"/>
    <w:rsid w:val="002C5E6A"/>
    <w:rsid w:val="002D3376"/>
    <w:rsid w:val="00307DA3"/>
    <w:rsid w:val="00311ED0"/>
    <w:rsid w:val="00312356"/>
    <w:rsid w:val="003377C1"/>
    <w:rsid w:val="003537FD"/>
    <w:rsid w:val="003648C5"/>
    <w:rsid w:val="003722FA"/>
    <w:rsid w:val="0038348A"/>
    <w:rsid w:val="003A0F66"/>
    <w:rsid w:val="003C7AAF"/>
    <w:rsid w:val="003F41C3"/>
    <w:rsid w:val="004075B6"/>
    <w:rsid w:val="0041504E"/>
    <w:rsid w:val="00420952"/>
    <w:rsid w:val="00433EFF"/>
    <w:rsid w:val="00443081"/>
    <w:rsid w:val="00446BEE"/>
    <w:rsid w:val="004503F2"/>
    <w:rsid w:val="00476B64"/>
    <w:rsid w:val="004B3C24"/>
    <w:rsid w:val="004C5DA1"/>
    <w:rsid w:val="004E20CB"/>
    <w:rsid w:val="004F1A46"/>
    <w:rsid w:val="005025A1"/>
    <w:rsid w:val="00566E2A"/>
    <w:rsid w:val="005A03B1"/>
    <w:rsid w:val="006165CC"/>
    <w:rsid w:val="006921E1"/>
    <w:rsid w:val="00696A5C"/>
    <w:rsid w:val="006B745C"/>
    <w:rsid w:val="006F4B25"/>
    <w:rsid w:val="006F6496"/>
    <w:rsid w:val="00736348"/>
    <w:rsid w:val="00760908"/>
    <w:rsid w:val="00762F6D"/>
    <w:rsid w:val="007636E6"/>
    <w:rsid w:val="007B26B5"/>
    <w:rsid w:val="007F238D"/>
    <w:rsid w:val="00831B01"/>
    <w:rsid w:val="008502ED"/>
    <w:rsid w:val="00857CBD"/>
    <w:rsid w:val="00860835"/>
    <w:rsid w:val="00861B92"/>
    <w:rsid w:val="008814FB"/>
    <w:rsid w:val="00883EC8"/>
    <w:rsid w:val="008F5E30"/>
    <w:rsid w:val="009007BF"/>
    <w:rsid w:val="009068FC"/>
    <w:rsid w:val="00914D7F"/>
    <w:rsid w:val="009364A7"/>
    <w:rsid w:val="00962555"/>
    <w:rsid w:val="009930B5"/>
    <w:rsid w:val="009B1E96"/>
    <w:rsid w:val="009C2BE3"/>
    <w:rsid w:val="009E680B"/>
    <w:rsid w:val="00A15A1F"/>
    <w:rsid w:val="00A3325A"/>
    <w:rsid w:val="00A43013"/>
    <w:rsid w:val="00AA0377"/>
    <w:rsid w:val="00AF108A"/>
    <w:rsid w:val="00B02E55"/>
    <w:rsid w:val="00B036C1"/>
    <w:rsid w:val="00B4653F"/>
    <w:rsid w:val="00B46ABD"/>
    <w:rsid w:val="00B5431F"/>
    <w:rsid w:val="00B933FB"/>
    <w:rsid w:val="00BC2283"/>
    <w:rsid w:val="00BF629E"/>
    <w:rsid w:val="00BF7FE0"/>
    <w:rsid w:val="00C56168"/>
    <w:rsid w:val="00C5738E"/>
    <w:rsid w:val="00C60D5A"/>
    <w:rsid w:val="00C81104"/>
    <w:rsid w:val="00C9475C"/>
    <w:rsid w:val="00C96411"/>
    <w:rsid w:val="00CA78AA"/>
    <w:rsid w:val="00CB5671"/>
    <w:rsid w:val="00CD408C"/>
    <w:rsid w:val="00CF58B7"/>
    <w:rsid w:val="00D351C1"/>
    <w:rsid w:val="00D35EFB"/>
    <w:rsid w:val="00D504B3"/>
    <w:rsid w:val="00D50D22"/>
    <w:rsid w:val="00D52E53"/>
    <w:rsid w:val="00D7679B"/>
    <w:rsid w:val="00D86AC1"/>
    <w:rsid w:val="00D86BF0"/>
    <w:rsid w:val="00D93F96"/>
    <w:rsid w:val="00DB7AC5"/>
    <w:rsid w:val="00DC3B22"/>
    <w:rsid w:val="00E51920"/>
    <w:rsid w:val="00E64120"/>
    <w:rsid w:val="00E660A1"/>
    <w:rsid w:val="00E72062"/>
    <w:rsid w:val="00E97F4F"/>
    <w:rsid w:val="00EA3CCF"/>
    <w:rsid w:val="00F00624"/>
    <w:rsid w:val="00F055F1"/>
    <w:rsid w:val="00F3454C"/>
    <w:rsid w:val="00F610AF"/>
    <w:rsid w:val="00F82129"/>
    <w:rsid w:val="00F90BB8"/>
    <w:rsid w:val="00FA2C5A"/>
    <w:rsid w:val="00FB5ECF"/>
    <w:rsid w:val="00FC2D11"/>
    <w:rsid w:val="00FC6230"/>
    <w:rsid w:val="00FD3BB8"/>
    <w:rsid w:val="00FE0924"/>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B8F90"/>
  <w15:chartTrackingRefBased/>
  <w15:docId w15:val="{8DEC6D71-6D20-4067-8595-A2569BD6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7FF"/>
    <w:rPr>
      <w:rFonts w:ascii="Calibri" w:eastAsiaTheme="minorHAnsi" w:hAnsi="Calibri"/>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semiHidden/>
    <w:unhideWhenUsed/>
    <w:rsid w:val="000567FF"/>
    <w:rPr>
      <w:color w:val="0563C1"/>
      <w:u w:val="single"/>
    </w:rPr>
  </w:style>
  <w:style w:type="paragraph" w:styleId="PlainText">
    <w:name w:val="Plain Text"/>
    <w:basedOn w:val="Normal"/>
    <w:link w:val="PlainTextChar"/>
    <w:uiPriority w:val="99"/>
    <w:semiHidden/>
    <w:unhideWhenUsed/>
    <w:rsid w:val="000567FF"/>
  </w:style>
  <w:style w:type="character" w:customStyle="1" w:styleId="PlainTextChar">
    <w:name w:val="Plain Text Char"/>
    <w:basedOn w:val="DefaultParagraphFont"/>
    <w:link w:val="PlainText"/>
    <w:uiPriority w:val="99"/>
    <w:semiHidden/>
    <w:rsid w:val="000567FF"/>
    <w:rPr>
      <w:rFonts w:ascii="Calibri" w:eastAsiaTheme="minorHAnsi" w:hAnsi="Calibri"/>
      <w:sz w:val="22"/>
      <w:szCs w:val="22"/>
      <w:lang w:eastAsia="en-US"/>
    </w:rPr>
  </w:style>
  <w:style w:type="character" w:styleId="CommentReference">
    <w:name w:val="annotation reference"/>
    <w:basedOn w:val="DefaultParagraphFont"/>
    <w:semiHidden/>
    <w:unhideWhenUsed/>
    <w:rsid w:val="00B46ABD"/>
    <w:rPr>
      <w:sz w:val="16"/>
      <w:szCs w:val="16"/>
    </w:rPr>
  </w:style>
  <w:style w:type="paragraph" w:styleId="CommentText">
    <w:name w:val="annotation text"/>
    <w:basedOn w:val="Normal"/>
    <w:link w:val="CommentTextChar"/>
    <w:semiHidden/>
    <w:unhideWhenUsed/>
    <w:rsid w:val="00B46ABD"/>
    <w:rPr>
      <w:sz w:val="20"/>
      <w:szCs w:val="20"/>
    </w:rPr>
  </w:style>
  <w:style w:type="character" w:customStyle="1" w:styleId="CommentTextChar">
    <w:name w:val="Comment Text Char"/>
    <w:basedOn w:val="DefaultParagraphFont"/>
    <w:link w:val="CommentText"/>
    <w:semiHidden/>
    <w:rsid w:val="00B46ABD"/>
    <w:rPr>
      <w:rFonts w:ascii="Calibri" w:eastAsiaTheme="minorHAnsi" w:hAnsi="Calibri"/>
      <w:lang w:eastAsia="en-US"/>
    </w:rPr>
  </w:style>
  <w:style w:type="paragraph" w:styleId="CommentSubject">
    <w:name w:val="annotation subject"/>
    <w:basedOn w:val="CommentText"/>
    <w:next w:val="CommentText"/>
    <w:link w:val="CommentSubjectChar"/>
    <w:semiHidden/>
    <w:unhideWhenUsed/>
    <w:rsid w:val="00B46ABD"/>
    <w:rPr>
      <w:b/>
      <w:bCs/>
    </w:rPr>
  </w:style>
  <w:style w:type="character" w:customStyle="1" w:styleId="CommentSubjectChar">
    <w:name w:val="Comment Subject Char"/>
    <w:basedOn w:val="CommentTextChar"/>
    <w:link w:val="CommentSubject"/>
    <w:semiHidden/>
    <w:rsid w:val="00B46ABD"/>
    <w:rPr>
      <w:rFonts w:ascii="Calibri" w:eastAsiaTheme="minorHAnsi" w:hAnsi="Calibri"/>
      <w:b/>
      <w:bCs/>
      <w:lang w:eastAsia="en-US"/>
    </w:rPr>
  </w:style>
  <w:style w:type="paragraph" w:styleId="BodyText">
    <w:name w:val="Body Text"/>
    <w:basedOn w:val="Normal"/>
    <w:link w:val="BodyTextChar"/>
    <w:rsid w:val="00291A17"/>
    <w:pPr>
      <w:spacing w:after="240"/>
    </w:pPr>
    <w:rPr>
      <w:rFonts w:ascii="Arial" w:eastAsia="Times New Roman" w:hAnsi="Arial"/>
      <w:sz w:val="24"/>
      <w:szCs w:val="20"/>
      <w:lang w:val="x-none"/>
    </w:rPr>
  </w:style>
  <w:style w:type="character" w:customStyle="1" w:styleId="BodyTextChar">
    <w:name w:val="Body Text Char"/>
    <w:basedOn w:val="DefaultParagraphFont"/>
    <w:link w:val="BodyText"/>
    <w:rsid w:val="00291A17"/>
    <w:rPr>
      <w:rFonts w:ascii="Arial" w:hAnsi="Arial"/>
      <w:sz w:val="24"/>
      <w:lang w:val="x-none" w:eastAsia="en-US"/>
    </w:rPr>
  </w:style>
  <w:style w:type="table" w:styleId="TableGrid">
    <w:name w:val="Table Grid"/>
    <w:basedOn w:val="TableNormal"/>
    <w:rsid w:val="00C94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rsid w:val="00696A5C"/>
    <w:pPr>
      <w:ind w:left="720"/>
      <w:contextualSpacing/>
    </w:pPr>
  </w:style>
  <w:style w:type="paragraph" w:styleId="Revision">
    <w:name w:val="Revision"/>
    <w:hidden/>
    <w:uiPriority w:val="99"/>
    <w:semiHidden/>
    <w:rsid w:val="000E42DB"/>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2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913</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Dent</dc:creator>
  <cp:keywords/>
  <dc:description/>
  <cp:lastModifiedBy>Stephanie Callaghan</cp:lastModifiedBy>
  <cp:revision>3</cp:revision>
  <cp:lastPrinted>2020-02-04T14:39:00Z</cp:lastPrinted>
  <dcterms:created xsi:type="dcterms:W3CDTF">2022-07-07T14:25:00Z</dcterms:created>
  <dcterms:modified xsi:type="dcterms:W3CDTF">2022-07-07T14:26:00Z</dcterms:modified>
</cp:coreProperties>
</file>