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49C94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6C6B43FC" w14:textId="1BCEA38A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047E7BC9" w14:textId="5CCC81BF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1F23D1">
        <w:rPr>
          <w:lang w:eastAsia="en-GB"/>
        </w:rPr>
        <w:t>IND228</w:t>
      </w:r>
    </w:p>
    <w:p w14:paraId="03F98C83" w14:textId="54F59B5E" w:rsidR="00C2144A" w:rsidRDefault="00C2144A" w:rsidP="00060FDD">
      <w:pPr>
        <w:pStyle w:val="Paragraph"/>
        <w:rPr>
          <w:b/>
          <w:bCs/>
          <w:lang w:eastAsia="en-GB"/>
        </w:rPr>
      </w:pPr>
      <w:r w:rsidRPr="00C2144A">
        <w:rPr>
          <w:lang w:eastAsia="en-GB"/>
        </w:rPr>
        <w:t xml:space="preserve">The percentage of patients with a </w:t>
      </w:r>
      <w:r w:rsidR="001F23D1">
        <w:rPr>
          <w:lang w:eastAsia="en-GB"/>
        </w:rPr>
        <w:t>cardiovascular disease</w:t>
      </w:r>
      <w:r w:rsidRPr="00C2144A">
        <w:rPr>
          <w:lang w:eastAsia="en-GB"/>
        </w:rPr>
        <w:t xml:space="preserve"> risk assessment score of 10% or more identified in the preceding 12 months who are offered advice and support for smoking cessation, safe alcohol consumption, healthy </w:t>
      </w:r>
      <w:proofErr w:type="gramStart"/>
      <w:r w:rsidRPr="00C2144A">
        <w:rPr>
          <w:lang w:eastAsia="en-GB"/>
        </w:rPr>
        <w:t>diet</w:t>
      </w:r>
      <w:proofErr w:type="gramEnd"/>
      <w:r w:rsidRPr="00C2144A">
        <w:rPr>
          <w:lang w:eastAsia="en-GB"/>
        </w:rPr>
        <w:t xml:space="preserve"> and exercise within 3 months of the score being recorded.</w:t>
      </w:r>
    </w:p>
    <w:p w14:paraId="6CBA005E" w14:textId="4248F55B" w:rsidR="00236060" w:rsidRDefault="00236060" w:rsidP="00192685">
      <w:pPr>
        <w:pStyle w:val="Heading1"/>
      </w:pPr>
      <w:r>
        <w:t xml:space="preserve">Indicator type </w:t>
      </w:r>
    </w:p>
    <w:p w14:paraId="753A72A5" w14:textId="77777777" w:rsidR="00236060" w:rsidRDefault="00236060" w:rsidP="00236060">
      <w:pPr>
        <w:pStyle w:val="Paragraph"/>
      </w:pPr>
      <w:r w:rsidRPr="00C2144A">
        <w:t>General practice indicator suitable for use in the Quality and Outcomes Framework.</w:t>
      </w:r>
    </w:p>
    <w:p w14:paraId="7C25BFBC" w14:textId="7A0D5670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6C46B250" w14:textId="77777777" w:rsidTr="002338EB">
        <w:tc>
          <w:tcPr>
            <w:tcW w:w="5949" w:type="dxa"/>
          </w:tcPr>
          <w:p w14:paraId="5472972D" w14:textId="7A9FC88C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1E80F9" w14:textId="70CF3A5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62654B9" w14:textId="77777777" w:rsidTr="002338EB">
        <w:tc>
          <w:tcPr>
            <w:tcW w:w="5949" w:type="dxa"/>
          </w:tcPr>
          <w:p w14:paraId="6F338971" w14:textId="3D266CF4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C2144A">
              <w:rPr>
                <w:rFonts w:cs="Arial"/>
                <w:sz w:val="22"/>
                <w:szCs w:val="22"/>
              </w:rPr>
              <w:t xml:space="preserve">The </w:t>
            </w:r>
            <w:hyperlink r:id="rId7" w:history="1">
              <w:r w:rsidRPr="00C2144A">
                <w:rPr>
                  <w:rFonts w:cs="Arial"/>
                  <w:color w:val="0000FF"/>
                  <w:sz w:val="22"/>
                  <w:szCs w:val="22"/>
                  <w:u w:val="single"/>
                </w:rPr>
                <w:t>NHS Long Term Plan</w:t>
              </w:r>
            </w:hyperlink>
            <w:r w:rsidRPr="00C2144A">
              <w:rPr>
                <w:rFonts w:cs="Arial"/>
                <w:sz w:val="22"/>
                <w:szCs w:val="22"/>
              </w:rPr>
              <w:t xml:space="preserve"> identifies cardiovascular disease as a clinical priority, and the single biggest condition where lives can be saved by the NHS over the next 10 years. </w:t>
            </w:r>
          </w:p>
        </w:tc>
        <w:tc>
          <w:tcPr>
            <w:tcW w:w="3118" w:type="dxa"/>
          </w:tcPr>
          <w:p w14:paraId="062E903B" w14:textId="19F53F68" w:rsidR="002338EB" w:rsidRPr="00C2144A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272CA0EC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2E2CE1C4" w14:textId="77777777" w:rsidTr="002338EB">
        <w:tc>
          <w:tcPr>
            <w:tcW w:w="5949" w:type="dxa"/>
          </w:tcPr>
          <w:p w14:paraId="378D38FD" w14:textId="2708E01B" w:rsidR="00735337" w:rsidRPr="00C2144A" w:rsidRDefault="00C2144A" w:rsidP="00C2144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144A">
              <w:rPr>
                <w:rFonts w:ascii="Arial" w:hAnsi="Arial" w:cs="Arial"/>
                <w:sz w:val="22"/>
                <w:szCs w:val="22"/>
              </w:rPr>
              <w:t>No data identified. This area is based on the indicator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144A">
              <w:rPr>
                <w:rFonts w:ascii="Arial" w:hAnsi="Arial" w:cs="Arial"/>
                <w:sz w:val="22"/>
                <w:szCs w:val="22"/>
              </w:rPr>
              <w:t>advisory committee and stakeholder’s knowledge.</w:t>
            </w:r>
          </w:p>
        </w:tc>
        <w:tc>
          <w:tcPr>
            <w:tcW w:w="3118" w:type="dxa"/>
          </w:tcPr>
          <w:p w14:paraId="3C8B1CA2" w14:textId="791432F0" w:rsidR="00735337" w:rsidRPr="00C2144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assumed</w:t>
            </w: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  <w:p w14:paraId="3FD01E72" w14:textId="63B71823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C2144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</w:t>
            </w:r>
            <w:r w:rsidR="00C2144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is proposed to address</w:t>
            </w:r>
            <w:r w:rsidRPr="00C2144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under-treatment.</w:t>
            </w:r>
          </w:p>
        </w:tc>
      </w:tr>
      <w:tr w:rsidR="00735337" w14:paraId="373D8AA4" w14:textId="77777777" w:rsidTr="002338EB">
        <w:tc>
          <w:tcPr>
            <w:tcW w:w="5949" w:type="dxa"/>
          </w:tcPr>
          <w:p w14:paraId="40A2EA38" w14:textId="3758AF91" w:rsidR="00735337" w:rsidRPr="00C2144A" w:rsidRDefault="00C2144A" w:rsidP="00C2144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144A">
              <w:rPr>
                <w:rFonts w:ascii="Arial" w:hAnsi="Arial" w:cs="Arial"/>
                <w:sz w:val="22"/>
                <w:szCs w:val="22"/>
              </w:rPr>
              <w:t>Cardiovascular risk assessment aims to identify people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144A">
              <w:rPr>
                <w:rFonts w:ascii="Arial" w:hAnsi="Arial" w:cs="Arial"/>
                <w:sz w:val="22"/>
                <w:szCs w:val="22"/>
              </w:rPr>
              <w:t xml:space="preserve">who do not already have CVD but who may be at </w:t>
            </w:r>
            <w:proofErr w:type="gramStart"/>
            <w:r w:rsidRPr="00C2144A">
              <w:rPr>
                <w:rFonts w:ascii="Arial" w:hAnsi="Arial" w:cs="Arial"/>
                <w:sz w:val="22"/>
                <w:szCs w:val="22"/>
              </w:rPr>
              <w:t>high risk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144A">
              <w:rPr>
                <w:rFonts w:ascii="Arial" w:hAnsi="Arial" w:cs="Arial"/>
                <w:sz w:val="22"/>
                <w:szCs w:val="22"/>
              </w:rPr>
              <w:t>of developing it. Those people can then be offered focused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144A">
              <w:rPr>
                <w:rFonts w:ascii="Arial" w:hAnsi="Arial" w:cs="Arial"/>
                <w:sz w:val="22"/>
                <w:szCs w:val="22"/>
              </w:rPr>
              <w:t>interventions, including help to stop smoking, and advice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144A">
              <w:rPr>
                <w:rFonts w:ascii="Arial" w:hAnsi="Arial" w:cs="Arial"/>
                <w:sz w:val="22"/>
                <w:szCs w:val="22"/>
              </w:rPr>
              <w:t>on diet (including alcohol intake) and physical activity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144A">
              <w:rPr>
                <w:rFonts w:ascii="Arial" w:hAnsi="Arial" w:cs="Arial"/>
                <w:sz w:val="22"/>
                <w:szCs w:val="22"/>
              </w:rPr>
              <w:t>support primary prevention of CVD through managing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144A">
              <w:rPr>
                <w:rFonts w:ascii="Arial" w:hAnsi="Arial" w:cs="Arial"/>
                <w:sz w:val="22"/>
                <w:szCs w:val="22"/>
              </w:rPr>
              <w:t>lifestyle risk factors.</w:t>
            </w:r>
          </w:p>
        </w:tc>
        <w:tc>
          <w:tcPr>
            <w:tcW w:w="3118" w:type="dxa"/>
          </w:tcPr>
          <w:p w14:paraId="380FC230" w14:textId="77777777" w:rsidR="00735337" w:rsidRPr="00C2144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outcomes.</w:t>
            </w:r>
          </w:p>
          <w:p w14:paraId="45004AAC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7408AD42" w14:textId="77777777" w:rsidR="002338EB" w:rsidRDefault="002338EB" w:rsidP="002338EB">
      <w:pPr>
        <w:pStyle w:val="Heading3"/>
      </w:pPr>
    </w:p>
    <w:p w14:paraId="5BA69987" w14:textId="6FA6FB6E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A03EAF6" w14:textId="77777777" w:rsidTr="001C517D">
        <w:tc>
          <w:tcPr>
            <w:tcW w:w="5949" w:type="dxa"/>
          </w:tcPr>
          <w:p w14:paraId="39775ECC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337C7E3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862F909" w14:textId="77777777" w:rsidTr="001C517D">
        <w:tc>
          <w:tcPr>
            <w:tcW w:w="5949" w:type="dxa"/>
          </w:tcPr>
          <w:p w14:paraId="0BB82114" w14:textId="77777777" w:rsidR="002338EB" w:rsidRDefault="00076F6E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hyperlink r:id="rId8" w:history="1">
              <w:r w:rsidR="00C2144A" w:rsidRPr="00C2144A">
                <w:rPr>
                  <w:rStyle w:val="Hyperlink"/>
                  <w:rFonts w:cs="Arial"/>
                  <w:kern w:val="24"/>
                  <w:sz w:val="22"/>
                  <w:szCs w:val="22"/>
                  <w:lang w:eastAsia="en-GB"/>
                </w:rPr>
                <w:t>Cardiovascular disease: risk assessment and reduction, including lipid modification. NICE guideline NG238</w:t>
              </w:r>
            </w:hyperlink>
            <w:r w:rsidR="00C2144A" w:rsidRPr="00C2144A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 (2023), recommendations 1.3.1 to 1.3.11</w:t>
            </w:r>
          </w:p>
          <w:p w14:paraId="1359C26D" w14:textId="74BC0C56" w:rsidR="00C2144A" w:rsidRPr="00C2144A" w:rsidRDefault="00C2144A" w:rsidP="00C2144A">
            <w:pPr>
              <w:pStyle w:val="Paragraph"/>
              <w:spacing w:before="120" w:after="120"/>
            </w:pPr>
            <w:r w:rsidRPr="00C2144A">
              <w:rPr>
                <w:sz w:val="22"/>
                <w:szCs w:val="22"/>
              </w:rPr>
              <w:lastRenderedPageBreak/>
              <w:t>A timeframe of 3 months has been chosen for measurement purposes only.</w:t>
            </w:r>
          </w:p>
        </w:tc>
        <w:tc>
          <w:tcPr>
            <w:tcW w:w="3118" w:type="dxa"/>
          </w:tcPr>
          <w:p w14:paraId="0D72329A" w14:textId="54F94FB4" w:rsidR="002338EB" w:rsidRPr="00C2144A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lastRenderedPageBreak/>
              <w:t xml:space="preserve">The indicator is derived from a high-quality evidence base. </w:t>
            </w:r>
          </w:p>
          <w:p w14:paraId="75848804" w14:textId="710C020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C2144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aligns with the evidence base.</w:t>
            </w:r>
          </w:p>
        </w:tc>
      </w:tr>
    </w:tbl>
    <w:p w14:paraId="3393013A" w14:textId="29A2DB06" w:rsidR="002338EB" w:rsidRDefault="002338EB" w:rsidP="002338EB">
      <w:pPr>
        <w:pStyle w:val="Paragraph"/>
      </w:pPr>
    </w:p>
    <w:p w14:paraId="67B93D8F" w14:textId="6D992C33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3FA0B31" w14:textId="77777777" w:rsidTr="001C517D">
        <w:tc>
          <w:tcPr>
            <w:tcW w:w="5949" w:type="dxa"/>
          </w:tcPr>
          <w:p w14:paraId="7BD8EB75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CDDF3D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3E61DC2D" w14:textId="77777777" w:rsidTr="001C517D">
        <w:tc>
          <w:tcPr>
            <w:tcW w:w="5949" w:type="dxa"/>
          </w:tcPr>
          <w:p w14:paraId="637EB6C2" w14:textId="77777777" w:rsidR="00C2144A" w:rsidRPr="00C2144A" w:rsidRDefault="00C2144A" w:rsidP="00C2144A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Numerator: The number in the denominator who are offered advice and support for smoking cessation, safe alcohol consumption, healthy </w:t>
            </w:r>
            <w:proofErr w:type="gramStart"/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diet</w:t>
            </w:r>
            <w:proofErr w:type="gramEnd"/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and exercise within 3 months of the score being recorded.</w:t>
            </w:r>
          </w:p>
          <w:p w14:paraId="0F362E22" w14:textId="77777777" w:rsidR="00C2144A" w:rsidRPr="00C2144A" w:rsidRDefault="00C2144A" w:rsidP="00C2144A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Denominator: The number of patients with a cardiovascular disease risk assessment score of 10% or more identified in the preceding 12 months.</w:t>
            </w:r>
          </w:p>
          <w:p w14:paraId="2C949948" w14:textId="77777777" w:rsidR="00C2144A" w:rsidRPr="00C2144A" w:rsidRDefault="00C2144A" w:rsidP="00C2144A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Calculation: Numerator divided by the denominator, multiplied by </w:t>
            </w:r>
            <w:proofErr w:type="gramStart"/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100</w:t>
            </w:r>
            <w:proofErr w:type="gramEnd"/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</w:p>
          <w:p w14:paraId="5BC92B35" w14:textId="77777777" w:rsidR="00C2144A" w:rsidRPr="00C2144A" w:rsidRDefault="00C2144A" w:rsidP="00C2144A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Definitions: N/A</w:t>
            </w:r>
          </w:p>
          <w:p w14:paraId="4F8B781B" w14:textId="77777777" w:rsidR="00C2144A" w:rsidRPr="00C2144A" w:rsidRDefault="00C2144A" w:rsidP="00C2144A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Exclusions: People with diagnosed cardiovascular disease. Cardiovascular disease is defined as angina, previous myocardial infarction, revascularisation, stroke or TIA or symptomatic peripheral arterial disease.</w:t>
            </w:r>
          </w:p>
          <w:p w14:paraId="1A8C1D16" w14:textId="348B7435" w:rsidR="00735337" w:rsidRPr="002338EB" w:rsidRDefault="00C2144A" w:rsidP="00C2144A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C2144A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Personalised care adjustments or exception reporting should be considered to account for situations where the patient declines, does not attend or if the indicator is not appropriate.</w:t>
            </w:r>
          </w:p>
        </w:tc>
        <w:tc>
          <w:tcPr>
            <w:tcW w:w="3118" w:type="dxa"/>
          </w:tcPr>
          <w:p w14:paraId="1439227D" w14:textId="5A1A009F" w:rsidR="002338EB" w:rsidRPr="00C2144A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has defined components necessary to construct the indicator, including numerator, </w:t>
            </w:r>
            <w:proofErr w:type="gramStart"/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denominator</w:t>
            </w:r>
            <w:proofErr w:type="gramEnd"/>
            <w:r w:rsidRPr="00C2144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and exclusions.</w:t>
            </w:r>
          </w:p>
          <w:p w14:paraId="0C449702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2338EB" w14:paraId="48133640" w14:textId="77777777" w:rsidTr="001C517D">
        <w:tc>
          <w:tcPr>
            <w:tcW w:w="5949" w:type="dxa"/>
          </w:tcPr>
          <w:p w14:paraId="4B4889E2" w14:textId="5B0AA657" w:rsidR="002C1326" w:rsidRPr="006721AB" w:rsidRDefault="00F3442A" w:rsidP="00793928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C2144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be classified as suitable for use in QOF, there should be an average minimum population of more than </w:t>
            </w:r>
            <w:proofErr w:type="gramStart"/>
            <w:r w:rsidRPr="00C2144A">
              <w:rPr>
                <w:rFonts w:cs="Arial"/>
                <w:color w:val="000000"/>
                <w:kern w:val="24"/>
                <w:sz w:val="22"/>
                <w:szCs w:val="22"/>
              </w:rPr>
              <w:t>20</w:t>
            </w:r>
            <w:proofErr w:type="gramEnd"/>
            <w:r w:rsidRPr="00C2144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patients per practice eligible for inclusion in the denominator prior to application of personalised care adjustments. </w:t>
            </w:r>
            <w:r w:rsidR="00C2144A" w:rsidRPr="00C2144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Piloting data </w:t>
            </w:r>
            <w:r w:rsidRPr="00C2144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compared with ONS population statistics shows that an average practice with 10,000 patients would have around </w:t>
            </w:r>
            <w:r w:rsidR="00C2144A" w:rsidRPr="00C2144A">
              <w:rPr>
                <w:rFonts w:cs="Arial"/>
                <w:color w:val="000000"/>
                <w:kern w:val="24"/>
                <w:sz w:val="22"/>
                <w:szCs w:val="22"/>
              </w:rPr>
              <w:t>254</w:t>
            </w:r>
            <w:r w:rsidRPr="00C2144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eligible patients.</w:t>
            </w:r>
          </w:p>
        </w:tc>
        <w:tc>
          <w:tcPr>
            <w:tcW w:w="3118" w:type="dxa"/>
          </w:tcPr>
          <w:p w14:paraId="1567BE59" w14:textId="6CC24754" w:rsidR="002338EB" w:rsidRPr="00C2144A" w:rsidRDefault="002338EB" w:rsidP="00793928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C2144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</w:t>
            </w:r>
            <w:r w:rsidR="002C1326" w:rsidRPr="00C2144A">
              <w:rPr>
                <w:rFonts w:cs="Arial"/>
                <w:color w:val="000000"/>
                <w:kern w:val="24"/>
                <w:sz w:val="22"/>
                <w:szCs w:val="22"/>
              </w:rPr>
              <w:t>does</w:t>
            </w:r>
            <w:r w:rsidR="00C2144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Pr="00C2144A">
              <w:rPr>
                <w:rFonts w:cs="Arial"/>
                <w:color w:val="000000"/>
                <w:kern w:val="24"/>
                <w:sz w:val="22"/>
                <w:szCs w:val="22"/>
              </w:rPr>
              <w:t>outline minimum numbers of patients needed to be confident in the assessment of variation.</w:t>
            </w:r>
          </w:p>
          <w:p w14:paraId="38DE6D48" w14:textId="2E86C0F7" w:rsidR="000C4A97" w:rsidRPr="002338EB" w:rsidRDefault="000C4A97" w:rsidP="00793928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1F89E1DD" w14:textId="24151FF3" w:rsidR="002338EB" w:rsidRDefault="002338EB" w:rsidP="002338EB">
      <w:pPr>
        <w:pStyle w:val="Paragraph"/>
      </w:pPr>
    </w:p>
    <w:p w14:paraId="597779EE" w14:textId="5E0747D0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0453993" w14:textId="77777777" w:rsidTr="001C517D">
        <w:tc>
          <w:tcPr>
            <w:tcW w:w="5949" w:type="dxa"/>
          </w:tcPr>
          <w:p w14:paraId="1B5D3E68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32FEA87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CB24BE4" w14:textId="77777777" w:rsidTr="001C517D">
        <w:tc>
          <w:tcPr>
            <w:tcW w:w="5949" w:type="dxa"/>
          </w:tcPr>
          <w:p w14:paraId="3ABE91E5" w14:textId="79C7CAB1" w:rsidR="00735337" w:rsidRPr="00F81076" w:rsidRDefault="00F81076" w:rsidP="00735337">
            <w:pPr>
              <w:pStyle w:val="Paragraph"/>
              <w:spacing w:before="120" w:after="120" w:line="240" w:lineRule="auto"/>
            </w:pPr>
            <w:r w:rsidRPr="00F81076">
              <w:rPr>
                <w:rFonts w:cs="Arial"/>
                <w:sz w:val="22"/>
                <w:szCs w:val="22"/>
              </w:rPr>
              <w:t>Data can be collected from GP systems using SNOMED</w:t>
            </w:r>
            <w:r w:rsidR="00D378A8">
              <w:rPr>
                <w:rFonts w:cs="Arial"/>
                <w:sz w:val="22"/>
                <w:szCs w:val="22"/>
              </w:rPr>
              <w:t xml:space="preserve"> coding</w:t>
            </w:r>
            <w:r w:rsidRPr="00F81076">
              <w:rPr>
                <w:rFonts w:cs="Arial"/>
                <w:sz w:val="22"/>
                <w:szCs w:val="22"/>
              </w:rPr>
              <w:t>.</w:t>
            </w:r>
            <w:r w:rsidR="00735337" w:rsidRPr="00F8107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E07F302" w14:textId="5F984164" w:rsidR="00735337" w:rsidRPr="00F81076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8107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3BEFE1B2" w14:textId="77777777" w:rsidR="00735337" w:rsidRPr="00F81076" w:rsidRDefault="00735337" w:rsidP="00735337">
            <w:pPr>
              <w:pStyle w:val="Paragraph"/>
              <w:spacing w:before="120" w:after="120" w:line="240" w:lineRule="auto"/>
            </w:pPr>
          </w:p>
        </w:tc>
      </w:tr>
      <w:tr w:rsidR="00735337" w14:paraId="2FE27CD6" w14:textId="77777777" w:rsidTr="001C517D">
        <w:tc>
          <w:tcPr>
            <w:tcW w:w="5949" w:type="dxa"/>
          </w:tcPr>
          <w:p w14:paraId="2037F9A4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Data fields collected include:</w:t>
            </w:r>
          </w:p>
          <w:p w14:paraId="69498FF5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CVDASSRA_COD</w:t>
            </w:r>
          </w:p>
          <w:p w14:paraId="0643D4B5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PHARM_COD</w:t>
            </w:r>
          </w:p>
          <w:p w14:paraId="0D2EBDE7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lastRenderedPageBreak/>
              <w:t>· REFERSSSA_COD</w:t>
            </w:r>
          </w:p>
          <w:p w14:paraId="5E9C513A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SMOKADV_COD</w:t>
            </w:r>
          </w:p>
          <w:p w14:paraId="4418B68A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SMOKINGINT_COD</w:t>
            </w:r>
          </w:p>
          <w:p w14:paraId="7228FC5D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SMOKINVITE_COD</w:t>
            </w:r>
          </w:p>
          <w:p w14:paraId="5C283C27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SMOKREFDEC_COD</w:t>
            </w:r>
          </w:p>
          <w:p w14:paraId="0C88747F" w14:textId="695F7CBB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AL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81076">
              <w:rPr>
                <w:rFonts w:ascii="Arial" w:hAnsi="Arial" w:cs="Arial"/>
                <w:sz w:val="22"/>
                <w:szCs w:val="22"/>
              </w:rPr>
              <w:t>OHOLINT_COD</w:t>
            </w:r>
          </w:p>
          <w:p w14:paraId="4AE9CA94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ALCSPADV_COD</w:t>
            </w:r>
          </w:p>
          <w:p w14:paraId="4D903A59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ALCSPADVDEC_COD</w:t>
            </w:r>
          </w:p>
          <w:p w14:paraId="7EDD371C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ALCADV_COD</w:t>
            </w:r>
          </w:p>
          <w:p w14:paraId="71964A46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EXERCISEINT_COD</w:t>
            </w:r>
          </w:p>
          <w:p w14:paraId="4964B598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EXERASSDEC_COD</w:t>
            </w:r>
          </w:p>
          <w:p w14:paraId="47573713" w14:textId="77777777" w:rsidR="00F81076" w:rsidRPr="00F81076" w:rsidRDefault="00F81076" w:rsidP="00F810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DIETINT_COD</w:t>
            </w:r>
          </w:p>
          <w:p w14:paraId="6B3D2BF0" w14:textId="364F6D53" w:rsidR="00735337" w:rsidRDefault="00F81076" w:rsidP="00F8107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>· LIFESTLEINT_COD</w:t>
            </w:r>
          </w:p>
        </w:tc>
        <w:tc>
          <w:tcPr>
            <w:tcW w:w="3118" w:type="dxa"/>
          </w:tcPr>
          <w:p w14:paraId="501A7677" w14:textId="77777777" w:rsidR="00735337" w:rsidRPr="00F81076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8107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24CB8CBA" w14:textId="284E71C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F8107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585AE468" w14:textId="31F94E90" w:rsidR="002338EB" w:rsidRDefault="002338EB" w:rsidP="002338EB">
      <w:pPr>
        <w:pStyle w:val="Paragraph"/>
      </w:pPr>
    </w:p>
    <w:p w14:paraId="4447A98D" w14:textId="06B983E4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0604C8F6" w14:textId="77777777" w:rsidTr="001C517D">
        <w:tc>
          <w:tcPr>
            <w:tcW w:w="5949" w:type="dxa"/>
          </w:tcPr>
          <w:p w14:paraId="50FC03A9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F255397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5EC80837" w14:textId="77777777" w:rsidTr="001C517D">
        <w:tc>
          <w:tcPr>
            <w:tcW w:w="5949" w:type="dxa"/>
          </w:tcPr>
          <w:p w14:paraId="009E37A6" w14:textId="22FE7B52" w:rsidR="00735337" w:rsidRPr="00F81076" w:rsidRDefault="00F81076" w:rsidP="00D63C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1076">
              <w:rPr>
                <w:rFonts w:ascii="Arial" w:hAnsi="Arial" w:cs="Arial"/>
                <w:sz w:val="22"/>
                <w:szCs w:val="22"/>
              </w:rPr>
              <w:t xml:space="preserve">The committee discussed the </w:t>
            </w:r>
            <w:proofErr w:type="gramStart"/>
            <w:r w:rsidRPr="00F81076">
              <w:rPr>
                <w:rFonts w:ascii="Arial" w:hAnsi="Arial" w:cs="Arial"/>
                <w:sz w:val="22"/>
                <w:szCs w:val="22"/>
              </w:rPr>
              <w:t>high level</w:t>
            </w:r>
            <w:proofErr w:type="gramEnd"/>
            <w:r w:rsidRPr="00F81076">
              <w:rPr>
                <w:rFonts w:ascii="Arial" w:hAnsi="Arial" w:cs="Arial"/>
                <w:sz w:val="22"/>
                <w:szCs w:val="22"/>
              </w:rPr>
              <w:t xml:space="preserve"> of personalised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1076">
              <w:rPr>
                <w:rFonts w:ascii="Arial" w:hAnsi="Arial" w:cs="Arial"/>
                <w:sz w:val="22"/>
                <w:szCs w:val="22"/>
              </w:rPr>
              <w:t>care adjustments if the indicator focused on provision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1076">
              <w:rPr>
                <w:rFonts w:ascii="Arial" w:hAnsi="Arial" w:cs="Arial"/>
                <w:sz w:val="22"/>
                <w:szCs w:val="22"/>
              </w:rPr>
              <w:t>advice, rather than the offer.</w:t>
            </w:r>
          </w:p>
        </w:tc>
        <w:tc>
          <w:tcPr>
            <w:tcW w:w="3118" w:type="dxa"/>
          </w:tcPr>
          <w:p w14:paraId="50C98A36" w14:textId="14C32902" w:rsidR="00735337" w:rsidRPr="00A47852" w:rsidRDefault="00735337" w:rsidP="00D63CCC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81076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</w:p>
        </w:tc>
      </w:tr>
      <w:tr w:rsidR="00735337" w14:paraId="7E164FBD" w14:textId="77777777" w:rsidTr="001C517D">
        <w:tc>
          <w:tcPr>
            <w:tcW w:w="5949" w:type="dxa"/>
          </w:tcPr>
          <w:p w14:paraId="3AF0200A" w14:textId="49037013" w:rsidR="00735337" w:rsidRPr="00F81076" w:rsidRDefault="00F81076" w:rsidP="00D63CCC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F81076">
              <w:rPr>
                <w:rFonts w:cs="Arial"/>
                <w:sz w:val="22"/>
                <w:szCs w:val="22"/>
              </w:rPr>
              <w:t>Data can be extracted and used to compare practice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81076">
              <w:rPr>
                <w:rFonts w:cs="Arial"/>
                <w:sz w:val="22"/>
                <w:szCs w:val="22"/>
              </w:rPr>
              <w:t>within the GP practice or with other GP practices.</w:t>
            </w:r>
          </w:p>
        </w:tc>
        <w:tc>
          <w:tcPr>
            <w:tcW w:w="3118" w:type="dxa"/>
          </w:tcPr>
          <w:p w14:paraId="2909F55A" w14:textId="21D748CB" w:rsidR="00735337" w:rsidRPr="00A47852" w:rsidRDefault="00735337" w:rsidP="00D63CCC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81076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F81076" w:rsidRPr="00F8107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359B1BDB" w14:textId="49E7FB46" w:rsidR="002338EB" w:rsidRDefault="002338EB" w:rsidP="002338EB">
      <w:pPr>
        <w:pStyle w:val="Paragraph"/>
      </w:pPr>
    </w:p>
    <w:p w14:paraId="639F934E" w14:textId="090BF21C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F9CECCC" w14:textId="77777777" w:rsidTr="001C517D">
        <w:tc>
          <w:tcPr>
            <w:tcW w:w="5949" w:type="dxa"/>
          </w:tcPr>
          <w:p w14:paraId="7D45A224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736A49C5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2365E62E" w14:textId="77777777" w:rsidTr="00E32F30">
        <w:tc>
          <w:tcPr>
            <w:tcW w:w="5949" w:type="dxa"/>
          </w:tcPr>
          <w:p w14:paraId="05A8FA4D" w14:textId="5A0E1561" w:rsidR="00F81076" w:rsidRPr="00F81076" w:rsidRDefault="00F81076" w:rsidP="00F81076">
            <w:pPr>
              <w:pStyle w:val="tabletext2"/>
              <w:rPr>
                <w:sz w:val="22"/>
                <w:szCs w:val="22"/>
              </w:rPr>
            </w:pPr>
            <w:r w:rsidRPr="00F81076">
              <w:rPr>
                <w:sz w:val="22"/>
                <w:szCs w:val="22"/>
              </w:rPr>
              <w:t>At consultation stakeholders felt that a CVD risk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assessment score of 10% or more captured a high number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of patients and might have a significant impact on primary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care workload. They fed back on the possibility of the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indicator becoming a one size fits all tick-box exercise, and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risks of deterring the recording of QRISK scores.</w:t>
            </w:r>
          </w:p>
          <w:p w14:paraId="5D0DDE27" w14:textId="3AA96247" w:rsidR="00A47852" w:rsidRPr="00F81076" w:rsidRDefault="00F81076" w:rsidP="00F81076">
            <w:pPr>
              <w:pStyle w:val="tabletext2"/>
              <w:rPr>
                <w:sz w:val="22"/>
                <w:szCs w:val="22"/>
              </w:rPr>
            </w:pPr>
            <w:r w:rsidRPr="00F81076">
              <w:rPr>
                <w:sz w:val="22"/>
                <w:szCs w:val="22"/>
              </w:rPr>
              <w:t>The committee agreed that a 10% or more threshold was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appropriate as it aligned with NICE guidance and that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early intervention was key for positive health outcome.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 xml:space="preserve">Workload implications were </w:t>
            </w:r>
            <w:r w:rsidR="00060FDD" w:rsidRPr="00F81076">
              <w:rPr>
                <w:sz w:val="22"/>
                <w:szCs w:val="22"/>
              </w:rPr>
              <w:t>considered,</w:t>
            </w:r>
            <w:r w:rsidRPr="00F81076">
              <w:rPr>
                <w:sz w:val="22"/>
                <w:szCs w:val="22"/>
              </w:rPr>
              <w:t xml:space="preserve"> and it was agreed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that the long-term workload increase would be far greater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lastRenderedPageBreak/>
              <w:t xml:space="preserve">without early </w:t>
            </w:r>
            <w:r w:rsidR="00060FDD" w:rsidRPr="00F81076">
              <w:rPr>
                <w:sz w:val="22"/>
                <w:szCs w:val="22"/>
              </w:rPr>
              <w:t>intervention and</w:t>
            </w:r>
            <w:r w:rsidRPr="00F81076">
              <w:rPr>
                <w:sz w:val="22"/>
                <w:szCs w:val="22"/>
              </w:rPr>
              <w:t xml:space="preserve"> could be split between</w:t>
            </w:r>
            <w:r>
              <w:rPr>
                <w:sz w:val="22"/>
                <w:szCs w:val="22"/>
              </w:rPr>
              <w:t xml:space="preserve"> </w:t>
            </w:r>
            <w:r w:rsidRPr="00F81076">
              <w:rPr>
                <w:sz w:val="22"/>
                <w:szCs w:val="22"/>
              </w:rPr>
              <w:t>different primary care roles to reduce impact.</w:t>
            </w:r>
          </w:p>
        </w:tc>
        <w:tc>
          <w:tcPr>
            <w:tcW w:w="3118" w:type="dxa"/>
            <w:shd w:val="clear" w:color="auto" w:fill="auto"/>
          </w:tcPr>
          <w:p w14:paraId="29FB2923" w14:textId="4EE07B97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E32F30"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>The indicator has an acceptable risk of unintended consequences.</w:t>
            </w:r>
          </w:p>
        </w:tc>
      </w:tr>
    </w:tbl>
    <w:p w14:paraId="763A6D9B" w14:textId="48F79B0E" w:rsidR="006C3D61" w:rsidRDefault="006C3D61" w:rsidP="00192685">
      <w:pPr>
        <w:pStyle w:val="Heading1"/>
      </w:pPr>
      <w:r>
        <w:t>NICE indicator advisory committee recommendation</w:t>
      </w:r>
    </w:p>
    <w:p w14:paraId="1743DB3A" w14:textId="4106E803" w:rsidR="0077603D" w:rsidRPr="00407F14" w:rsidRDefault="0077603D" w:rsidP="00F81076">
      <w:pPr>
        <w:pStyle w:val="Paragraph"/>
      </w:pPr>
      <w:r w:rsidRPr="00F81076">
        <w:t xml:space="preserve">The NICE indicator advisory committee approved this indicator for publication on the menu. </w:t>
      </w:r>
    </w:p>
    <w:p w14:paraId="123085F8" w14:textId="46F76CC2" w:rsidR="00D73835" w:rsidRDefault="00D73835" w:rsidP="003605D5">
      <w:pPr>
        <w:pStyle w:val="Heading1"/>
      </w:pPr>
    </w:p>
    <w:sectPr w:rsidR="00D73835" w:rsidSect="003E4657">
      <w:headerReference w:type="default" r:id="rId9"/>
      <w:footerReference w:type="default" r:id="rId10"/>
      <w:headerReference w:type="first" r:id="rId11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CA3B6" w14:textId="77777777" w:rsidR="00BB14CA" w:rsidRDefault="00BB14CA" w:rsidP="00446BEE">
      <w:r>
        <w:separator/>
      </w:r>
    </w:p>
  </w:endnote>
  <w:endnote w:type="continuationSeparator" w:id="0">
    <w:p w14:paraId="22EB9B1D" w14:textId="77777777" w:rsidR="00BB14CA" w:rsidRDefault="00BB14C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2B07A" w14:textId="0025645E" w:rsidR="00BB14CA" w:rsidRPr="008C1C95" w:rsidRDefault="001F23D1" w:rsidP="008C1C95">
    <w:pPr>
      <w:pStyle w:val="Footer"/>
      <w:jc w:val="right"/>
    </w:pPr>
    <w:r>
      <w:t>IND228</w:t>
    </w:r>
    <w:r w:rsidR="009B0E59">
      <w:t xml:space="preserve">: Validity assessment </w:t>
    </w:r>
    <w:r w:rsidR="00C2144A">
      <w:t>March 2024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157E4" w14:textId="77777777" w:rsidR="00BB14CA" w:rsidRDefault="00BB14CA" w:rsidP="00446BEE">
      <w:r>
        <w:separator/>
      </w:r>
    </w:p>
  </w:footnote>
  <w:footnote w:type="continuationSeparator" w:id="0">
    <w:p w14:paraId="1B316AC4" w14:textId="77777777" w:rsidR="00BB14CA" w:rsidRDefault="00BB14C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BF3D4" w14:textId="0B792A5C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D4DC" w14:textId="45388732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24A76EB2" wp14:editId="36581ACC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0FDD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6F6E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5D3C"/>
    <w:rsid w:val="001503E8"/>
    <w:rsid w:val="00154516"/>
    <w:rsid w:val="00155A83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23D1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1272"/>
    <w:rsid w:val="00523BB4"/>
    <w:rsid w:val="005243EC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7F2A"/>
    <w:rsid w:val="00642C45"/>
    <w:rsid w:val="0064313B"/>
    <w:rsid w:val="0064319B"/>
    <w:rsid w:val="006434DF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21A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4CC7"/>
    <w:rsid w:val="00735337"/>
    <w:rsid w:val="007355D1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3928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5549"/>
    <w:rsid w:val="008579F7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5B80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6FC0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3C9"/>
    <w:rsid w:val="00C2144A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378A8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75A3"/>
    <w:rsid w:val="00D613A6"/>
    <w:rsid w:val="00D617A6"/>
    <w:rsid w:val="00D63CCC"/>
    <w:rsid w:val="00D650EA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E165D"/>
    <w:rsid w:val="00DE2FD7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3F71"/>
    <w:rsid w:val="00E045EE"/>
    <w:rsid w:val="00E06ED0"/>
    <w:rsid w:val="00E1082D"/>
    <w:rsid w:val="00E130CB"/>
    <w:rsid w:val="00E14934"/>
    <w:rsid w:val="00E172BE"/>
    <w:rsid w:val="00E2160E"/>
    <w:rsid w:val="00E24E02"/>
    <w:rsid w:val="00E25895"/>
    <w:rsid w:val="00E30CA9"/>
    <w:rsid w:val="00E32F30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31F"/>
    <w:rsid w:val="00F762D8"/>
    <w:rsid w:val="00F7721E"/>
    <w:rsid w:val="00F77823"/>
    <w:rsid w:val="00F77F03"/>
    <w:rsid w:val="00F77FD4"/>
    <w:rsid w:val="00F81076"/>
    <w:rsid w:val="00F81C15"/>
    <w:rsid w:val="00F82391"/>
    <w:rsid w:val="00F8333E"/>
    <w:rsid w:val="00F858CA"/>
    <w:rsid w:val="00F87E9D"/>
    <w:rsid w:val="00F9034E"/>
    <w:rsid w:val="00F916DC"/>
    <w:rsid w:val="00F94BD6"/>
    <w:rsid w:val="00F958CC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ongtermplan.nhs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2024-06-24T09:52:00Z</dcterms:created>
  <dcterms:modified xsi:type="dcterms:W3CDTF">2024-06-24T09:53:00Z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2024-06-24T09:53:03Z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e1bcf0a3-8cc3-4d0c-8465-32bf4c16ec48</vt:lpwstr>
  </property>
  <property fmtid="{D5CDD505-2E9C-101B-9397-08002B2CF9AE}" pid="8" name="MSIP_Label_c69d85d5-6d9e-4305-a294-1f636ec0f2d6_ContentBits">
    <vt:lpwstr>0</vt:lpwstr>
  </property>
</Properties>
</file>