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575A" w14:textId="77777777" w:rsidR="003B0466" w:rsidRDefault="003B0466" w:rsidP="00363276">
      <w:pPr>
        <w:pStyle w:val="Title"/>
        <w:rPr>
          <w:sz w:val="40"/>
          <w:szCs w:val="40"/>
        </w:rPr>
      </w:pPr>
      <w:r>
        <w:rPr>
          <w:sz w:val="40"/>
          <w:szCs w:val="40"/>
        </w:rPr>
        <w:t xml:space="preserve">Indicator development programme </w:t>
      </w:r>
    </w:p>
    <w:p w14:paraId="4C69E505"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1583DC0B" w14:textId="7DEC2776" w:rsidR="009B0E59" w:rsidRPr="009B0E59" w:rsidRDefault="009B0E59" w:rsidP="00192685">
      <w:pPr>
        <w:pStyle w:val="Heading1"/>
        <w:rPr>
          <w:lang w:eastAsia="en-GB"/>
        </w:rPr>
      </w:pPr>
      <w:r w:rsidRPr="009B0E59">
        <w:rPr>
          <w:lang w:eastAsia="en-GB"/>
        </w:rPr>
        <w:t xml:space="preserve">Indicator </w:t>
      </w:r>
      <w:r w:rsidR="00F033E3">
        <w:rPr>
          <w:lang w:eastAsia="en-GB"/>
        </w:rPr>
        <w:t>IND231</w:t>
      </w:r>
    </w:p>
    <w:p w14:paraId="4A9A740E" w14:textId="27B7A3BF" w:rsidR="00F033E3" w:rsidRDefault="00F033E3" w:rsidP="00F033E3">
      <w:pPr>
        <w:pStyle w:val="Paragraph"/>
        <w:rPr>
          <w:lang w:eastAsia="en-GB"/>
        </w:rPr>
      </w:pPr>
      <w:r>
        <w:rPr>
          <w:lang w:eastAsia="en-GB"/>
        </w:rPr>
        <w:t xml:space="preserve">The percentage of patients with CKD, on the register, who are currently treated with </w:t>
      </w:r>
    </w:p>
    <w:p w14:paraId="7E9D42B2" w14:textId="226317D4" w:rsidR="009B0E59" w:rsidRDefault="00F033E3" w:rsidP="00F033E3">
      <w:pPr>
        <w:pStyle w:val="Paragraph"/>
        <w:rPr>
          <w:lang w:eastAsia="en-GB"/>
        </w:rPr>
      </w:pPr>
      <w:r>
        <w:rPr>
          <w:lang w:eastAsia="en-GB"/>
        </w:rPr>
        <w:t>a lipid lowering therapy.</w:t>
      </w:r>
      <w:r>
        <w:rPr>
          <w:lang w:eastAsia="en-GB"/>
        </w:rPr>
        <w:cr/>
      </w:r>
    </w:p>
    <w:p w14:paraId="7214A969" w14:textId="77777777" w:rsidR="00236060" w:rsidRDefault="00236060" w:rsidP="00192685">
      <w:pPr>
        <w:pStyle w:val="Heading1"/>
      </w:pPr>
      <w:r>
        <w:t xml:space="preserve">Indicator type </w:t>
      </w:r>
    </w:p>
    <w:p w14:paraId="1DB42000" w14:textId="77777777" w:rsidR="00236060" w:rsidRDefault="00236060" w:rsidP="00236060">
      <w:pPr>
        <w:pStyle w:val="Paragraph"/>
      </w:pPr>
      <w:r w:rsidRPr="00EA58F1">
        <w:t>General practice indicator suitable for use in the Quality and Outcomes Framework.</w:t>
      </w:r>
    </w:p>
    <w:p w14:paraId="00033095"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51229B36" w14:textId="77777777" w:rsidTr="002338EB">
        <w:tc>
          <w:tcPr>
            <w:tcW w:w="5949" w:type="dxa"/>
          </w:tcPr>
          <w:p w14:paraId="156B82ED"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588A6A73"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115ED55E" w14:textId="77777777" w:rsidTr="002338EB">
        <w:tc>
          <w:tcPr>
            <w:tcW w:w="5949" w:type="dxa"/>
          </w:tcPr>
          <w:p w14:paraId="6FD6AB6B" w14:textId="77777777" w:rsidR="002338EB" w:rsidRPr="00F033E3" w:rsidRDefault="002338EB" w:rsidP="002338EB">
            <w:pPr>
              <w:pStyle w:val="Paragraph"/>
              <w:spacing w:before="120" w:after="120" w:line="240" w:lineRule="auto"/>
            </w:pPr>
            <w:r w:rsidRPr="00F033E3">
              <w:rPr>
                <w:rFonts w:cs="Arial"/>
                <w:sz w:val="22"/>
                <w:szCs w:val="22"/>
              </w:rPr>
              <w:t xml:space="preserve">The </w:t>
            </w:r>
            <w:hyperlink r:id="rId7" w:history="1">
              <w:r w:rsidRPr="00F033E3">
                <w:rPr>
                  <w:rFonts w:cs="Arial"/>
                  <w:color w:val="0000FF"/>
                  <w:sz w:val="22"/>
                  <w:szCs w:val="22"/>
                  <w:u w:val="single"/>
                </w:rPr>
                <w:t>NHS Long Term Plan</w:t>
              </w:r>
            </w:hyperlink>
            <w:r w:rsidRPr="00F033E3">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74611DF5" w14:textId="77777777" w:rsidR="002338EB" w:rsidRPr="00F033E3" w:rsidRDefault="002338EB" w:rsidP="002338EB">
            <w:pPr>
              <w:spacing w:before="120" w:after="120"/>
              <w:rPr>
                <w:rFonts w:ascii="Arial" w:hAnsi="Arial" w:cs="Arial"/>
                <w:color w:val="000000"/>
                <w:kern w:val="24"/>
                <w:sz w:val="22"/>
                <w:szCs w:val="22"/>
                <w:lang w:val="en-US"/>
              </w:rPr>
            </w:pPr>
            <w:r w:rsidRPr="00F033E3">
              <w:rPr>
                <w:rFonts w:ascii="Arial" w:hAnsi="Arial" w:cs="Arial"/>
                <w:color w:val="000000"/>
                <w:kern w:val="24"/>
                <w:sz w:val="22"/>
                <w:szCs w:val="22"/>
                <w:lang w:val="en-US"/>
              </w:rPr>
              <w:t>The indicator reflects a specific priority area identified by NHS England.</w:t>
            </w:r>
          </w:p>
          <w:p w14:paraId="4CC73591" w14:textId="77777777" w:rsidR="002338EB" w:rsidRPr="00F033E3" w:rsidRDefault="002338EB" w:rsidP="002338EB">
            <w:pPr>
              <w:pStyle w:val="Paragraph"/>
              <w:spacing w:before="120" w:after="120" w:line="240" w:lineRule="auto"/>
            </w:pPr>
          </w:p>
        </w:tc>
      </w:tr>
      <w:tr w:rsidR="00735337" w14:paraId="19BA6A54" w14:textId="77777777" w:rsidTr="002338EB">
        <w:tc>
          <w:tcPr>
            <w:tcW w:w="5949" w:type="dxa"/>
          </w:tcPr>
          <w:p w14:paraId="04CE0C69" w14:textId="77777777" w:rsidR="00F033E3" w:rsidRDefault="00F033E3" w:rsidP="00735337">
            <w:pPr>
              <w:pStyle w:val="Paragraph"/>
              <w:spacing w:before="120" w:after="120" w:line="240" w:lineRule="auto"/>
              <w:rPr>
                <w:rFonts w:cs="Arial"/>
                <w:sz w:val="22"/>
                <w:szCs w:val="22"/>
              </w:rPr>
            </w:pPr>
            <w:r w:rsidRPr="00F033E3">
              <w:rPr>
                <w:rFonts w:cs="Arial"/>
                <w:sz w:val="22"/>
                <w:szCs w:val="22"/>
              </w:rPr>
              <w:t xml:space="preserve">The </w:t>
            </w:r>
            <w:hyperlink r:id="rId8" w:history="1">
              <w:r w:rsidRPr="00F033E3">
                <w:rPr>
                  <w:rStyle w:val="Hyperlink"/>
                  <w:rFonts w:cs="Arial"/>
                  <w:sz w:val="22"/>
                  <w:szCs w:val="22"/>
                </w:rPr>
                <w:t>CVDPREVENT Second Annual Audit Report</w:t>
              </w:r>
            </w:hyperlink>
            <w:r w:rsidRPr="00F033E3">
              <w:rPr>
                <w:rFonts w:cs="Arial"/>
                <w:sz w:val="22"/>
                <w:szCs w:val="22"/>
              </w:rPr>
              <w:t xml:space="preserve"> found that the percentage of patients with CKD categories G3a to G5 ever prescribed a lipid lowering therapy was 74.3%, a slight increase from the previous audit. </w:t>
            </w:r>
          </w:p>
          <w:p w14:paraId="6909E6D8" w14:textId="71B9ED35" w:rsidR="00735337" w:rsidRPr="00F033E3" w:rsidRDefault="00F033E3" w:rsidP="00735337">
            <w:pPr>
              <w:pStyle w:val="Paragraph"/>
              <w:spacing w:before="120" w:after="120" w:line="240" w:lineRule="auto"/>
            </w:pPr>
            <w:r w:rsidRPr="00F033E3">
              <w:rPr>
                <w:rFonts w:cs="Arial"/>
                <w:sz w:val="22"/>
                <w:szCs w:val="22"/>
              </w:rPr>
              <w:t>This did vary by gender (79.3% of males, 70.7% of females), increased by age (77.8% in those aged 80 and over) and varied by ethnic group (Black ethnic group least likely with 66.6%, Asian ethnic group most likely with 84.3%) and socio-economic status (78.9% in the most deprived quintile, and 70.8% in the least deprived quintile).</w:t>
            </w:r>
          </w:p>
        </w:tc>
        <w:tc>
          <w:tcPr>
            <w:tcW w:w="3118" w:type="dxa"/>
          </w:tcPr>
          <w:p w14:paraId="3BE9EC99" w14:textId="77777777" w:rsidR="00735337" w:rsidRPr="00F033E3" w:rsidRDefault="00735337" w:rsidP="00735337">
            <w:pPr>
              <w:spacing w:before="120" w:after="120"/>
              <w:rPr>
                <w:rFonts w:ascii="Arial" w:hAnsi="Arial" w:cs="Arial"/>
                <w:color w:val="000000"/>
                <w:kern w:val="24"/>
                <w:sz w:val="22"/>
                <w:szCs w:val="22"/>
                <w:lang w:val="en-US"/>
              </w:rPr>
            </w:pPr>
            <w:r w:rsidRPr="00F033E3">
              <w:rPr>
                <w:rFonts w:ascii="Arial" w:hAnsi="Arial" w:cs="Arial"/>
                <w:color w:val="000000"/>
                <w:kern w:val="24"/>
                <w:sz w:val="22"/>
                <w:szCs w:val="22"/>
                <w:lang w:val="en-US"/>
              </w:rPr>
              <w:t>The indicator relates to an area where there is known variation in practice.</w:t>
            </w:r>
          </w:p>
          <w:p w14:paraId="18268B4B" w14:textId="77777777" w:rsidR="00735337" w:rsidRPr="00F033E3" w:rsidRDefault="00735337" w:rsidP="00735337">
            <w:pPr>
              <w:pStyle w:val="Paragraph"/>
              <w:spacing w:before="120" w:after="120" w:line="240" w:lineRule="auto"/>
            </w:pPr>
            <w:r w:rsidRPr="00F033E3">
              <w:rPr>
                <w:rFonts w:cs="Arial"/>
                <w:color w:val="000000"/>
                <w:kern w:val="24"/>
                <w:sz w:val="22"/>
                <w:szCs w:val="22"/>
                <w:lang w:val="en-US"/>
              </w:rPr>
              <w:t>The indicator addresses under-treatment.</w:t>
            </w:r>
          </w:p>
        </w:tc>
      </w:tr>
      <w:tr w:rsidR="00735337" w14:paraId="03153658" w14:textId="77777777" w:rsidTr="002338EB">
        <w:tc>
          <w:tcPr>
            <w:tcW w:w="5949" w:type="dxa"/>
          </w:tcPr>
          <w:p w14:paraId="521E639D" w14:textId="36B22F09" w:rsidR="00735337" w:rsidRPr="00F033E3" w:rsidRDefault="00F033E3" w:rsidP="00735337">
            <w:pPr>
              <w:spacing w:before="120" w:after="120"/>
              <w:rPr>
                <w:rFonts w:ascii="Arial" w:hAnsi="Arial" w:cs="Arial"/>
                <w:sz w:val="22"/>
                <w:szCs w:val="22"/>
              </w:rPr>
            </w:pPr>
            <w:r w:rsidRPr="00F033E3">
              <w:rPr>
                <w:rFonts w:ascii="Arial" w:hAnsi="Arial" w:cs="Arial"/>
                <w:sz w:val="22"/>
                <w:szCs w:val="22"/>
              </w:rPr>
              <w:t>People with chronic kidney disease (CKD) are at increased risk of cardiovascular disease (CVD). Lipid lowering therapies can help lower LDL cholesterol as part of primary and secondary prevention of CVD in people with CKD. Atorvastatin 20 mg is recommended as first line therapy for the primary and secondary prevention of CVD in people with CKD.</w:t>
            </w:r>
          </w:p>
        </w:tc>
        <w:tc>
          <w:tcPr>
            <w:tcW w:w="3118" w:type="dxa"/>
          </w:tcPr>
          <w:p w14:paraId="72E0612A" w14:textId="77777777" w:rsidR="00735337" w:rsidRPr="00F033E3" w:rsidRDefault="00735337" w:rsidP="00735337">
            <w:pPr>
              <w:spacing w:before="120" w:after="120"/>
              <w:rPr>
                <w:rFonts w:ascii="Arial" w:hAnsi="Arial" w:cs="Arial"/>
                <w:color w:val="000000"/>
                <w:kern w:val="24"/>
                <w:sz w:val="22"/>
                <w:szCs w:val="22"/>
                <w:lang w:val="en-US"/>
              </w:rPr>
            </w:pPr>
            <w:r w:rsidRPr="00F033E3">
              <w:rPr>
                <w:rFonts w:ascii="Arial" w:hAnsi="Arial" w:cs="Arial"/>
                <w:color w:val="000000"/>
                <w:kern w:val="24"/>
                <w:sz w:val="22"/>
                <w:szCs w:val="22"/>
                <w:lang w:val="en-US"/>
              </w:rPr>
              <w:t>The indicator will lead to a meaningful improvement in patient outcomes.</w:t>
            </w:r>
          </w:p>
          <w:p w14:paraId="24FC6E03" w14:textId="77777777" w:rsidR="00735337" w:rsidRPr="00F033E3" w:rsidRDefault="00735337" w:rsidP="00735337">
            <w:pPr>
              <w:spacing w:before="120" w:after="120"/>
              <w:rPr>
                <w:rFonts w:ascii="Arial" w:hAnsi="Arial" w:cs="Arial"/>
                <w:color w:val="000000"/>
                <w:kern w:val="24"/>
                <w:sz w:val="22"/>
                <w:szCs w:val="22"/>
                <w:lang w:val="en-US"/>
              </w:rPr>
            </w:pPr>
          </w:p>
        </w:tc>
      </w:tr>
      <w:bookmarkEnd w:id="0"/>
    </w:tbl>
    <w:p w14:paraId="5FD28BDC" w14:textId="77777777" w:rsidR="002338EB" w:rsidRDefault="002338EB" w:rsidP="002338EB">
      <w:pPr>
        <w:pStyle w:val="Heading3"/>
      </w:pPr>
    </w:p>
    <w:p w14:paraId="2B4C521D"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7C4AC77D" w14:textId="77777777" w:rsidTr="001C517D">
        <w:tc>
          <w:tcPr>
            <w:tcW w:w="5949" w:type="dxa"/>
          </w:tcPr>
          <w:p w14:paraId="29F6EF30"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0142D750"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38183B8C" w14:textId="77777777" w:rsidTr="001C517D">
        <w:tc>
          <w:tcPr>
            <w:tcW w:w="5949" w:type="dxa"/>
          </w:tcPr>
          <w:p w14:paraId="622DB070" w14:textId="15B69232" w:rsidR="00F033E3" w:rsidRPr="00F033E3" w:rsidRDefault="00F033E3" w:rsidP="002338EB">
            <w:pPr>
              <w:pStyle w:val="Paragraph"/>
              <w:spacing w:before="120" w:after="120" w:line="240" w:lineRule="auto"/>
              <w:rPr>
                <w:rFonts w:cs="Arial"/>
                <w:color w:val="000000"/>
                <w:kern w:val="24"/>
                <w:sz w:val="22"/>
                <w:szCs w:val="22"/>
                <w:lang w:eastAsia="en-GB"/>
              </w:rPr>
            </w:pPr>
            <w:hyperlink r:id="rId9" w:history="1">
              <w:r w:rsidRPr="00F033E3">
                <w:rPr>
                  <w:rStyle w:val="Hyperlink"/>
                  <w:rFonts w:cs="Arial"/>
                  <w:kern w:val="24"/>
                  <w:sz w:val="22"/>
                  <w:szCs w:val="22"/>
                  <w:lang w:eastAsia="en-GB"/>
                </w:rPr>
                <w:t>NICE's guideline on cardiovascular disease: risk assessment and reduction, including lipid modification</w:t>
              </w:r>
            </w:hyperlink>
            <w:r w:rsidRPr="00F033E3">
              <w:rPr>
                <w:rFonts w:cs="Arial"/>
                <w:color w:val="000000"/>
                <w:kern w:val="24"/>
                <w:sz w:val="22"/>
                <w:szCs w:val="22"/>
                <w:lang w:eastAsia="en-GB"/>
              </w:rPr>
              <w:t xml:space="preserve"> (2023) recommendations </w:t>
            </w:r>
            <w:r w:rsidR="00EA58F1">
              <w:rPr>
                <w:rFonts w:cs="Arial"/>
                <w:color w:val="000000"/>
                <w:kern w:val="24"/>
                <w:sz w:val="22"/>
                <w:szCs w:val="22"/>
                <w:lang w:eastAsia="en-GB"/>
              </w:rPr>
              <w:t xml:space="preserve">1.6.13, 1.7.9, </w:t>
            </w:r>
            <w:r w:rsidRPr="00F033E3">
              <w:rPr>
                <w:rFonts w:cs="Arial"/>
                <w:color w:val="000000"/>
                <w:kern w:val="24"/>
                <w:sz w:val="22"/>
                <w:szCs w:val="22"/>
                <w:lang w:eastAsia="en-GB"/>
              </w:rPr>
              <w:t xml:space="preserve">1.7.10, 1.8.1, </w:t>
            </w:r>
            <w:r w:rsidR="00EA58F1">
              <w:rPr>
                <w:rFonts w:cs="Arial"/>
                <w:color w:val="000000"/>
                <w:kern w:val="24"/>
                <w:sz w:val="22"/>
                <w:szCs w:val="22"/>
                <w:lang w:eastAsia="en-GB"/>
              </w:rPr>
              <w:t>1.10.1 to 1.10.4</w:t>
            </w:r>
            <w:r w:rsidRPr="00F033E3">
              <w:rPr>
                <w:rFonts w:cs="Arial"/>
                <w:color w:val="000000"/>
                <w:kern w:val="24"/>
                <w:sz w:val="22"/>
                <w:szCs w:val="22"/>
                <w:lang w:eastAsia="en-GB"/>
              </w:rPr>
              <w:t xml:space="preserve"> </w:t>
            </w:r>
          </w:p>
          <w:p w14:paraId="7F85EB42" w14:textId="27F3E985" w:rsidR="00F033E3" w:rsidRPr="00F033E3" w:rsidRDefault="00F033E3" w:rsidP="002338EB">
            <w:pPr>
              <w:pStyle w:val="Paragraph"/>
              <w:spacing w:before="120" w:after="120" w:line="240" w:lineRule="auto"/>
              <w:rPr>
                <w:rFonts w:cs="Arial"/>
                <w:color w:val="000000"/>
                <w:kern w:val="24"/>
                <w:sz w:val="22"/>
                <w:szCs w:val="22"/>
                <w:lang w:eastAsia="en-GB"/>
              </w:rPr>
            </w:pPr>
            <w:hyperlink r:id="rId10" w:history="1">
              <w:r w:rsidRPr="00F033E3">
                <w:rPr>
                  <w:rStyle w:val="Hyperlink"/>
                  <w:rFonts w:cs="Arial"/>
                  <w:kern w:val="24"/>
                  <w:sz w:val="22"/>
                  <w:szCs w:val="22"/>
                  <w:lang w:eastAsia="en-GB"/>
                </w:rPr>
                <w:t>Ezetimibe for treating primary heterozygous-familial and non-familial hypercholesterolaemia. NICE technology appraisal guidance TA385</w:t>
              </w:r>
            </w:hyperlink>
            <w:r w:rsidRPr="00F033E3">
              <w:rPr>
                <w:rFonts w:cs="Arial"/>
                <w:color w:val="000000"/>
                <w:kern w:val="24"/>
                <w:sz w:val="22"/>
                <w:szCs w:val="22"/>
                <w:lang w:eastAsia="en-GB"/>
              </w:rPr>
              <w:t xml:space="preserve"> (2016) </w:t>
            </w:r>
          </w:p>
          <w:p w14:paraId="3D06C66E" w14:textId="15523501" w:rsidR="002338EB" w:rsidRPr="00F033E3" w:rsidRDefault="00F033E3" w:rsidP="002338EB">
            <w:pPr>
              <w:pStyle w:val="Paragraph"/>
              <w:spacing w:before="120" w:after="120" w:line="240" w:lineRule="auto"/>
            </w:pPr>
            <w:hyperlink r:id="rId11" w:history="1">
              <w:proofErr w:type="spellStart"/>
              <w:r w:rsidRPr="00F033E3">
                <w:rPr>
                  <w:rStyle w:val="Hyperlink"/>
                  <w:rFonts w:cs="Arial"/>
                  <w:kern w:val="24"/>
                  <w:sz w:val="22"/>
                  <w:szCs w:val="22"/>
                  <w:lang w:eastAsia="en-GB"/>
                </w:rPr>
                <w:t>Bempedoic</w:t>
              </w:r>
              <w:proofErr w:type="spellEnd"/>
              <w:r w:rsidRPr="00F033E3">
                <w:rPr>
                  <w:rStyle w:val="Hyperlink"/>
                  <w:rFonts w:cs="Arial"/>
                  <w:kern w:val="24"/>
                  <w:sz w:val="22"/>
                  <w:szCs w:val="22"/>
                  <w:lang w:eastAsia="en-GB"/>
                </w:rPr>
                <w:t xml:space="preserve"> acid with ezetimibe for treating primary hypercholesterolaemia or mixed dyslipidaemia. NICE technology appraisal guidance TA694</w:t>
              </w:r>
            </w:hyperlink>
            <w:r w:rsidRPr="00F033E3">
              <w:rPr>
                <w:rFonts w:cs="Arial"/>
                <w:color w:val="000000"/>
                <w:kern w:val="24"/>
                <w:sz w:val="22"/>
                <w:szCs w:val="22"/>
                <w:lang w:eastAsia="en-GB"/>
              </w:rPr>
              <w:t xml:space="preserve"> (2021)</w:t>
            </w:r>
          </w:p>
        </w:tc>
        <w:tc>
          <w:tcPr>
            <w:tcW w:w="3118" w:type="dxa"/>
          </w:tcPr>
          <w:p w14:paraId="7435DE0A" w14:textId="77777777" w:rsidR="002338EB" w:rsidRPr="00F033E3" w:rsidRDefault="002338EB" w:rsidP="002338EB">
            <w:pPr>
              <w:spacing w:before="120" w:after="120"/>
              <w:rPr>
                <w:rFonts w:ascii="Arial" w:hAnsi="Arial" w:cs="Arial"/>
                <w:color w:val="000000"/>
                <w:kern w:val="24"/>
                <w:sz w:val="22"/>
                <w:szCs w:val="22"/>
                <w:lang w:val="en-US"/>
              </w:rPr>
            </w:pPr>
            <w:r w:rsidRPr="00F033E3">
              <w:rPr>
                <w:rFonts w:ascii="Arial" w:hAnsi="Arial" w:cs="Arial"/>
                <w:color w:val="000000"/>
                <w:kern w:val="24"/>
                <w:sz w:val="22"/>
                <w:szCs w:val="22"/>
                <w:lang w:val="en-US"/>
              </w:rPr>
              <w:t xml:space="preserve">The indicator is derived from a high-quality evidence base. </w:t>
            </w:r>
          </w:p>
          <w:p w14:paraId="51940F35" w14:textId="77777777" w:rsidR="002338EB" w:rsidRPr="00F033E3" w:rsidRDefault="002338EB" w:rsidP="002338EB">
            <w:pPr>
              <w:pStyle w:val="Paragraph"/>
              <w:spacing w:before="120" w:after="120" w:line="240" w:lineRule="auto"/>
            </w:pPr>
            <w:r w:rsidRPr="00F033E3">
              <w:rPr>
                <w:rFonts w:cs="Arial"/>
                <w:color w:val="000000"/>
                <w:kern w:val="24"/>
                <w:sz w:val="22"/>
                <w:szCs w:val="22"/>
                <w:lang w:val="en-US"/>
              </w:rPr>
              <w:t>The indicator aligns with the evidence base.</w:t>
            </w:r>
          </w:p>
        </w:tc>
      </w:tr>
    </w:tbl>
    <w:p w14:paraId="14B134CA" w14:textId="77777777" w:rsidR="002338EB" w:rsidRDefault="002338EB" w:rsidP="002338EB">
      <w:pPr>
        <w:pStyle w:val="Paragraph"/>
      </w:pPr>
    </w:p>
    <w:p w14:paraId="6D42F56F"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4827EE25" w14:textId="77777777" w:rsidTr="001C517D">
        <w:tc>
          <w:tcPr>
            <w:tcW w:w="5949" w:type="dxa"/>
          </w:tcPr>
          <w:p w14:paraId="3CCE8B2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5ABE0DE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2C13DFC3" w14:textId="77777777" w:rsidTr="001C517D">
        <w:tc>
          <w:tcPr>
            <w:tcW w:w="5949" w:type="dxa"/>
          </w:tcPr>
          <w:p w14:paraId="367EDC31" w14:textId="77777777" w:rsidR="00EA58F1" w:rsidRPr="00EA58F1" w:rsidRDefault="00EA58F1" w:rsidP="002338EB">
            <w:pPr>
              <w:pStyle w:val="Paragraph"/>
              <w:spacing w:before="120" w:after="120" w:line="240" w:lineRule="auto"/>
              <w:rPr>
                <w:rFonts w:cs="Arial"/>
                <w:color w:val="000000"/>
                <w:kern w:val="24"/>
                <w:sz w:val="22"/>
                <w:szCs w:val="22"/>
                <w:lang w:eastAsia="en-GB"/>
              </w:rPr>
            </w:pPr>
            <w:r w:rsidRPr="00EA58F1">
              <w:rPr>
                <w:rFonts w:cs="Arial"/>
                <w:color w:val="000000"/>
                <w:kern w:val="24"/>
                <w:sz w:val="22"/>
                <w:szCs w:val="22"/>
                <w:lang w:eastAsia="en-GB"/>
              </w:rPr>
              <w:t xml:space="preserve">Numerator: The number in the denominator who are currently treated with a lipid modifying therapy. </w:t>
            </w:r>
          </w:p>
          <w:p w14:paraId="05917C39" w14:textId="77777777" w:rsidR="00EA58F1" w:rsidRPr="00EA58F1" w:rsidRDefault="00EA58F1" w:rsidP="002338EB">
            <w:pPr>
              <w:pStyle w:val="Paragraph"/>
              <w:spacing w:before="120" w:after="120" w:line="240" w:lineRule="auto"/>
              <w:rPr>
                <w:rFonts w:cs="Arial"/>
                <w:color w:val="000000"/>
                <w:kern w:val="24"/>
                <w:sz w:val="22"/>
                <w:szCs w:val="22"/>
                <w:lang w:eastAsia="en-GB"/>
              </w:rPr>
            </w:pPr>
            <w:r w:rsidRPr="00EA58F1">
              <w:rPr>
                <w:rFonts w:cs="Arial"/>
                <w:color w:val="000000"/>
                <w:kern w:val="24"/>
                <w:sz w:val="22"/>
                <w:szCs w:val="22"/>
                <w:lang w:eastAsia="en-GB"/>
              </w:rPr>
              <w:t xml:space="preserve">Denominator: The number of patients with CKD on the register. Exclusions: People with a history of haemorrhagic stroke. </w:t>
            </w:r>
          </w:p>
          <w:p w14:paraId="626A19E7" w14:textId="77777777" w:rsidR="00EA58F1" w:rsidRPr="00EA58F1" w:rsidRDefault="00EA58F1" w:rsidP="002338EB">
            <w:pPr>
              <w:pStyle w:val="Paragraph"/>
              <w:spacing w:before="120" w:after="120" w:line="240" w:lineRule="auto"/>
              <w:rPr>
                <w:rFonts w:cs="Arial"/>
                <w:color w:val="000000"/>
                <w:kern w:val="24"/>
                <w:sz w:val="22"/>
                <w:szCs w:val="22"/>
                <w:lang w:eastAsia="en-GB"/>
              </w:rPr>
            </w:pPr>
            <w:r w:rsidRPr="00EA58F1">
              <w:rPr>
                <w:rFonts w:cs="Arial"/>
                <w:color w:val="000000"/>
                <w:kern w:val="24"/>
                <w:sz w:val="22"/>
                <w:szCs w:val="22"/>
                <w:lang w:eastAsia="en-GB"/>
              </w:rPr>
              <w:t xml:space="preserve">Definitions: Current treatment with a lipid lowering therapy is defined as prescription of a statin or non-statin lipid lowering therapy in the last 6 months of the reporting period. Contract negotiators may want to consider including additional therapies that have been approved by NICE but are generally not initiated in general practice. </w:t>
            </w:r>
          </w:p>
          <w:p w14:paraId="611DE19E" w14:textId="39573A73" w:rsidR="00735337" w:rsidRPr="00EA58F1" w:rsidRDefault="00EA58F1" w:rsidP="002338EB">
            <w:pPr>
              <w:pStyle w:val="Paragraph"/>
              <w:spacing w:before="120" w:after="120" w:line="240" w:lineRule="auto"/>
            </w:pPr>
            <w:r w:rsidRPr="00EA58F1">
              <w:rPr>
                <w:rFonts w:cs="Arial"/>
                <w:color w:val="000000"/>
                <w:kern w:val="24"/>
                <w:sz w:val="22"/>
                <w:szCs w:val="22"/>
                <w:lang w:eastAsia="en-GB"/>
              </w:rPr>
              <w:t>Personalised care adjustments or exception reporting should be considered to account for situations where the patient declines, does not attend or if lipid lowering therapy is not appropriate.</w:t>
            </w:r>
          </w:p>
        </w:tc>
        <w:tc>
          <w:tcPr>
            <w:tcW w:w="3118" w:type="dxa"/>
          </w:tcPr>
          <w:p w14:paraId="15E5BC92" w14:textId="77777777" w:rsidR="002338EB" w:rsidRPr="00EA58F1" w:rsidRDefault="002338EB" w:rsidP="002338EB">
            <w:pPr>
              <w:spacing w:before="120" w:after="120"/>
              <w:rPr>
                <w:rFonts w:ascii="Arial" w:hAnsi="Arial" w:cs="Arial"/>
                <w:color w:val="000000"/>
                <w:kern w:val="24"/>
                <w:sz w:val="22"/>
                <w:szCs w:val="22"/>
              </w:rPr>
            </w:pPr>
            <w:r w:rsidRPr="00EA58F1">
              <w:rPr>
                <w:rFonts w:ascii="Arial" w:hAnsi="Arial" w:cs="Arial"/>
                <w:color w:val="000000"/>
                <w:kern w:val="24"/>
                <w:sz w:val="22"/>
                <w:szCs w:val="22"/>
              </w:rPr>
              <w:t>The indicator has defined components necessary to construct the indicator, including numerator, denominator and exclusions.</w:t>
            </w:r>
          </w:p>
          <w:p w14:paraId="297FEF81" w14:textId="77777777" w:rsidR="002338EB" w:rsidRPr="00EA58F1" w:rsidRDefault="002338EB" w:rsidP="002338EB">
            <w:pPr>
              <w:pStyle w:val="Paragraph"/>
              <w:spacing w:before="120" w:after="120" w:line="240" w:lineRule="auto"/>
            </w:pPr>
          </w:p>
        </w:tc>
      </w:tr>
      <w:tr w:rsidR="002338EB" w14:paraId="7F5DDF01" w14:textId="77777777" w:rsidTr="001C517D">
        <w:tc>
          <w:tcPr>
            <w:tcW w:w="5949" w:type="dxa"/>
          </w:tcPr>
          <w:p w14:paraId="5F3C047F" w14:textId="6FE3E484" w:rsidR="002C1326" w:rsidRPr="00EA58F1" w:rsidRDefault="00EA58F1" w:rsidP="009B3F8C">
            <w:pPr>
              <w:pStyle w:val="Paragraph"/>
              <w:spacing w:before="120" w:after="120"/>
            </w:pPr>
            <w:r w:rsidRPr="00EA58F1">
              <w:rPr>
                <w:rFonts w:cs="Arial"/>
                <w:color w:val="000000"/>
                <w:kern w:val="24"/>
                <w:sz w:val="22"/>
                <w:szCs w:val="22"/>
              </w:rPr>
              <w:t>To be classified as suitable for use in QOF, there should be an average minimum population of more than 20 patients per practice eligible for inclusion in the denominator prior to application of personalised care adjustments. CKD prevalence data from QOF 2020-21 compared with ONS population statistics shows that an average practice with 10,000 patients would have around 311 eligible patients</w:t>
            </w:r>
          </w:p>
        </w:tc>
        <w:tc>
          <w:tcPr>
            <w:tcW w:w="3118" w:type="dxa"/>
          </w:tcPr>
          <w:p w14:paraId="1C855408" w14:textId="77777777" w:rsidR="002338EB" w:rsidRPr="00EA58F1" w:rsidRDefault="002338EB" w:rsidP="002338EB">
            <w:pPr>
              <w:pStyle w:val="Paragraph"/>
              <w:spacing w:before="120" w:after="120" w:line="240" w:lineRule="auto"/>
              <w:rPr>
                <w:rFonts w:cs="Arial"/>
                <w:color w:val="000000"/>
                <w:kern w:val="24"/>
                <w:sz w:val="22"/>
                <w:szCs w:val="22"/>
              </w:rPr>
            </w:pPr>
            <w:r w:rsidRPr="00EA58F1">
              <w:rPr>
                <w:rFonts w:cs="Arial"/>
                <w:color w:val="000000"/>
                <w:kern w:val="24"/>
                <w:sz w:val="22"/>
                <w:szCs w:val="22"/>
              </w:rPr>
              <w:t xml:space="preserve">The indicator </w:t>
            </w:r>
            <w:r w:rsidR="002C1326" w:rsidRPr="00EA58F1">
              <w:rPr>
                <w:rFonts w:cs="Arial"/>
                <w:color w:val="000000"/>
                <w:kern w:val="24"/>
                <w:sz w:val="22"/>
                <w:szCs w:val="22"/>
              </w:rPr>
              <w:t>does/</w:t>
            </w:r>
            <w:r w:rsidRPr="00EA58F1">
              <w:rPr>
                <w:rFonts w:cs="Arial"/>
                <w:color w:val="000000"/>
                <w:kern w:val="24"/>
                <w:sz w:val="22"/>
                <w:szCs w:val="22"/>
              </w:rPr>
              <w:t>does not outline minimum numbers of patients needed to be confident in the assessment of variation.</w:t>
            </w:r>
          </w:p>
          <w:p w14:paraId="41F56CDB" w14:textId="22E5BC28" w:rsidR="000C4A97" w:rsidRPr="00EA58F1" w:rsidRDefault="000C4A97" w:rsidP="002338EB">
            <w:pPr>
              <w:pStyle w:val="Paragraph"/>
              <w:spacing w:before="120" w:after="120" w:line="240" w:lineRule="auto"/>
            </w:pPr>
            <w:r w:rsidRPr="00EA58F1">
              <w:rPr>
                <w:rFonts w:cs="Arial"/>
                <w:color w:val="000000"/>
                <w:kern w:val="24"/>
                <w:sz w:val="22"/>
                <w:szCs w:val="22"/>
              </w:rPr>
              <w:t>Available data does suggest that the number of eligible patients per average [provider type] would be above this minimum number.</w:t>
            </w:r>
          </w:p>
        </w:tc>
      </w:tr>
    </w:tbl>
    <w:p w14:paraId="4F411436" w14:textId="77777777" w:rsidR="002338EB" w:rsidRDefault="002338EB" w:rsidP="002338EB">
      <w:pPr>
        <w:pStyle w:val="Paragraph"/>
      </w:pPr>
    </w:p>
    <w:p w14:paraId="0EB1365C"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4697152" w14:textId="77777777" w:rsidTr="001C517D">
        <w:tc>
          <w:tcPr>
            <w:tcW w:w="5949" w:type="dxa"/>
          </w:tcPr>
          <w:p w14:paraId="3F7F19A0"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0A06DD6E"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31777C83" w14:textId="77777777" w:rsidTr="001C517D">
        <w:tc>
          <w:tcPr>
            <w:tcW w:w="5949" w:type="dxa"/>
          </w:tcPr>
          <w:p w14:paraId="09FD8134" w14:textId="036138FC" w:rsidR="00735337" w:rsidRPr="00EA58F1" w:rsidRDefault="00EA58F1" w:rsidP="00735337">
            <w:pPr>
              <w:pStyle w:val="Paragraph"/>
              <w:spacing w:before="120" w:after="120" w:line="240" w:lineRule="auto"/>
            </w:pPr>
            <w:r w:rsidRPr="00EA58F1">
              <w:rPr>
                <w:rFonts w:cs="Arial"/>
                <w:sz w:val="22"/>
                <w:szCs w:val="22"/>
              </w:rPr>
              <w:t>Data can be collected from GP systems using SNOMED coding.</w:t>
            </w:r>
          </w:p>
        </w:tc>
        <w:tc>
          <w:tcPr>
            <w:tcW w:w="3118" w:type="dxa"/>
          </w:tcPr>
          <w:p w14:paraId="3A34C615" w14:textId="77777777" w:rsidR="00735337" w:rsidRPr="00EA58F1" w:rsidRDefault="00735337" w:rsidP="00735337">
            <w:pPr>
              <w:spacing w:before="120" w:after="120"/>
              <w:rPr>
                <w:rFonts w:ascii="Arial" w:hAnsi="Arial" w:cs="Arial"/>
                <w:color w:val="000000"/>
                <w:kern w:val="24"/>
                <w:sz w:val="22"/>
                <w:szCs w:val="22"/>
              </w:rPr>
            </w:pPr>
            <w:r w:rsidRPr="00EA58F1">
              <w:rPr>
                <w:rFonts w:ascii="Arial" w:hAnsi="Arial" w:cs="Arial"/>
                <w:color w:val="000000"/>
                <w:kern w:val="24"/>
                <w:sz w:val="22"/>
                <w:szCs w:val="22"/>
              </w:rPr>
              <w:t>The indicator is repeatable.</w:t>
            </w:r>
          </w:p>
          <w:p w14:paraId="159FE095" w14:textId="77777777" w:rsidR="00735337" w:rsidRPr="00EA58F1" w:rsidRDefault="00735337" w:rsidP="00735337">
            <w:pPr>
              <w:pStyle w:val="Paragraph"/>
              <w:spacing w:before="120" w:after="120" w:line="240" w:lineRule="auto"/>
            </w:pPr>
          </w:p>
        </w:tc>
      </w:tr>
      <w:tr w:rsidR="00735337" w14:paraId="7A67ABDE" w14:textId="77777777" w:rsidTr="001C517D">
        <w:tc>
          <w:tcPr>
            <w:tcW w:w="5949" w:type="dxa"/>
          </w:tcPr>
          <w:p w14:paraId="7BC09C3C"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xml:space="preserve">Data fields collected include: </w:t>
            </w:r>
          </w:p>
          <w:p w14:paraId="2736946C"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CVDASSRA_COD</w:t>
            </w:r>
          </w:p>
          <w:p w14:paraId="73E8B8FD"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STAT_COD</w:t>
            </w:r>
          </w:p>
          <w:p w14:paraId="420DC63C"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CHD_COD</w:t>
            </w:r>
          </w:p>
          <w:p w14:paraId="257ABD3F"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CKD_COD</w:t>
            </w:r>
          </w:p>
          <w:p w14:paraId="70BADE5E"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STATINDEC_COD</w:t>
            </w:r>
          </w:p>
          <w:p w14:paraId="4BF1BD1A"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TXSTAT_COD</w:t>
            </w:r>
          </w:p>
          <w:p w14:paraId="13F05927"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XSTAT_COD</w:t>
            </w:r>
          </w:p>
          <w:p w14:paraId="0698E452"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LIPIDTHERADV_COD</w:t>
            </w:r>
          </w:p>
          <w:p w14:paraId="327BC547"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LIPIDTHERCON_COD</w:t>
            </w:r>
          </w:p>
          <w:p w14:paraId="514C0411"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LIPIDTHERDEC_COD</w:t>
            </w:r>
          </w:p>
          <w:p w14:paraId="6C44E0C2" w14:textId="77777777" w:rsidR="00EA58F1" w:rsidRPr="00EA58F1" w:rsidRDefault="00EA58F1" w:rsidP="00EA58F1">
            <w:pPr>
              <w:spacing w:before="120" w:after="120"/>
              <w:rPr>
                <w:rFonts w:ascii="Arial" w:hAnsi="Arial" w:cs="Arial"/>
                <w:sz w:val="22"/>
                <w:szCs w:val="22"/>
              </w:rPr>
            </w:pPr>
            <w:r w:rsidRPr="00EA58F1">
              <w:rPr>
                <w:rFonts w:ascii="Arial" w:hAnsi="Arial" w:cs="Arial"/>
                <w:sz w:val="22"/>
                <w:szCs w:val="22"/>
              </w:rPr>
              <w:t>• LIPIDTHERIND_COD</w:t>
            </w:r>
          </w:p>
          <w:p w14:paraId="7FCE8179" w14:textId="296F517D" w:rsidR="00735337" w:rsidRDefault="00EA58F1" w:rsidP="00EA58F1">
            <w:pPr>
              <w:spacing w:before="120" w:after="120"/>
              <w:contextualSpacing/>
              <w:rPr>
                <w:rFonts w:ascii="Arial" w:hAnsi="Arial" w:cs="Arial"/>
                <w:sz w:val="22"/>
                <w:szCs w:val="22"/>
                <w:highlight w:val="lightGray"/>
              </w:rPr>
            </w:pPr>
            <w:r w:rsidRPr="00EA58F1">
              <w:rPr>
                <w:rFonts w:ascii="Arial" w:hAnsi="Arial" w:cs="Arial"/>
                <w:sz w:val="22"/>
                <w:szCs w:val="22"/>
              </w:rPr>
              <w:t>• LIPIDTHERNIND_COD</w:t>
            </w:r>
          </w:p>
        </w:tc>
        <w:tc>
          <w:tcPr>
            <w:tcW w:w="3118" w:type="dxa"/>
          </w:tcPr>
          <w:p w14:paraId="3049F7AB" w14:textId="77777777" w:rsidR="00735337" w:rsidRPr="00EA58F1" w:rsidRDefault="00735337" w:rsidP="00735337">
            <w:pPr>
              <w:spacing w:before="120" w:after="120"/>
              <w:rPr>
                <w:rFonts w:ascii="Arial" w:hAnsi="Arial" w:cs="Arial"/>
                <w:color w:val="000000"/>
                <w:kern w:val="24"/>
                <w:sz w:val="22"/>
                <w:szCs w:val="22"/>
              </w:rPr>
            </w:pPr>
            <w:r w:rsidRPr="00EA58F1">
              <w:rPr>
                <w:rFonts w:ascii="Arial" w:hAnsi="Arial" w:cs="Arial"/>
                <w:color w:val="000000"/>
                <w:kern w:val="24"/>
                <w:sz w:val="22"/>
                <w:szCs w:val="22"/>
              </w:rPr>
              <w:t xml:space="preserve">The indicator is measuring what it is designed to measure. </w:t>
            </w:r>
          </w:p>
          <w:p w14:paraId="20AF2693" w14:textId="77777777" w:rsidR="00735337" w:rsidRPr="00735337" w:rsidRDefault="00735337" w:rsidP="00735337">
            <w:pPr>
              <w:spacing w:before="120" w:after="120"/>
              <w:rPr>
                <w:rFonts w:ascii="Arial" w:hAnsi="Arial" w:cs="Arial"/>
                <w:color w:val="000000"/>
                <w:kern w:val="24"/>
                <w:sz w:val="22"/>
                <w:szCs w:val="22"/>
                <w:highlight w:val="lightGray"/>
              </w:rPr>
            </w:pPr>
            <w:r w:rsidRPr="00EA58F1">
              <w:rPr>
                <w:rFonts w:ascii="Arial" w:hAnsi="Arial" w:cs="Arial"/>
                <w:color w:val="000000"/>
                <w:kern w:val="24"/>
                <w:sz w:val="22"/>
                <w:szCs w:val="22"/>
              </w:rPr>
              <w:t>The indicator uses existing data fields.</w:t>
            </w:r>
          </w:p>
        </w:tc>
      </w:tr>
    </w:tbl>
    <w:p w14:paraId="76395503" w14:textId="77777777" w:rsidR="002338EB" w:rsidRDefault="002338EB" w:rsidP="002338EB">
      <w:pPr>
        <w:pStyle w:val="Paragraph"/>
      </w:pPr>
    </w:p>
    <w:p w14:paraId="107F4D8D"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65C7B0B4" w14:textId="77777777" w:rsidTr="001C517D">
        <w:tc>
          <w:tcPr>
            <w:tcW w:w="5949" w:type="dxa"/>
          </w:tcPr>
          <w:p w14:paraId="7ECEDEA1"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13FC078"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AB7F2B6" w14:textId="77777777" w:rsidTr="001C517D">
        <w:tc>
          <w:tcPr>
            <w:tcW w:w="5949" w:type="dxa"/>
          </w:tcPr>
          <w:p w14:paraId="0DCB643B" w14:textId="72DFE90E" w:rsidR="00735337" w:rsidRPr="00EA58F1" w:rsidRDefault="00EA58F1" w:rsidP="00735337">
            <w:pPr>
              <w:pStyle w:val="Paragraph"/>
              <w:spacing w:before="120" w:after="120" w:line="240" w:lineRule="auto"/>
            </w:pPr>
            <w:r w:rsidRPr="00EA58F1">
              <w:rPr>
                <w:rFonts w:cs="Arial"/>
                <w:sz w:val="22"/>
                <w:szCs w:val="22"/>
              </w:rPr>
              <w:t xml:space="preserve">Patients refusing lipid modifying therapy could affect the ability of clinicians to perform against the indicator. Personalised care adjustments </w:t>
            </w:r>
            <w:proofErr w:type="gramStart"/>
            <w:r w:rsidRPr="00EA58F1">
              <w:rPr>
                <w:rFonts w:cs="Arial"/>
                <w:sz w:val="22"/>
                <w:szCs w:val="22"/>
              </w:rPr>
              <w:t>are able to</w:t>
            </w:r>
            <w:proofErr w:type="gramEnd"/>
            <w:r w:rsidRPr="00EA58F1">
              <w:rPr>
                <w:rFonts w:cs="Arial"/>
                <w:sz w:val="22"/>
                <w:szCs w:val="22"/>
              </w:rPr>
              <w:t xml:space="preserve"> be used if lipid modifying therapy is contra-indicated or declined.</w:t>
            </w:r>
          </w:p>
        </w:tc>
        <w:tc>
          <w:tcPr>
            <w:tcW w:w="3118" w:type="dxa"/>
          </w:tcPr>
          <w:p w14:paraId="3F7731A2" w14:textId="77777777" w:rsidR="00735337" w:rsidRPr="00EA58F1" w:rsidRDefault="00735337" w:rsidP="00735337">
            <w:pPr>
              <w:pStyle w:val="Paragraph"/>
              <w:spacing w:before="120" w:after="120" w:line="240" w:lineRule="auto"/>
            </w:pPr>
            <w:r w:rsidRPr="00EA58F1">
              <w:rPr>
                <w:rFonts w:cs="Arial"/>
                <w:color w:val="000000"/>
                <w:kern w:val="24"/>
                <w:sz w:val="22"/>
                <w:szCs w:val="22"/>
              </w:rPr>
              <w:t>The indicator assesses performance that is attributable to or within the control of the audience</w:t>
            </w:r>
          </w:p>
        </w:tc>
      </w:tr>
      <w:tr w:rsidR="00735337" w14:paraId="13D7F0EE" w14:textId="77777777" w:rsidTr="001C517D">
        <w:tc>
          <w:tcPr>
            <w:tcW w:w="5949" w:type="dxa"/>
          </w:tcPr>
          <w:p w14:paraId="03369086" w14:textId="59AD2A75" w:rsidR="00735337" w:rsidRPr="00EA58F1" w:rsidRDefault="00EA58F1" w:rsidP="00735337">
            <w:pPr>
              <w:pStyle w:val="Paragraph"/>
              <w:spacing w:before="120" w:after="120" w:line="240" w:lineRule="auto"/>
            </w:pPr>
            <w:r w:rsidRPr="00EA58F1">
              <w:rPr>
                <w:rFonts w:cs="Arial"/>
                <w:sz w:val="22"/>
                <w:szCs w:val="22"/>
              </w:rPr>
              <w:t>Data can be extracted and used to compare practice within the GP practice or with other GP practices.</w:t>
            </w:r>
          </w:p>
        </w:tc>
        <w:tc>
          <w:tcPr>
            <w:tcW w:w="3118" w:type="dxa"/>
          </w:tcPr>
          <w:p w14:paraId="5F5325A4" w14:textId="77777777" w:rsidR="00735337" w:rsidRPr="00EA58F1" w:rsidRDefault="00735337" w:rsidP="00735337">
            <w:pPr>
              <w:pStyle w:val="Paragraph"/>
              <w:spacing w:before="120" w:after="120" w:line="240" w:lineRule="auto"/>
            </w:pPr>
            <w:r w:rsidRPr="00EA58F1">
              <w:rPr>
                <w:rFonts w:cs="Arial"/>
                <w:color w:val="000000"/>
                <w:kern w:val="24"/>
                <w:sz w:val="22"/>
                <w:szCs w:val="22"/>
              </w:rPr>
              <w:t>The results of the indicator can be used to improve practice</w:t>
            </w:r>
          </w:p>
        </w:tc>
      </w:tr>
    </w:tbl>
    <w:p w14:paraId="5E42979A" w14:textId="77777777" w:rsidR="002338EB" w:rsidRDefault="002338EB" w:rsidP="002338EB">
      <w:pPr>
        <w:pStyle w:val="Paragraph"/>
      </w:pPr>
    </w:p>
    <w:p w14:paraId="3BBED12D"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68D2463C" w14:textId="77777777" w:rsidTr="001C517D">
        <w:tc>
          <w:tcPr>
            <w:tcW w:w="5949" w:type="dxa"/>
          </w:tcPr>
          <w:p w14:paraId="226B8A36"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12A1EB73"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47F90C10" w14:textId="77777777" w:rsidTr="001C517D">
        <w:tc>
          <w:tcPr>
            <w:tcW w:w="5949" w:type="dxa"/>
          </w:tcPr>
          <w:p w14:paraId="0D8A74D0" w14:textId="77777777" w:rsidR="00EA58F1" w:rsidRPr="00EA58F1" w:rsidRDefault="00EA58F1" w:rsidP="00A47852">
            <w:pPr>
              <w:pStyle w:val="Paragraph"/>
              <w:spacing w:before="120" w:after="120" w:line="240" w:lineRule="auto"/>
              <w:rPr>
                <w:rFonts w:cs="Arial"/>
                <w:color w:val="000000"/>
                <w:kern w:val="24"/>
                <w:sz w:val="22"/>
                <w:szCs w:val="22"/>
                <w:lang w:eastAsia="en-GB"/>
              </w:rPr>
            </w:pPr>
            <w:r w:rsidRPr="00EA58F1">
              <w:rPr>
                <w:rFonts w:cs="Arial"/>
                <w:color w:val="000000"/>
                <w:kern w:val="24"/>
                <w:sz w:val="22"/>
                <w:szCs w:val="22"/>
                <w:lang w:eastAsia="en-GB"/>
              </w:rPr>
              <w:lastRenderedPageBreak/>
              <w:t xml:space="preserve">At consultation, some stakeholders felt that the indicator should focus on statins only, with current wording allowing for use of drugs with “poorer evidence bases”. </w:t>
            </w:r>
          </w:p>
          <w:p w14:paraId="61D06F8C" w14:textId="77777777" w:rsidR="00EA58F1" w:rsidRPr="00EA58F1" w:rsidRDefault="00EA58F1" w:rsidP="00A47852">
            <w:pPr>
              <w:pStyle w:val="Paragraph"/>
              <w:spacing w:before="120" w:after="120" w:line="240" w:lineRule="auto"/>
              <w:rPr>
                <w:rFonts w:cs="Arial"/>
                <w:color w:val="000000"/>
                <w:kern w:val="24"/>
                <w:sz w:val="22"/>
                <w:szCs w:val="22"/>
                <w:lang w:eastAsia="en-GB"/>
              </w:rPr>
            </w:pPr>
            <w:r w:rsidRPr="00EA58F1">
              <w:rPr>
                <w:rFonts w:cs="Arial"/>
                <w:color w:val="000000"/>
                <w:kern w:val="24"/>
                <w:sz w:val="22"/>
                <w:szCs w:val="22"/>
                <w:lang w:eastAsia="en-GB"/>
              </w:rPr>
              <w:t xml:space="preserve">The committee considered limiting the indicator to statins </w:t>
            </w:r>
            <w:proofErr w:type="gramStart"/>
            <w:r w:rsidRPr="00EA58F1">
              <w:rPr>
                <w:rFonts w:cs="Arial"/>
                <w:color w:val="000000"/>
                <w:kern w:val="24"/>
                <w:sz w:val="22"/>
                <w:szCs w:val="22"/>
                <w:lang w:eastAsia="en-GB"/>
              </w:rPr>
              <w:t>only, and</w:t>
            </w:r>
            <w:proofErr w:type="gramEnd"/>
            <w:r w:rsidRPr="00EA58F1">
              <w:rPr>
                <w:rFonts w:cs="Arial"/>
                <w:color w:val="000000"/>
                <w:kern w:val="24"/>
                <w:sz w:val="22"/>
                <w:szCs w:val="22"/>
                <w:lang w:eastAsia="en-GB"/>
              </w:rPr>
              <w:t xml:space="preserve"> agreed that while statins would be first line treatment, there needs to be consideration for other treatment options, and chose to retain the focus on of lipid lowering therapies. </w:t>
            </w:r>
          </w:p>
          <w:p w14:paraId="76CAB89B" w14:textId="13AFFED8" w:rsidR="00A47852" w:rsidRPr="00EA58F1" w:rsidRDefault="00EA58F1" w:rsidP="00A47852">
            <w:pPr>
              <w:pStyle w:val="Paragraph"/>
              <w:spacing w:before="120" w:after="120" w:line="240" w:lineRule="auto"/>
            </w:pPr>
            <w:r w:rsidRPr="00EA58F1">
              <w:rPr>
                <w:rFonts w:cs="Arial"/>
                <w:color w:val="000000"/>
                <w:kern w:val="24"/>
                <w:sz w:val="22"/>
                <w:szCs w:val="22"/>
                <w:lang w:eastAsia="en-GB"/>
              </w:rPr>
              <w:t>Similar NICE menu indicators on lipid lowering therapy exclude people with a history of haemorrhagic stroke. IND231 has been updated to align.</w:t>
            </w:r>
          </w:p>
        </w:tc>
        <w:tc>
          <w:tcPr>
            <w:tcW w:w="3118" w:type="dxa"/>
          </w:tcPr>
          <w:p w14:paraId="0CE8545C" w14:textId="77777777" w:rsidR="00A47852" w:rsidRPr="00EA58F1" w:rsidRDefault="00A47852" w:rsidP="00A47852">
            <w:pPr>
              <w:pStyle w:val="Paragraph"/>
              <w:spacing w:before="120" w:after="120" w:line="240" w:lineRule="auto"/>
            </w:pPr>
            <w:r w:rsidRPr="00EA58F1">
              <w:rPr>
                <w:rFonts w:cs="Arial"/>
                <w:color w:val="000000"/>
                <w:kern w:val="24"/>
                <w:sz w:val="22"/>
                <w:szCs w:val="22"/>
              </w:rPr>
              <w:t>The indicator has an acceptable risk of unintended consequences.</w:t>
            </w:r>
          </w:p>
        </w:tc>
      </w:tr>
    </w:tbl>
    <w:p w14:paraId="226E306A" w14:textId="77777777" w:rsidR="006C3D61" w:rsidRDefault="006C3D61" w:rsidP="00192685">
      <w:pPr>
        <w:pStyle w:val="Heading1"/>
      </w:pPr>
      <w:r>
        <w:t>NICE indicator advisory committee recommendation</w:t>
      </w:r>
    </w:p>
    <w:p w14:paraId="6927125B" w14:textId="33B13F7B" w:rsidR="0077603D" w:rsidRPr="00407F14" w:rsidRDefault="0077603D" w:rsidP="00EA58F1">
      <w:pPr>
        <w:pStyle w:val="Paragraph"/>
      </w:pPr>
      <w:r w:rsidRPr="00EA58F1">
        <w:t xml:space="preserve">The NICE indicator advisory committee approved this indicator for publication on the menu. </w:t>
      </w:r>
    </w:p>
    <w:p w14:paraId="1AF829F7" w14:textId="77777777" w:rsidR="00D73835" w:rsidRDefault="00D73835" w:rsidP="003605D5">
      <w:pPr>
        <w:pStyle w:val="Heading1"/>
      </w:pPr>
    </w:p>
    <w:sectPr w:rsidR="00D73835" w:rsidSect="003E4657">
      <w:headerReference w:type="default" r:id="rId12"/>
      <w:footerReference w:type="default" r:id="rId13"/>
      <w:head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D25" w14:textId="77777777" w:rsidR="00F033E3" w:rsidRDefault="00F033E3" w:rsidP="00446BEE">
      <w:r>
        <w:separator/>
      </w:r>
    </w:p>
  </w:endnote>
  <w:endnote w:type="continuationSeparator" w:id="0">
    <w:p w14:paraId="5032F81C" w14:textId="77777777" w:rsidR="00F033E3" w:rsidRDefault="00F033E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5F8F" w14:textId="2CCF8B97" w:rsidR="00BB14CA" w:rsidRPr="008C1C95" w:rsidRDefault="00EA58F1" w:rsidP="008C1C95">
    <w:pPr>
      <w:pStyle w:val="Footer"/>
      <w:jc w:val="right"/>
    </w:pPr>
    <w:r>
      <w:t>IND231</w:t>
    </w:r>
    <w:r w:rsidR="009B0E59">
      <w:t xml:space="preserve">: Validity assessment </w:t>
    </w:r>
    <w:r>
      <w:t>December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5A4A" w14:textId="77777777" w:rsidR="00F033E3" w:rsidRDefault="00F033E3" w:rsidP="00446BEE">
      <w:r>
        <w:separator/>
      </w:r>
    </w:p>
  </w:footnote>
  <w:footnote w:type="continuationSeparator" w:id="0">
    <w:p w14:paraId="6D623329" w14:textId="77777777" w:rsidR="00F033E3" w:rsidRDefault="00F033E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26FE" w14:textId="77777777" w:rsidR="00BB14CA" w:rsidRDefault="00BB14CA" w:rsidP="003E4657">
    <w:pPr>
      <w:pStyle w:val="Header"/>
      <w:tabs>
        <w:tab w:val="left" w:pos="2768"/>
        <w:tab w:val="center" w:pos="4156"/>
      </w:tabs>
      <w:rPr>
        <w:b/>
        <w:color w:val="FF0000"/>
        <w:sz w:val="22"/>
        <w:szCs w:val="22"/>
      </w:rPr>
    </w:pPr>
  </w:p>
  <w:p w14:paraId="19CF8A42"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6B8D" w14:textId="77777777" w:rsidR="003E4657" w:rsidRDefault="003E4657">
    <w:pPr>
      <w:pStyle w:val="Header"/>
    </w:pPr>
    <w:r w:rsidRPr="003E4657">
      <w:rPr>
        <w:rFonts w:ascii="Times New Roman" w:hAnsi="Times New Roman"/>
        <w:noProof/>
        <w:lang w:eastAsia="en-GB"/>
      </w:rPr>
      <w:drawing>
        <wp:inline distT="0" distB="0" distL="0" distR="0" wp14:anchorId="53D1D5D8" wp14:editId="3405AA64">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1"/>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E3"/>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17416"/>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85DD1"/>
    <w:rsid w:val="007910D0"/>
    <w:rsid w:val="00791BB8"/>
    <w:rsid w:val="00792D69"/>
    <w:rsid w:val="007969DF"/>
    <w:rsid w:val="00796B64"/>
    <w:rsid w:val="0079772A"/>
    <w:rsid w:val="007977F2"/>
    <w:rsid w:val="007A010E"/>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58F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33E3"/>
    <w:rsid w:val="00F055F1"/>
    <w:rsid w:val="00F05A46"/>
    <w:rsid w:val="00F100EB"/>
    <w:rsid w:val="00F12981"/>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0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benchmarking.nhs.uk/cvdprevent-outpu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69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ta385"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5109</Characters>
  <Application>Microsoft Office Word</Application>
  <DocSecurity>0</DocSecurity>
  <Lines>42</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2025-08-21T15:15:00Z</dcterms:created>
  <dcterms:modified xsi:type="dcterms:W3CDTF">2025-08-21T15:15:00Z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2025-08-21T15:15:09Z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f966b6fa-e07a-456f-9314-4d95d5a6b5f4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