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8966D4" w14:textId="14D056C0" w:rsidR="00482C01" w:rsidRDefault="00482C01" w:rsidP="00363276">
      <w:pPr>
        <w:pStyle w:val="Title"/>
      </w:pPr>
      <w:bookmarkStart w:id="0" w:name="_Toc383595130"/>
      <w:r w:rsidRPr="00861C2E">
        <w:t>NATIONAL INSTITUTE FOR HEALTH AND CARE EXCELLENCE</w:t>
      </w:r>
      <w:bookmarkEnd w:id="0"/>
    </w:p>
    <w:p w14:paraId="6C6B43FC" w14:textId="2F3EF7E2" w:rsidR="00482C01" w:rsidRDefault="009B0E59" w:rsidP="00363276">
      <w:pPr>
        <w:pStyle w:val="Title"/>
      </w:pPr>
      <w:r>
        <w:t>NICE indicator v</w:t>
      </w:r>
      <w:r w:rsidR="00192B09">
        <w:t>alidity assessment</w:t>
      </w:r>
    </w:p>
    <w:p w14:paraId="047E7BC9" w14:textId="3611DEFF" w:rsidR="009B0E59" w:rsidRPr="009B0E59" w:rsidRDefault="009B0E59" w:rsidP="00192685">
      <w:pPr>
        <w:pStyle w:val="Heading1"/>
        <w:rPr>
          <w:lang w:eastAsia="en-GB"/>
        </w:rPr>
      </w:pPr>
      <w:r w:rsidRPr="009B0E59">
        <w:rPr>
          <w:lang w:eastAsia="en-GB"/>
        </w:rPr>
        <w:t xml:space="preserve">Indicator </w:t>
      </w:r>
      <w:r w:rsidR="00053AD4">
        <w:rPr>
          <w:lang w:eastAsia="en-GB"/>
        </w:rPr>
        <w:t>IND238</w:t>
      </w:r>
    </w:p>
    <w:p w14:paraId="1510FDF3" w14:textId="1792B04B" w:rsidR="0014168A" w:rsidRPr="00FB307A" w:rsidRDefault="00FB307A" w:rsidP="00FB307A">
      <w:pPr>
        <w:rPr>
          <w:rFonts w:ascii="Arial" w:hAnsi="Arial"/>
          <w:lang w:eastAsia="en-GB"/>
        </w:rPr>
      </w:pPr>
      <w:r w:rsidRPr="00FB307A">
        <w:rPr>
          <w:rFonts w:ascii="Arial" w:hAnsi="Arial"/>
          <w:lang w:eastAsia="en-GB"/>
        </w:rPr>
        <w:t xml:space="preserve">The contractor establishes and maintains a register of patients aged 18 or over with a BMI of 27.5 </w:t>
      </w:r>
      <w:r w:rsidR="00D262BB">
        <w:rPr>
          <w:rFonts w:ascii="Arial" w:hAnsi="Arial"/>
          <w:lang w:eastAsia="en-GB"/>
        </w:rPr>
        <w:t>kg/m</w:t>
      </w:r>
      <w:r w:rsidR="00D262BB" w:rsidRPr="00D262BB">
        <w:rPr>
          <w:rFonts w:ascii="Arial" w:hAnsi="Arial"/>
          <w:vertAlign w:val="superscript"/>
          <w:lang w:eastAsia="en-GB"/>
        </w:rPr>
        <w:t>2</w:t>
      </w:r>
      <w:r w:rsidR="00D262BB">
        <w:rPr>
          <w:rFonts w:ascii="Arial" w:hAnsi="Arial"/>
          <w:vertAlign w:val="superscript"/>
          <w:lang w:eastAsia="en-GB"/>
        </w:rPr>
        <w:t xml:space="preserve"> </w:t>
      </w:r>
      <w:r w:rsidRPr="00FB307A">
        <w:rPr>
          <w:rFonts w:ascii="Arial" w:hAnsi="Arial"/>
          <w:lang w:eastAsia="en-GB"/>
        </w:rPr>
        <w:t xml:space="preserve">or more (or 30 </w:t>
      </w:r>
      <w:r w:rsidR="00D262BB">
        <w:rPr>
          <w:rFonts w:ascii="Arial" w:hAnsi="Arial"/>
          <w:lang w:eastAsia="en-GB"/>
        </w:rPr>
        <w:t>kg/m</w:t>
      </w:r>
      <w:r w:rsidR="00D262BB" w:rsidRPr="00831E05">
        <w:rPr>
          <w:rFonts w:ascii="Arial" w:hAnsi="Arial"/>
          <w:vertAlign w:val="superscript"/>
          <w:lang w:eastAsia="en-GB"/>
        </w:rPr>
        <w:t>2</w:t>
      </w:r>
      <w:r w:rsidR="00D262BB">
        <w:rPr>
          <w:rFonts w:ascii="Arial" w:hAnsi="Arial"/>
          <w:vertAlign w:val="superscript"/>
          <w:lang w:eastAsia="en-GB"/>
        </w:rPr>
        <w:t xml:space="preserve"> </w:t>
      </w:r>
      <w:r w:rsidRPr="00FB307A">
        <w:rPr>
          <w:rFonts w:ascii="Arial" w:hAnsi="Arial"/>
          <w:lang w:eastAsia="en-GB"/>
        </w:rPr>
        <w:t>or more if ethnicity is recorded as White) in the preceding 12 months</w:t>
      </w:r>
    </w:p>
    <w:p w14:paraId="7C25BFBC" w14:textId="529ABB51" w:rsidR="007136A7" w:rsidRDefault="002338EB" w:rsidP="00192685">
      <w:pPr>
        <w:pStyle w:val="Heading1"/>
      </w:pPr>
      <w:r>
        <w:t xml:space="preserve">Importance </w:t>
      </w:r>
    </w:p>
    <w:tbl>
      <w:tblPr>
        <w:tblStyle w:val="TableGrid"/>
        <w:tblW w:w="9067" w:type="dxa"/>
        <w:tblLook w:val="04A0" w:firstRow="1" w:lastRow="0" w:firstColumn="1" w:lastColumn="0" w:noHBand="0" w:noVBand="1"/>
      </w:tblPr>
      <w:tblGrid>
        <w:gridCol w:w="5949"/>
        <w:gridCol w:w="3118"/>
      </w:tblGrid>
      <w:tr w:rsidR="002338EB" w14:paraId="6C46B250" w14:textId="77777777" w:rsidTr="002338EB">
        <w:tc>
          <w:tcPr>
            <w:tcW w:w="5949" w:type="dxa"/>
          </w:tcPr>
          <w:p w14:paraId="5472972D" w14:textId="7A9FC88C" w:rsidR="002338EB" w:rsidRPr="002338EB" w:rsidRDefault="002338EB" w:rsidP="002338EB">
            <w:pPr>
              <w:pStyle w:val="Paragraph"/>
              <w:spacing w:before="120" w:after="120" w:line="240" w:lineRule="auto"/>
              <w:rPr>
                <w:b/>
                <w:bCs/>
                <w:sz w:val="22"/>
                <w:szCs w:val="22"/>
              </w:rPr>
            </w:pPr>
            <w:bookmarkStart w:id="1" w:name="_Hlk34309601"/>
            <w:r w:rsidRPr="002338EB">
              <w:rPr>
                <w:b/>
                <w:bCs/>
                <w:sz w:val="22"/>
                <w:szCs w:val="22"/>
              </w:rPr>
              <w:t xml:space="preserve">Considerations </w:t>
            </w:r>
          </w:p>
        </w:tc>
        <w:tc>
          <w:tcPr>
            <w:tcW w:w="3118" w:type="dxa"/>
          </w:tcPr>
          <w:p w14:paraId="4B1E80F9" w14:textId="70CF3A57" w:rsidR="002338EB" w:rsidRPr="002338EB" w:rsidRDefault="002338EB" w:rsidP="002338EB">
            <w:pPr>
              <w:pStyle w:val="Paragraph"/>
              <w:spacing w:before="120" w:after="120" w:line="240" w:lineRule="auto"/>
              <w:rPr>
                <w:b/>
                <w:bCs/>
                <w:sz w:val="22"/>
                <w:szCs w:val="22"/>
              </w:rPr>
            </w:pPr>
            <w:r w:rsidRPr="002338EB">
              <w:rPr>
                <w:b/>
                <w:bCs/>
                <w:sz w:val="22"/>
                <w:szCs w:val="22"/>
              </w:rPr>
              <w:t>Assessment</w:t>
            </w:r>
          </w:p>
        </w:tc>
      </w:tr>
      <w:tr w:rsidR="002338EB" w14:paraId="762654B9" w14:textId="77777777" w:rsidTr="002338EB">
        <w:tc>
          <w:tcPr>
            <w:tcW w:w="5949" w:type="dxa"/>
          </w:tcPr>
          <w:p w14:paraId="6F338971" w14:textId="33478079" w:rsidR="002338EB" w:rsidRPr="002338EB" w:rsidRDefault="002338EB" w:rsidP="005F6E0D">
            <w:pPr>
              <w:spacing w:before="120" w:after="120"/>
              <w:rPr>
                <w:highlight w:val="lightGray"/>
              </w:rPr>
            </w:pPr>
            <w:r w:rsidRPr="005F6E0D">
              <w:rPr>
                <w:rFonts w:ascii="Arial" w:hAnsi="Arial" w:cs="Arial"/>
                <w:sz w:val="22"/>
                <w:szCs w:val="22"/>
              </w:rPr>
              <w:t xml:space="preserve">The </w:t>
            </w:r>
            <w:hyperlink r:id="rId7" w:history="1">
              <w:r w:rsidRPr="00711931">
                <w:rPr>
                  <w:rStyle w:val="Hyperlink"/>
                  <w:rFonts w:ascii="Arial" w:hAnsi="Arial" w:cs="Arial"/>
                  <w:sz w:val="22"/>
                  <w:szCs w:val="22"/>
                </w:rPr>
                <w:t>NHS Long Term Plan</w:t>
              </w:r>
            </w:hyperlink>
            <w:r w:rsidRPr="005F6E0D">
              <w:rPr>
                <w:rFonts w:ascii="Arial" w:hAnsi="Arial" w:cs="Arial"/>
                <w:sz w:val="22"/>
                <w:szCs w:val="22"/>
              </w:rPr>
              <w:t xml:space="preserve"> identifies </w:t>
            </w:r>
            <w:r w:rsidR="005F6E0D" w:rsidRPr="005F6E0D">
              <w:rPr>
                <w:rFonts w:ascii="Arial" w:hAnsi="Arial" w:cs="Arial"/>
                <w:sz w:val="22"/>
                <w:szCs w:val="22"/>
              </w:rPr>
              <w:t>obesity</w:t>
            </w:r>
            <w:r w:rsidRPr="005F6E0D">
              <w:rPr>
                <w:rFonts w:ascii="Arial" w:hAnsi="Arial" w:cs="Arial"/>
                <w:sz w:val="22"/>
                <w:szCs w:val="22"/>
              </w:rPr>
              <w:t xml:space="preserve"> as a clinical priority</w:t>
            </w:r>
            <w:r w:rsidR="00711931">
              <w:rPr>
                <w:rFonts w:ascii="Arial" w:hAnsi="Arial" w:cs="Arial"/>
                <w:sz w:val="22"/>
                <w:szCs w:val="22"/>
              </w:rPr>
              <w:t>,</w:t>
            </w:r>
            <w:r w:rsidR="005F6E0D" w:rsidRPr="005F6E0D">
              <w:rPr>
                <w:rFonts w:ascii="Arial" w:hAnsi="Arial" w:cs="Arial"/>
                <w:sz w:val="22"/>
                <w:szCs w:val="22"/>
              </w:rPr>
              <w:t xml:space="preserve"> with the UK ranking amongst the worst in Europe for obesity rates</w:t>
            </w:r>
            <w:r w:rsidRPr="005F6E0D">
              <w:rPr>
                <w:rFonts w:ascii="Arial" w:hAnsi="Arial" w:cs="Arial"/>
                <w:sz w:val="22"/>
                <w:szCs w:val="22"/>
              </w:rPr>
              <w:t>.</w:t>
            </w:r>
            <w:r w:rsidRPr="002338EB">
              <w:rPr>
                <w:rFonts w:cs="Arial"/>
                <w:sz w:val="22"/>
                <w:szCs w:val="22"/>
                <w:highlight w:val="lightGray"/>
              </w:rPr>
              <w:t xml:space="preserve"> </w:t>
            </w:r>
          </w:p>
        </w:tc>
        <w:tc>
          <w:tcPr>
            <w:tcW w:w="3118" w:type="dxa"/>
          </w:tcPr>
          <w:p w14:paraId="272CA0EC" w14:textId="2D16C87E" w:rsidR="002338EB" w:rsidRPr="000B0B65" w:rsidRDefault="002338EB" w:rsidP="000B0B65">
            <w:pPr>
              <w:spacing w:before="120" w:after="120"/>
              <w:rPr>
                <w:rFonts w:ascii="Arial" w:hAnsi="Arial" w:cs="Arial"/>
                <w:color w:val="000000"/>
                <w:kern w:val="24"/>
                <w:sz w:val="22"/>
                <w:szCs w:val="22"/>
                <w:lang w:val="en-US"/>
              </w:rPr>
            </w:pPr>
            <w:r w:rsidRPr="0014168A">
              <w:rPr>
                <w:rFonts w:ascii="Arial" w:hAnsi="Arial" w:cs="Arial"/>
                <w:color w:val="000000"/>
                <w:kern w:val="24"/>
                <w:sz w:val="22"/>
                <w:szCs w:val="22"/>
                <w:lang w:val="en-US"/>
              </w:rPr>
              <w:t>The indicator reflects a specific priority area identified by NHS England.</w:t>
            </w:r>
          </w:p>
        </w:tc>
      </w:tr>
      <w:tr w:rsidR="00735337" w14:paraId="2E2CE1C4" w14:textId="77777777" w:rsidTr="002338EB">
        <w:tc>
          <w:tcPr>
            <w:tcW w:w="5949" w:type="dxa"/>
          </w:tcPr>
          <w:p w14:paraId="0CDDD892" w14:textId="13A1291B" w:rsidR="00735337" w:rsidRPr="006E07FA" w:rsidRDefault="00F146C7" w:rsidP="00711931">
            <w:pPr>
              <w:spacing w:before="120" w:after="120"/>
              <w:rPr>
                <w:rFonts w:ascii="Arial" w:hAnsi="Arial" w:cs="Arial"/>
                <w:sz w:val="22"/>
                <w:szCs w:val="22"/>
              </w:rPr>
            </w:pPr>
            <w:r w:rsidRPr="006E07FA">
              <w:rPr>
                <w:rFonts w:ascii="Arial" w:hAnsi="Arial" w:cs="Arial"/>
                <w:sz w:val="22"/>
                <w:szCs w:val="22"/>
              </w:rPr>
              <w:t xml:space="preserve">2020-21 </w:t>
            </w:r>
            <w:hyperlink r:id="rId8" w:history="1">
              <w:r w:rsidR="00711931" w:rsidRPr="006E07FA">
                <w:rPr>
                  <w:rStyle w:val="Hyperlink"/>
                  <w:rFonts w:ascii="Arial" w:hAnsi="Arial" w:cs="Arial"/>
                  <w:sz w:val="22"/>
                  <w:szCs w:val="22"/>
                </w:rPr>
                <w:t xml:space="preserve">QOF </w:t>
              </w:r>
              <w:r w:rsidRPr="006E07FA">
                <w:rPr>
                  <w:rStyle w:val="Hyperlink"/>
                  <w:rFonts w:ascii="Arial" w:hAnsi="Arial" w:cs="Arial"/>
                  <w:sz w:val="22"/>
                  <w:szCs w:val="22"/>
                </w:rPr>
                <w:t>data</w:t>
              </w:r>
            </w:hyperlink>
            <w:r w:rsidRPr="006E07FA">
              <w:rPr>
                <w:rFonts w:ascii="Arial" w:hAnsi="Arial" w:cs="Arial"/>
                <w:sz w:val="22"/>
                <w:szCs w:val="22"/>
              </w:rPr>
              <w:t xml:space="preserve"> for </w:t>
            </w:r>
            <w:r w:rsidR="00711931" w:rsidRPr="006E07FA">
              <w:rPr>
                <w:rFonts w:ascii="Arial" w:hAnsi="Arial" w:cs="Arial"/>
                <w:sz w:val="22"/>
                <w:szCs w:val="22"/>
              </w:rPr>
              <w:t xml:space="preserve">OB002 for shows regional </w:t>
            </w:r>
            <w:r w:rsidRPr="006E07FA">
              <w:rPr>
                <w:rFonts w:ascii="Arial" w:hAnsi="Arial" w:cs="Arial"/>
                <w:sz w:val="22"/>
                <w:szCs w:val="22"/>
              </w:rPr>
              <w:t xml:space="preserve">variation in annual obesity recording: varying </w:t>
            </w:r>
            <w:r w:rsidR="00711931" w:rsidRPr="006E07FA">
              <w:rPr>
                <w:rFonts w:ascii="Arial" w:hAnsi="Arial" w:cs="Arial"/>
                <w:sz w:val="22"/>
                <w:szCs w:val="22"/>
              </w:rPr>
              <w:t>from 5.54% to 8.54%.</w:t>
            </w:r>
          </w:p>
          <w:p w14:paraId="262F2F09" w14:textId="72795C48" w:rsidR="0058350A" w:rsidRPr="006E07FA" w:rsidRDefault="0058350A" w:rsidP="0058350A">
            <w:pPr>
              <w:spacing w:before="120" w:after="120"/>
              <w:rPr>
                <w:rFonts w:ascii="Arial" w:hAnsi="Arial" w:cs="Arial"/>
                <w:sz w:val="22"/>
                <w:szCs w:val="22"/>
              </w:rPr>
            </w:pPr>
            <w:hyperlink r:id="rId9" w:history="1">
              <w:r w:rsidRPr="006E07FA">
                <w:rPr>
                  <w:rStyle w:val="Hyperlink"/>
                  <w:rFonts w:ascii="Arial" w:hAnsi="Arial" w:cs="Arial"/>
                  <w:sz w:val="22"/>
                  <w:szCs w:val="22"/>
                </w:rPr>
                <w:t xml:space="preserve">Health Survey for England </w:t>
              </w:r>
              <w:r w:rsidR="00E82776" w:rsidRPr="006E07FA">
                <w:rPr>
                  <w:rStyle w:val="Hyperlink"/>
                  <w:rFonts w:ascii="Arial" w:hAnsi="Arial" w:cs="Arial"/>
                  <w:sz w:val="22"/>
                  <w:szCs w:val="22"/>
                </w:rPr>
                <w:t>2019</w:t>
              </w:r>
            </w:hyperlink>
            <w:r w:rsidR="00E82776" w:rsidRPr="006E07FA">
              <w:rPr>
                <w:rFonts w:ascii="Arial" w:hAnsi="Arial" w:cs="Arial"/>
                <w:sz w:val="22"/>
                <w:szCs w:val="22"/>
              </w:rPr>
              <w:t xml:space="preserve"> </w:t>
            </w:r>
            <w:r w:rsidRPr="006E07FA">
              <w:rPr>
                <w:rFonts w:ascii="Arial" w:hAnsi="Arial" w:cs="Arial"/>
                <w:sz w:val="22"/>
                <w:szCs w:val="22"/>
              </w:rPr>
              <w:t xml:space="preserve">data showed variation in prevalence of overweight and obesity: </w:t>
            </w:r>
          </w:p>
          <w:p w14:paraId="0A612664" w14:textId="3C53A362" w:rsidR="00E82776" w:rsidRPr="006E07FA" w:rsidRDefault="00E82776" w:rsidP="00E82776">
            <w:pPr>
              <w:pStyle w:val="ListParagraph"/>
              <w:numPr>
                <w:ilvl w:val="0"/>
                <w:numId w:val="41"/>
              </w:numPr>
              <w:spacing w:before="120" w:after="120"/>
              <w:rPr>
                <w:rFonts w:ascii="Arial" w:hAnsi="Arial" w:cs="Arial"/>
                <w:sz w:val="22"/>
                <w:szCs w:val="22"/>
              </w:rPr>
            </w:pPr>
            <w:r w:rsidRPr="006E07FA">
              <w:rPr>
                <w:rFonts w:ascii="Arial" w:hAnsi="Arial" w:cs="Arial"/>
                <w:sz w:val="22"/>
                <w:szCs w:val="22"/>
              </w:rPr>
              <w:t xml:space="preserve">Regional variation from </w:t>
            </w:r>
            <w:r w:rsidR="00FB307A" w:rsidRPr="006E07FA">
              <w:rPr>
                <w:rFonts w:ascii="Arial" w:hAnsi="Arial" w:cs="Arial"/>
                <w:sz w:val="22"/>
                <w:szCs w:val="22"/>
              </w:rPr>
              <w:t>23</w:t>
            </w:r>
            <w:r w:rsidR="0058350A" w:rsidRPr="006E07FA">
              <w:rPr>
                <w:rFonts w:ascii="Arial" w:hAnsi="Arial" w:cs="Arial"/>
                <w:sz w:val="22"/>
                <w:szCs w:val="22"/>
              </w:rPr>
              <w:t xml:space="preserve">% to </w:t>
            </w:r>
            <w:r w:rsidR="00FB307A" w:rsidRPr="006E07FA">
              <w:rPr>
                <w:rFonts w:ascii="Arial" w:hAnsi="Arial" w:cs="Arial"/>
                <w:sz w:val="22"/>
                <w:szCs w:val="22"/>
              </w:rPr>
              <w:t>34</w:t>
            </w:r>
            <w:r w:rsidR="0058350A" w:rsidRPr="006E07FA">
              <w:rPr>
                <w:rFonts w:ascii="Arial" w:hAnsi="Arial" w:cs="Arial"/>
                <w:sz w:val="22"/>
                <w:szCs w:val="22"/>
              </w:rPr>
              <w:t>%.</w:t>
            </w:r>
          </w:p>
          <w:p w14:paraId="378D38FD" w14:textId="7E61FBE5" w:rsidR="00F146C7" w:rsidRPr="006E07FA" w:rsidRDefault="00E82776" w:rsidP="00E82776">
            <w:pPr>
              <w:pStyle w:val="ListParagraph"/>
              <w:numPr>
                <w:ilvl w:val="0"/>
                <w:numId w:val="41"/>
              </w:numPr>
              <w:spacing w:before="120" w:after="120"/>
            </w:pPr>
            <w:r w:rsidRPr="006E07FA">
              <w:rPr>
                <w:rFonts w:ascii="Arial" w:hAnsi="Arial" w:cs="Arial"/>
                <w:sz w:val="22"/>
                <w:szCs w:val="22"/>
              </w:rPr>
              <w:t xml:space="preserve">Variation by IMD quintile from </w:t>
            </w:r>
            <w:r w:rsidR="00FB307A" w:rsidRPr="006E07FA">
              <w:rPr>
                <w:rFonts w:ascii="Arial" w:hAnsi="Arial" w:cs="Arial"/>
                <w:sz w:val="22"/>
                <w:szCs w:val="22"/>
              </w:rPr>
              <w:t>22</w:t>
            </w:r>
            <w:r w:rsidRPr="006E07FA">
              <w:rPr>
                <w:rFonts w:ascii="Arial" w:hAnsi="Arial" w:cs="Arial"/>
                <w:sz w:val="22"/>
                <w:szCs w:val="22"/>
              </w:rPr>
              <w:t xml:space="preserve">% in the least deprived to </w:t>
            </w:r>
            <w:r w:rsidR="00FB307A" w:rsidRPr="006E07FA">
              <w:rPr>
                <w:rFonts w:ascii="Arial" w:hAnsi="Arial" w:cs="Arial"/>
                <w:sz w:val="22"/>
                <w:szCs w:val="22"/>
              </w:rPr>
              <w:t>35</w:t>
            </w:r>
            <w:r w:rsidRPr="006E07FA">
              <w:rPr>
                <w:rFonts w:ascii="Arial" w:hAnsi="Arial" w:cs="Arial"/>
                <w:sz w:val="22"/>
                <w:szCs w:val="22"/>
              </w:rPr>
              <w:t xml:space="preserve">% in the most deprived. </w:t>
            </w:r>
            <w:r w:rsidR="0058350A" w:rsidRPr="006E07FA">
              <w:rPr>
                <w:rFonts w:ascii="Arial" w:hAnsi="Arial" w:cs="Arial"/>
                <w:sz w:val="22"/>
                <w:szCs w:val="22"/>
              </w:rPr>
              <w:t xml:space="preserve"> </w:t>
            </w:r>
            <w:r w:rsidR="0058350A" w:rsidRPr="006E07FA">
              <w:t xml:space="preserve"> </w:t>
            </w:r>
          </w:p>
        </w:tc>
        <w:tc>
          <w:tcPr>
            <w:tcW w:w="3118" w:type="dxa"/>
          </w:tcPr>
          <w:p w14:paraId="3C8B1CA2" w14:textId="77777777" w:rsidR="00735337" w:rsidRPr="0014168A" w:rsidRDefault="00735337" w:rsidP="00735337">
            <w:pPr>
              <w:spacing w:before="120" w:after="120"/>
              <w:rPr>
                <w:rFonts w:ascii="Arial" w:hAnsi="Arial" w:cs="Arial"/>
                <w:color w:val="000000"/>
                <w:kern w:val="24"/>
                <w:sz w:val="22"/>
                <w:szCs w:val="22"/>
                <w:lang w:val="en-US"/>
              </w:rPr>
            </w:pPr>
            <w:r w:rsidRPr="0014168A">
              <w:rPr>
                <w:rFonts w:ascii="Arial" w:hAnsi="Arial" w:cs="Arial"/>
                <w:color w:val="000000"/>
                <w:kern w:val="24"/>
                <w:sz w:val="22"/>
                <w:szCs w:val="22"/>
                <w:lang w:val="en-US"/>
              </w:rPr>
              <w:t>The indicator relates to an area where there is known variation in practice.</w:t>
            </w:r>
          </w:p>
          <w:p w14:paraId="3FD01E72" w14:textId="22F04C47" w:rsidR="00735337" w:rsidRPr="002338EB" w:rsidRDefault="00735337" w:rsidP="00735337">
            <w:pPr>
              <w:pStyle w:val="Paragraph"/>
              <w:spacing w:before="120" w:after="120" w:line="240" w:lineRule="auto"/>
              <w:rPr>
                <w:highlight w:val="lightGray"/>
              </w:rPr>
            </w:pPr>
          </w:p>
        </w:tc>
      </w:tr>
      <w:tr w:rsidR="00735337" w14:paraId="373D8AA4" w14:textId="77777777" w:rsidTr="002338EB">
        <w:tc>
          <w:tcPr>
            <w:tcW w:w="5949" w:type="dxa"/>
          </w:tcPr>
          <w:p w14:paraId="701A0476" w14:textId="6F4FF99F" w:rsidR="002C71B0" w:rsidRDefault="00606B99" w:rsidP="00606B99">
            <w:pPr>
              <w:spacing w:before="120" w:after="120"/>
              <w:rPr>
                <w:rFonts w:ascii="Arial" w:hAnsi="Arial" w:cs="Arial"/>
                <w:sz w:val="22"/>
                <w:szCs w:val="22"/>
              </w:rPr>
            </w:pPr>
            <w:r w:rsidRPr="00606B99">
              <w:rPr>
                <w:rFonts w:ascii="Arial" w:hAnsi="Arial" w:cs="Arial"/>
                <w:sz w:val="22"/>
                <w:szCs w:val="22"/>
              </w:rPr>
              <w:t>This indicator establishes a register of people who are obese with the aim of increasing identification and facilitating subsequent intervention.</w:t>
            </w:r>
          </w:p>
          <w:p w14:paraId="6A9631DA" w14:textId="58A2D05C" w:rsidR="002C71B0" w:rsidRDefault="00053AD4" w:rsidP="002C71B0">
            <w:pPr>
              <w:spacing w:before="120" w:after="120"/>
              <w:rPr>
                <w:rFonts w:ascii="Arial" w:hAnsi="Arial" w:cs="Arial"/>
                <w:sz w:val="22"/>
                <w:szCs w:val="22"/>
              </w:rPr>
            </w:pPr>
            <w:hyperlink r:id="rId10" w:history="1">
              <w:r w:rsidRPr="001906B2">
                <w:rPr>
                  <w:rStyle w:val="Hyperlink"/>
                  <w:rFonts w:ascii="Arial" w:hAnsi="Arial" w:cs="Arial"/>
                  <w:bCs/>
                  <w:sz w:val="22"/>
                  <w:szCs w:val="22"/>
                </w:rPr>
                <w:t>NICE's guideline on overweight and obesity management</w:t>
              </w:r>
            </w:hyperlink>
            <w:r w:rsidR="002C71B0" w:rsidRPr="009B0F41">
              <w:rPr>
                <w:rFonts w:ascii="Arial" w:hAnsi="Arial" w:cs="Arial"/>
                <w:bCs/>
                <w:sz w:val="22"/>
                <w:szCs w:val="22"/>
              </w:rPr>
              <w:t xml:space="preserve"> </w:t>
            </w:r>
            <w:r w:rsidR="002C71B0" w:rsidRPr="009B0F41">
              <w:rPr>
                <w:rFonts w:ascii="Arial" w:hAnsi="Arial" w:cs="Arial"/>
                <w:sz w:val="22"/>
                <w:szCs w:val="22"/>
              </w:rPr>
              <w:t>recommends using BMI as a practical estimate of adiposity in adults. Recording waist circumference may also be useful in addition to BMI in people with a BMI of less than 35 kg/m</w:t>
            </w:r>
            <w:r w:rsidR="002C71B0" w:rsidRPr="009B0F41">
              <w:rPr>
                <w:rFonts w:ascii="Arial" w:hAnsi="Arial" w:cs="Arial"/>
                <w:sz w:val="22"/>
                <w:szCs w:val="22"/>
                <w:vertAlign w:val="superscript"/>
              </w:rPr>
              <w:t>2</w:t>
            </w:r>
            <w:r w:rsidR="002C71B0" w:rsidRPr="009B0F41">
              <w:rPr>
                <w:rFonts w:ascii="Arial" w:hAnsi="Arial" w:cs="Arial"/>
                <w:sz w:val="22"/>
                <w:szCs w:val="22"/>
              </w:rPr>
              <w:t>.</w:t>
            </w:r>
          </w:p>
          <w:p w14:paraId="40A2EA38" w14:textId="5B3064C1" w:rsidR="00735337" w:rsidRPr="00983B07" w:rsidRDefault="005F6E0D" w:rsidP="002C71B0">
            <w:pPr>
              <w:spacing w:before="120" w:after="120"/>
              <w:rPr>
                <w:rFonts w:ascii="Arial" w:hAnsi="Arial" w:cs="Arial"/>
                <w:sz w:val="22"/>
                <w:szCs w:val="22"/>
              </w:rPr>
            </w:pPr>
            <w:r w:rsidRPr="005F6E0D">
              <w:rPr>
                <w:rFonts w:ascii="Arial" w:hAnsi="Arial" w:cs="Arial"/>
                <w:sz w:val="22"/>
                <w:szCs w:val="22"/>
              </w:rPr>
              <w:t>Obesity and poor diet are linked with type 2 diabetes, high blood pressure, high cholesterol and increased risk of respiratory, musculoskeletal and liver diseases. Obese people are also at increased risk of certain cancers, including being three times more likely to develop colon cancer</w:t>
            </w:r>
            <w:r w:rsidR="00983B07">
              <w:rPr>
                <w:rFonts w:ascii="Arial" w:hAnsi="Arial" w:cs="Arial"/>
                <w:sz w:val="22"/>
                <w:szCs w:val="22"/>
              </w:rPr>
              <w:t>.</w:t>
            </w:r>
          </w:p>
        </w:tc>
        <w:tc>
          <w:tcPr>
            <w:tcW w:w="3118" w:type="dxa"/>
          </w:tcPr>
          <w:p w14:paraId="380FC230" w14:textId="37A34BB7" w:rsidR="00735337" w:rsidRPr="0014168A" w:rsidRDefault="00735337" w:rsidP="00735337">
            <w:pPr>
              <w:spacing w:before="120" w:after="120"/>
              <w:rPr>
                <w:rFonts w:ascii="Arial" w:hAnsi="Arial" w:cs="Arial"/>
                <w:color w:val="000000"/>
                <w:kern w:val="24"/>
                <w:sz w:val="22"/>
                <w:szCs w:val="22"/>
                <w:lang w:val="en-US"/>
              </w:rPr>
            </w:pPr>
            <w:r w:rsidRPr="0014168A">
              <w:rPr>
                <w:rFonts w:ascii="Arial" w:hAnsi="Arial" w:cs="Arial"/>
                <w:color w:val="000000"/>
                <w:kern w:val="24"/>
                <w:sz w:val="22"/>
                <w:szCs w:val="22"/>
                <w:lang w:val="en-US"/>
              </w:rPr>
              <w:t xml:space="preserve">The indicator will </w:t>
            </w:r>
            <w:r w:rsidR="00925060">
              <w:rPr>
                <w:rFonts w:ascii="Arial" w:hAnsi="Arial" w:cs="Arial"/>
                <w:color w:val="000000"/>
                <w:kern w:val="24"/>
                <w:sz w:val="22"/>
                <w:szCs w:val="22"/>
                <w:lang w:val="en-US"/>
              </w:rPr>
              <w:t>support provision of interventions that to</w:t>
            </w:r>
            <w:r w:rsidRPr="0014168A">
              <w:rPr>
                <w:rFonts w:ascii="Arial" w:hAnsi="Arial" w:cs="Arial"/>
                <w:color w:val="000000"/>
                <w:kern w:val="24"/>
                <w:sz w:val="22"/>
                <w:szCs w:val="22"/>
                <w:lang w:val="en-US"/>
              </w:rPr>
              <w:t xml:space="preserve"> improve patient outcomes.</w:t>
            </w:r>
          </w:p>
          <w:p w14:paraId="45004AAC" w14:textId="77777777" w:rsidR="00735337" w:rsidRPr="002338EB" w:rsidRDefault="00735337" w:rsidP="00735337">
            <w:pPr>
              <w:spacing w:before="120" w:after="120"/>
              <w:rPr>
                <w:rFonts w:ascii="Arial" w:hAnsi="Arial" w:cs="Arial"/>
                <w:color w:val="000000"/>
                <w:kern w:val="24"/>
                <w:sz w:val="22"/>
                <w:szCs w:val="22"/>
                <w:highlight w:val="lightGray"/>
                <w:lang w:val="en-US"/>
              </w:rPr>
            </w:pPr>
          </w:p>
        </w:tc>
      </w:tr>
      <w:bookmarkEnd w:id="1"/>
    </w:tbl>
    <w:p w14:paraId="7408AD42" w14:textId="77777777" w:rsidR="002338EB" w:rsidRDefault="002338EB" w:rsidP="002338EB">
      <w:pPr>
        <w:pStyle w:val="Heading3"/>
      </w:pPr>
    </w:p>
    <w:p w14:paraId="5BA69987" w14:textId="6FA6FB6E" w:rsidR="002338EB" w:rsidRDefault="002338EB" w:rsidP="00192685">
      <w:pPr>
        <w:pStyle w:val="Heading1"/>
      </w:pPr>
      <w:r>
        <w:t xml:space="preserve">Evidence base </w:t>
      </w:r>
    </w:p>
    <w:tbl>
      <w:tblPr>
        <w:tblStyle w:val="TableGrid"/>
        <w:tblW w:w="9067" w:type="dxa"/>
        <w:tblLook w:val="04A0" w:firstRow="1" w:lastRow="0" w:firstColumn="1" w:lastColumn="0" w:noHBand="0" w:noVBand="1"/>
      </w:tblPr>
      <w:tblGrid>
        <w:gridCol w:w="5949"/>
        <w:gridCol w:w="3118"/>
      </w:tblGrid>
      <w:tr w:rsidR="002338EB" w14:paraId="4A03EAF6" w14:textId="77777777" w:rsidTr="001C517D">
        <w:tc>
          <w:tcPr>
            <w:tcW w:w="5949" w:type="dxa"/>
          </w:tcPr>
          <w:p w14:paraId="39775ECC" w14:textId="77777777" w:rsidR="002338EB" w:rsidRPr="002338EB" w:rsidRDefault="002338EB" w:rsidP="00735337">
            <w:pPr>
              <w:pStyle w:val="Paragraph"/>
              <w:keepNext/>
              <w:spacing w:before="120" w:after="120" w:line="240" w:lineRule="auto"/>
              <w:rPr>
                <w:b/>
                <w:bCs/>
                <w:sz w:val="22"/>
                <w:szCs w:val="22"/>
              </w:rPr>
            </w:pPr>
            <w:r w:rsidRPr="002338EB">
              <w:rPr>
                <w:b/>
                <w:bCs/>
                <w:sz w:val="22"/>
                <w:szCs w:val="22"/>
              </w:rPr>
              <w:t xml:space="preserve">Considerations </w:t>
            </w:r>
          </w:p>
        </w:tc>
        <w:tc>
          <w:tcPr>
            <w:tcW w:w="3118" w:type="dxa"/>
          </w:tcPr>
          <w:p w14:paraId="337C7E3E" w14:textId="77777777" w:rsidR="002338EB" w:rsidRPr="002338EB" w:rsidRDefault="002338EB" w:rsidP="00735337">
            <w:pPr>
              <w:pStyle w:val="Paragraph"/>
              <w:keepNext/>
              <w:spacing w:before="120" w:after="120" w:line="240" w:lineRule="auto"/>
              <w:rPr>
                <w:b/>
                <w:bCs/>
                <w:sz w:val="22"/>
                <w:szCs w:val="22"/>
              </w:rPr>
            </w:pPr>
            <w:r w:rsidRPr="002338EB">
              <w:rPr>
                <w:b/>
                <w:bCs/>
                <w:sz w:val="22"/>
                <w:szCs w:val="22"/>
              </w:rPr>
              <w:t>Assessment</w:t>
            </w:r>
          </w:p>
        </w:tc>
      </w:tr>
      <w:tr w:rsidR="002338EB" w14:paraId="7862F909" w14:textId="77777777" w:rsidTr="001C517D">
        <w:tc>
          <w:tcPr>
            <w:tcW w:w="5949" w:type="dxa"/>
          </w:tcPr>
          <w:p w14:paraId="1359C26D" w14:textId="24B8117B" w:rsidR="002338EB" w:rsidRPr="002338EB" w:rsidRDefault="00053AD4" w:rsidP="002338EB">
            <w:pPr>
              <w:pStyle w:val="Paragraph"/>
              <w:spacing w:before="120" w:after="120" w:line="240" w:lineRule="auto"/>
              <w:rPr>
                <w:highlight w:val="lightGray"/>
              </w:rPr>
            </w:pPr>
            <w:hyperlink r:id="rId11" w:history="1">
              <w:r w:rsidR="00EB0253">
                <w:rPr>
                  <w:rStyle w:val="Hyperlink"/>
                </w:rPr>
                <w:t>Overweight and obesity management. NICE guideline NG246</w:t>
              </w:r>
            </w:hyperlink>
            <w:r w:rsidR="00E346AE" w:rsidRPr="00053AD4">
              <w:t xml:space="preserve"> (</w:t>
            </w:r>
            <w:r w:rsidR="00E346AE" w:rsidRPr="001906B2">
              <w:t>202</w:t>
            </w:r>
            <w:r w:rsidRPr="001906B2">
              <w:t>5</w:t>
            </w:r>
            <w:r w:rsidR="00E346AE" w:rsidRPr="00053AD4">
              <w:t xml:space="preserve">), recommendations </w:t>
            </w:r>
            <w:r w:rsidR="00332AEA" w:rsidRPr="00053AD4">
              <w:t>1.9.7, 1.9.10 and 1.9.11</w:t>
            </w:r>
            <w:r w:rsidR="00E346AE" w:rsidRPr="00053AD4">
              <w:rPr>
                <w:sz w:val="22"/>
                <w:szCs w:val="22"/>
              </w:rPr>
              <w:t>.</w:t>
            </w:r>
          </w:p>
        </w:tc>
        <w:tc>
          <w:tcPr>
            <w:tcW w:w="3118" w:type="dxa"/>
          </w:tcPr>
          <w:p w14:paraId="0D72329A" w14:textId="54F94FB4" w:rsidR="002338EB" w:rsidRPr="00606B99" w:rsidRDefault="002338EB" w:rsidP="002338EB">
            <w:pPr>
              <w:spacing w:before="120" w:after="120"/>
              <w:rPr>
                <w:rFonts w:ascii="Arial" w:hAnsi="Arial" w:cs="Arial"/>
                <w:color w:val="000000"/>
                <w:kern w:val="24"/>
                <w:sz w:val="22"/>
                <w:szCs w:val="22"/>
                <w:lang w:val="en-US"/>
              </w:rPr>
            </w:pPr>
            <w:r w:rsidRPr="00606B99">
              <w:rPr>
                <w:rFonts w:ascii="Arial" w:hAnsi="Arial" w:cs="Arial"/>
                <w:color w:val="000000"/>
                <w:kern w:val="24"/>
                <w:sz w:val="22"/>
                <w:szCs w:val="22"/>
                <w:lang w:val="en-US"/>
              </w:rPr>
              <w:t xml:space="preserve">The indicator is derived from a high-quality evidence base. </w:t>
            </w:r>
          </w:p>
          <w:p w14:paraId="75848804" w14:textId="710C020D" w:rsidR="002338EB" w:rsidRPr="002338EB" w:rsidRDefault="002338EB" w:rsidP="002338EB">
            <w:pPr>
              <w:pStyle w:val="Paragraph"/>
              <w:spacing w:before="120" w:after="120" w:line="240" w:lineRule="auto"/>
              <w:rPr>
                <w:highlight w:val="lightGray"/>
              </w:rPr>
            </w:pPr>
            <w:r w:rsidRPr="00606B99">
              <w:rPr>
                <w:rFonts w:cs="Arial"/>
                <w:color w:val="000000"/>
                <w:kern w:val="24"/>
                <w:sz w:val="22"/>
                <w:szCs w:val="22"/>
                <w:lang w:val="en-US"/>
              </w:rPr>
              <w:t>The indicator aligns with the evidence base.</w:t>
            </w:r>
          </w:p>
        </w:tc>
      </w:tr>
    </w:tbl>
    <w:p w14:paraId="3393013A" w14:textId="29A2DB06" w:rsidR="002338EB" w:rsidRDefault="002338EB" w:rsidP="002338EB">
      <w:pPr>
        <w:pStyle w:val="Paragraph"/>
      </w:pPr>
    </w:p>
    <w:p w14:paraId="67B93D8F" w14:textId="6D992C33" w:rsidR="002338EB" w:rsidRPr="002338EB" w:rsidRDefault="002338EB" w:rsidP="00192685">
      <w:pPr>
        <w:pStyle w:val="Heading1"/>
      </w:pPr>
      <w:r>
        <w:t xml:space="preserve">Specification </w:t>
      </w:r>
    </w:p>
    <w:tbl>
      <w:tblPr>
        <w:tblStyle w:val="TableGrid"/>
        <w:tblW w:w="9067" w:type="dxa"/>
        <w:tblLook w:val="04A0" w:firstRow="1" w:lastRow="0" w:firstColumn="1" w:lastColumn="0" w:noHBand="0" w:noVBand="1"/>
      </w:tblPr>
      <w:tblGrid>
        <w:gridCol w:w="5949"/>
        <w:gridCol w:w="3118"/>
      </w:tblGrid>
      <w:tr w:rsidR="002338EB" w14:paraId="33FA0B31" w14:textId="77777777" w:rsidTr="001C517D">
        <w:tc>
          <w:tcPr>
            <w:tcW w:w="5949" w:type="dxa"/>
          </w:tcPr>
          <w:p w14:paraId="7BD8EB75" w14:textId="77777777" w:rsidR="002338EB" w:rsidRPr="002338EB" w:rsidRDefault="002338EB" w:rsidP="001C517D">
            <w:pPr>
              <w:pStyle w:val="Paragraph"/>
              <w:spacing w:before="120" w:after="120" w:line="240" w:lineRule="auto"/>
              <w:rPr>
                <w:b/>
                <w:bCs/>
                <w:sz w:val="22"/>
                <w:szCs w:val="22"/>
              </w:rPr>
            </w:pPr>
            <w:r w:rsidRPr="002338EB">
              <w:rPr>
                <w:b/>
                <w:bCs/>
                <w:sz w:val="22"/>
                <w:szCs w:val="22"/>
              </w:rPr>
              <w:t xml:space="preserve">Considerations </w:t>
            </w:r>
          </w:p>
        </w:tc>
        <w:tc>
          <w:tcPr>
            <w:tcW w:w="3118" w:type="dxa"/>
          </w:tcPr>
          <w:p w14:paraId="4BCDDF3D" w14:textId="77777777" w:rsidR="002338EB" w:rsidRPr="002338EB" w:rsidRDefault="002338EB" w:rsidP="001C517D">
            <w:pPr>
              <w:pStyle w:val="Paragraph"/>
              <w:spacing w:before="120" w:after="120" w:line="240" w:lineRule="auto"/>
              <w:rPr>
                <w:b/>
                <w:bCs/>
                <w:sz w:val="22"/>
                <w:szCs w:val="22"/>
              </w:rPr>
            </w:pPr>
            <w:r w:rsidRPr="002338EB">
              <w:rPr>
                <w:b/>
                <w:bCs/>
                <w:sz w:val="22"/>
                <w:szCs w:val="22"/>
              </w:rPr>
              <w:t>Assessment</w:t>
            </w:r>
          </w:p>
        </w:tc>
      </w:tr>
      <w:tr w:rsidR="002338EB" w14:paraId="3E61DC2D" w14:textId="77777777" w:rsidTr="001C517D">
        <w:tc>
          <w:tcPr>
            <w:tcW w:w="5949" w:type="dxa"/>
          </w:tcPr>
          <w:p w14:paraId="1A8C1D16" w14:textId="608C096C" w:rsidR="00735337" w:rsidRPr="002338EB" w:rsidRDefault="00B7487C" w:rsidP="00B7487C">
            <w:pPr>
              <w:pStyle w:val="Paragraph"/>
              <w:spacing w:before="120" w:after="120"/>
              <w:rPr>
                <w:highlight w:val="lightGray"/>
              </w:rPr>
            </w:pPr>
            <w:r w:rsidRPr="00B7487C">
              <w:rPr>
                <w:rFonts w:cs="Arial"/>
                <w:color w:val="000000"/>
                <w:kern w:val="24"/>
                <w:sz w:val="22"/>
                <w:szCs w:val="22"/>
              </w:rPr>
              <w:t xml:space="preserve">The register </w:t>
            </w:r>
            <w:r>
              <w:rPr>
                <w:rFonts w:cs="Arial"/>
                <w:color w:val="000000"/>
                <w:kern w:val="24"/>
                <w:sz w:val="22"/>
                <w:szCs w:val="22"/>
              </w:rPr>
              <w:t xml:space="preserve">is a count </w:t>
            </w:r>
            <w:r w:rsidR="004771F3">
              <w:rPr>
                <w:rFonts w:cs="Arial"/>
                <w:color w:val="000000"/>
                <w:kern w:val="24"/>
                <w:sz w:val="22"/>
                <w:szCs w:val="22"/>
              </w:rPr>
              <w:t xml:space="preserve">at practice level </w:t>
            </w:r>
            <w:r>
              <w:rPr>
                <w:rFonts w:cs="Arial"/>
                <w:color w:val="000000"/>
                <w:kern w:val="24"/>
                <w:sz w:val="22"/>
                <w:szCs w:val="22"/>
              </w:rPr>
              <w:t xml:space="preserve">of all </w:t>
            </w:r>
            <w:r w:rsidR="004771F3">
              <w:rPr>
                <w:rFonts w:cs="Arial"/>
                <w:color w:val="000000"/>
                <w:kern w:val="24"/>
                <w:sz w:val="22"/>
                <w:szCs w:val="22"/>
              </w:rPr>
              <w:t xml:space="preserve">registered </w:t>
            </w:r>
            <w:r>
              <w:rPr>
                <w:rFonts w:cs="Arial"/>
                <w:color w:val="000000"/>
                <w:kern w:val="24"/>
                <w:sz w:val="22"/>
                <w:szCs w:val="22"/>
              </w:rPr>
              <w:t xml:space="preserve">people with a BMI value of </w:t>
            </w:r>
            <w:r w:rsidR="004771F3" w:rsidRPr="00D262BB">
              <w:rPr>
                <w:rFonts w:cs="Arial"/>
                <w:color w:val="000000"/>
                <w:kern w:val="24"/>
                <w:sz w:val="22"/>
                <w:szCs w:val="22"/>
              </w:rPr>
              <w:t>2</w:t>
            </w:r>
            <w:r w:rsidR="00FB307A" w:rsidRPr="00D262BB">
              <w:rPr>
                <w:rFonts w:cs="Arial"/>
                <w:color w:val="000000"/>
                <w:kern w:val="24"/>
                <w:sz w:val="22"/>
                <w:szCs w:val="22"/>
              </w:rPr>
              <w:t>7.5</w:t>
            </w:r>
            <w:r w:rsidR="004771F3" w:rsidRPr="00D262BB">
              <w:rPr>
                <w:rFonts w:cs="Arial"/>
                <w:color w:val="000000"/>
                <w:kern w:val="24"/>
                <w:sz w:val="22"/>
                <w:szCs w:val="22"/>
              </w:rPr>
              <w:t xml:space="preserve"> </w:t>
            </w:r>
            <w:r w:rsidR="00D262BB" w:rsidRPr="00D262BB">
              <w:rPr>
                <w:sz w:val="22"/>
                <w:szCs w:val="22"/>
                <w:lang w:eastAsia="en-GB"/>
              </w:rPr>
              <w:t>kg/m</w:t>
            </w:r>
            <w:r w:rsidR="00D262BB" w:rsidRPr="00D262BB">
              <w:rPr>
                <w:sz w:val="22"/>
                <w:szCs w:val="22"/>
                <w:vertAlign w:val="superscript"/>
                <w:lang w:eastAsia="en-GB"/>
              </w:rPr>
              <w:t>2</w:t>
            </w:r>
            <w:r w:rsidR="004771F3" w:rsidRPr="00D262BB">
              <w:rPr>
                <w:rFonts w:cs="Arial"/>
                <w:color w:val="000000"/>
                <w:kern w:val="24"/>
                <w:sz w:val="22"/>
                <w:szCs w:val="22"/>
              </w:rPr>
              <w:t>or</w:t>
            </w:r>
            <w:r w:rsidR="004771F3" w:rsidRPr="004771F3">
              <w:rPr>
                <w:rFonts w:cs="Arial"/>
                <w:color w:val="000000"/>
                <w:kern w:val="24"/>
                <w:sz w:val="22"/>
                <w:szCs w:val="22"/>
              </w:rPr>
              <w:t xml:space="preserve"> more (or </w:t>
            </w:r>
            <w:r w:rsidR="00FB307A">
              <w:rPr>
                <w:rFonts w:cs="Arial"/>
                <w:color w:val="000000"/>
                <w:kern w:val="24"/>
                <w:sz w:val="22"/>
                <w:szCs w:val="22"/>
              </w:rPr>
              <w:t>30</w:t>
            </w:r>
            <w:r w:rsidR="00D262BB">
              <w:rPr>
                <w:rFonts w:cs="Arial"/>
                <w:color w:val="000000"/>
                <w:kern w:val="24"/>
                <w:sz w:val="22"/>
                <w:szCs w:val="22"/>
              </w:rPr>
              <w:t xml:space="preserve"> </w:t>
            </w:r>
            <w:r w:rsidR="00D262BB" w:rsidRPr="00D262BB">
              <w:rPr>
                <w:sz w:val="22"/>
                <w:szCs w:val="22"/>
                <w:lang w:eastAsia="en-GB"/>
              </w:rPr>
              <w:t>kg/m</w:t>
            </w:r>
            <w:r w:rsidR="00D262BB" w:rsidRPr="00D262BB">
              <w:rPr>
                <w:sz w:val="22"/>
                <w:szCs w:val="22"/>
                <w:vertAlign w:val="superscript"/>
                <w:lang w:eastAsia="en-GB"/>
              </w:rPr>
              <w:t>2</w:t>
            </w:r>
            <w:r w:rsidR="004771F3" w:rsidRPr="004771F3">
              <w:rPr>
                <w:rFonts w:cs="Arial"/>
                <w:color w:val="000000"/>
                <w:kern w:val="24"/>
                <w:sz w:val="22"/>
                <w:szCs w:val="22"/>
              </w:rPr>
              <w:t xml:space="preserve"> or more if ethnicity is recorded as White) in the preceding 12 months</w:t>
            </w:r>
            <w:r w:rsidR="004771F3">
              <w:rPr>
                <w:rFonts w:cs="Arial"/>
                <w:color w:val="000000"/>
                <w:kern w:val="24"/>
                <w:sz w:val="22"/>
                <w:szCs w:val="22"/>
              </w:rPr>
              <w:t>.</w:t>
            </w:r>
          </w:p>
        </w:tc>
        <w:tc>
          <w:tcPr>
            <w:tcW w:w="3118" w:type="dxa"/>
          </w:tcPr>
          <w:p w14:paraId="0C449702" w14:textId="4B3DA540" w:rsidR="002338EB" w:rsidRPr="00925060" w:rsidRDefault="002338EB" w:rsidP="00925060">
            <w:pPr>
              <w:spacing w:before="120" w:after="120"/>
              <w:rPr>
                <w:rFonts w:ascii="Arial" w:hAnsi="Arial" w:cs="Arial"/>
                <w:color w:val="000000"/>
                <w:kern w:val="24"/>
                <w:sz w:val="22"/>
                <w:szCs w:val="22"/>
              </w:rPr>
            </w:pPr>
            <w:r w:rsidRPr="00606B99">
              <w:rPr>
                <w:rFonts w:ascii="Arial" w:hAnsi="Arial" w:cs="Arial"/>
                <w:color w:val="000000"/>
                <w:kern w:val="24"/>
                <w:sz w:val="22"/>
                <w:szCs w:val="22"/>
              </w:rPr>
              <w:t>The indicator has defined components necessary to construct the indicator</w:t>
            </w:r>
            <w:r w:rsidR="006E07FA">
              <w:rPr>
                <w:rFonts w:ascii="Arial" w:hAnsi="Arial" w:cs="Arial"/>
                <w:color w:val="000000"/>
                <w:kern w:val="24"/>
                <w:sz w:val="22"/>
                <w:szCs w:val="22"/>
              </w:rPr>
              <w:t>.</w:t>
            </w:r>
          </w:p>
        </w:tc>
      </w:tr>
      <w:tr w:rsidR="002338EB" w14:paraId="48133640" w14:textId="77777777" w:rsidTr="001C517D">
        <w:tc>
          <w:tcPr>
            <w:tcW w:w="5949" w:type="dxa"/>
          </w:tcPr>
          <w:p w14:paraId="4B4889E2" w14:textId="45DA3C2D" w:rsidR="002C1326" w:rsidRPr="00B7487C" w:rsidRDefault="009B3F8C" w:rsidP="009B3F8C">
            <w:pPr>
              <w:pStyle w:val="Paragraph"/>
              <w:spacing w:before="120" w:after="120"/>
            </w:pPr>
            <w:r w:rsidRPr="00B7487C">
              <w:rPr>
                <w:rFonts w:cs="Arial"/>
                <w:color w:val="000000"/>
                <w:kern w:val="24"/>
                <w:sz w:val="22"/>
                <w:szCs w:val="22"/>
              </w:rPr>
              <w:t xml:space="preserve">The indicator would be appropriate to assess performance at individual general practice level. </w:t>
            </w:r>
            <w:bookmarkStart w:id="2" w:name="_Hlk111189733"/>
            <w:r w:rsidRPr="00B7487C">
              <w:rPr>
                <w:rFonts w:cs="Arial"/>
                <w:color w:val="000000"/>
                <w:kern w:val="24"/>
                <w:sz w:val="22"/>
                <w:szCs w:val="22"/>
              </w:rPr>
              <w:t xml:space="preserve">To be classified as suitable for use in QOF, there should be an average minimum population of </w:t>
            </w:r>
            <w:r w:rsidR="009B6AF7" w:rsidRPr="00B7487C">
              <w:rPr>
                <w:rFonts w:cs="Arial"/>
                <w:color w:val="000000"/>
                <w:kern w:val="24"/>
                <w:sz w:val="22"/>
                <w:szCs w:val="22"/>
              </w:rPr>
              <w:t xml:space="preserve">more than 20 patients </w:t>
            </w:r>
            <w:r w:rsidRPr="00B7487C">
              <w:rPr>
                <w:rFonts w:cs="Arial"/>
                <w:color w:val="000000"/>
                <w:kern w:val="24"/>
                <w:sz w:val="22"/>
                <w:szCs w:val="22"/>
              </w:rPr>
              <w:t xml:space="preserve">per practice. </w:t>
            </w:r>
            <w:r w:rsidR="00973E3F" w:rsidRPr="00973E3F">
              <w:rPr>
                <w:rFonts w:cs="Arial"/>
                <w:color w:val="000000"/>
                <w:kern w:val="24"/>
                <w:sz w:val="22"/>
                <w:szCs w:val="22"/>
              </w:rPr>
              <w:t xml:space="preserve">QOF data for 2020-21 </w:t>
            </w:r>
            <w:r w:rsidR="00CE2502">
              <w:rPr>
                <w:rFonts w:cs="Arial"/>
                <w:color w:val="000000"/>
                <w:kern w:val="24"/>
                <w:sz w:val="22"/>
                <w:szCs w:val="22"/>
              </w:rPr>
              <w:t>indicates that around</w:t>
            </w:r>
            <w:r w:rsidR="00973E3F" w:rsidRPr="00973E3F">
              <w:rPr>
                <w:rFonts w:cs="Arial"/>
                <w:color w:val="000000"/>
                <w:kern w:val="24"/>
                <w:sz w:val="22"/>
                <w:szCs w:val="22"/>
              </w:rPr>
              <w:t xml:space="preserve"> </w:t>
            </w:r>
            <w:r w:rsidR="00973E3F">
              <w:rPr>
                <w:rFonts w:cs="Arial"/>
                <w:color w:val="000000"/>
                <w:kern w:val="24"/>
                <w:sz w:val="22"/>
                <w:szCs w:val="22"/>
              </w:rPr>
              <w:t>540</w:t>
            </w:r>
            <w:r w:rsidR="00973E3F" w:rsidRPr="00973E3F">
              <w:rPr>
                <w:rFonts w:cs="Arial"/>
                <w:color w:val="000000"/>
                <w:kern w:val="24"/>
                <w:sz w:val="22"/>
                <w:szCs w:val="22"/>
              </w:rPr>
              <w:t xml:space="preserve"> patients</w:t>
            </w:r>
            <w:r w:rsidR="00CE2502">
              <w:rPr>
                <w:rFonts w:cs="Arial"/>
                <w:color w:val="000000"/>
                <w:kern w:val="24"/>
                <w:sz w:val="22"/>
                <w:szCs w:val="22"/>
              </w:rPr>
              <w:t xml:space="preserve"> are </w:t>
            </w:r>
            <w:r w:rsidR="00056FE9">
              <w:rPr>
                <w:rFonts w:cs="Arial"/>
                <w:color w:val="000000"/>
                <w:kern w:val="24"/>
                <w:sz w:val="22"/>
                <w:szCs w:val="22"/>
              </w:rPr>
              <w:t xml:space="preserve">recorded as </w:t>
            </w:r>
            <w:r w:rsidR="00CE2502">
              <w:rPr>
                <w:rFonts w:cs="Arial"/>
                <w:color w:val="000000"/>
                <w:kern w:val="24"/>
                <w:sz w:val="22"/>
                <w:szCs w:val="22"/>
              </w:rPr>
              <w:t xml:space="preserve">obese </w:t>
            </w:r>
            <w:r w:rsidR="00056FE9">
              <w:rPr>
                <w:rFonts w:cs="Arial"/>
                <w:color w:val="000000"/>
                <w:kern w:val="24"/>
                <w:sz w:val="22"/>
                <w:szCs w:val="22"/>
              </w:rPr>
              <w:t xml:space="preserve">each year </w:t>
            </w:r>
            <w:r w:rsidR="00CE2502">
              <w:rPr>
                <w:rFonts w:cs="Arial"/>
                <w:color w:val="000000"/>
                <w:kern w:val="24"/>
                <w:sz w:val="22"/>
                <w:szCs w:val="22"/>
              </w:rPr>
              <w:t xml:space="preserve">in </w:t>
            </w:r>
            <w:r w:rsidR="00973E3F" w:rsidRPr="00973E3F">
              <w:rPr>
                <w:rFonts w:cs="Arial"/>
                <w:color w:val="000000"/>
                <w:kern w:val="24"/>
                <w:sz w:val="22"/>
                <w:szCs w:val="22"/>
              </w:rPr>
              <w:t>an average practice with 10,000 patients (using ONS population statistics).</w:t>
            </w:r>
            <w:r w:rsidR="00CE2502">
              <w:rPr>
                <w:rFonts w:cs="Arial"/>
                <w:color w:val="000000"/>
                <w:kern w:val="24"/>
                <w:sz w:val="22"/>
                <w:szCs w:val="22"/>
              </w:rPr>
              <w:t xml:space="preserve"> </w:t>
            </w:r>
            <w:bookmarkEnd w:id="2"/>
          </w:p>
        </w:tc>
        <w:tc>
          <w:tcPr>
            <w:tcW w:w="3118" w:type="dxa"/>
          </w:tcPr>
          <w:p w14:paraId="38DE6D48" w14:textId="3B3AEF9C" w:rsidR="002338EB" w:rsidRPr="00B7487C" w:rsidRDefault="002338EB" w:rsidP="002338EB">
            <w:pPr>
              <w:pStyle w:val="Paragraph"/>
              <w:spacing w:before="120" w:after="120" w:line="240" w:lineRule="auto"/>
            </w:pPr>
            <w:r w:rsidRPr="00B7487C">
              <w:rPr>
                <w:rFonts w:cs="Arial"/>
                <w:color w:val="000000"/>
                <w:kern w:val="24"/>
                <w:sz w:val="22"/>
                <w:szCs w:val="22"/>
              </w:rPr>
              <w:t xml:space="preserve">The indicator </w:t>
            </w:r>
            <w:r w:rsidR="002C1326" w:rsidRPr="00B7487C">
              <w:rPr>
                <w:rFonts w:cs="Arial"/>
                <w:color w:val="000000"/>
                <w:kern w:val="24"/>
                <w:sz w:val="22"/>
                <w:szCs w:val="22"/>
              </w:rPr>
              <w:t>does</w:t>
            </w:r>
            <w:r w:rsidRPr="00B7487C">
              <w:rPr>
                <w:rFonts w:cs="Arial"/>
                <w:color w:val="000000"/>
                <w:kern w:val="24"/>
                <w:sz w:val="22"/>
                <w:szCs w:val="22"/>
              </w:rPr>
              <w:t xml:space="preserve"> outline minimum numbers of patients needed to be confident in the assessment of variation.</w:t>
            </w:r>
          </w:p>
        </w:tc>
      </w:tr>
    </w:tbl>
    <w:p w14:paraId="1F89E1DD" w14:textId="24151FF3" w:rsidR="002338EB" w:rsidRDefault="002338EB" w:rsidP="002338EB">
      <w:pPr>
        <w:pStyle w:val="Paragraph"/>
      </w:pPr>
    </w:p>
    <w:p w14:paraId="597779EE" w14:textId="5E0747D0" w:rsidR="002338EB" w:rsidRDefault="002338EB" w:rsidP="00192685">
      <w:pPr>
        <w:pStyle w:val="Heading1"/>
      </w:pPr>
      <w:r>
        <w:t xml:space="preserve">Feasibility </w:t>
      </w:r>
    </w:p>
    <w:tbl>
      <w:tblPr>
        <w:tblStyle w:val="TableGrid"/>
        <w:tblW w:w="9067" w:type="dxa"/>
        <w:tblLook w:val="04A0" w:firstRow="1" w:lastRow="0" w:firstColumn="1" w:lastColumn="0" w:noHBand="0" w:noVBand="1"/>
      </w:tblPr>
      <w:tblGrid>
        <w:gridCol w:w="5949"/>
        <w:gridCol w:w="3118"/>
      </w:tblGrid>
      <w:tr w:rsidR="002338EB" w14:paraId="40453993" w14:textId="77777777" w:rsidTr="001C517D">
        <w:tc>
          <w:tcPr>
            <w:tcW w:w="5949" w:type="dxa"/>
          </w:tcPr>
          <w:p w14:paraId="1B5D3E68" w14:textId="77777777" w:rsidR="002338EB" w:rsidRPr="00735337" w:rsidRDefault="002338EB" w:rsidP="001C517D">
            <w:pPr>
              <w:pStyle w:val="Paragraph"/>
              <w:spacing w:before="120" w:after="120" w:line="240" w:lineRule="auto"/>
              <w:rPr>
                <w:b/>
                <w:bCs/>
                <w:sz w:val="22"/>
                <w:szCs w:val="22"/>
              </w:rPr>
            </w:pPr>
            <w:r w:rsidRPr="00735337">
              <w:rPr>
                <w:b/>
                <w:bCs/>
                <w:sz w:val="22"/>
                <w:szCs w:val="22"/>
              </w:rPr>
              <w:t xml:space="preserve">Considerations </w:t>
            </w:r>
          </w:p>
        </w:tc>
        <w:tc>
          <w:tcPr>
            <w:tcW w:w="3118" w:type="dxa"/>
          </w:tcPr>
          <w:p w14:paraId="632FEA87" w14:textId="77777777" w:rsidR="002338EB" w:rsidRPr="00735337" w:rsidRDefault="002338EB" w:rsidP="001C517D">
            <w:pPr>
              <w:pStyle w:val="Paragraph"/>
              <w:spacing w:before="120" w:after="120" w:line="240" w:lineRule="auto"/>
              <w:rPr>
                <w:b/>
                <w:bCs/>
                <w:sz w:val="22"/>
                <w:szCs w:val="22"/>
              </w:rPr>
            </w:pPr>
            <w:r w:rsidRPr="00735337">
              <w:rPr>
                <w:b/>
                <w:bCs/>
                <w:sz w:val="22"/>
                <w:szCs w:val="22"/>
              </w:rPr>
              <w:t>Assessment</w:t>
            </w:r>
          </w:p>
        </w:tc>
      </w:tr>
      <w:tr w:rsidR="00735337" w14:paraId="7CB24BE4" w14:textId="77777777" w:rsidTr="001C517D">
        <w:tc>
          <w:tcPr>
            <w:tcW w:w="5949" w:type="dxa"/>
          </w:tcPr>
          <w:p w14:paraId="3ABE91E5" w14:textId="24C43254" w:rsidR="00F66907" w:rsidRPr="00F66907" w:rsidRDefault="00F66907" w:rsidP="00735337">
            <w:pPr>
              <w:pStyle w:val="Paragraph"/>
              <w:spacing w:before="120" w:after="120" w:line="240" w:lineRule="auto"/>
              <w:rPr>
                <w:rFonts w:cs="Arial"/>
                <w:sz w:val="22"/>
                <w:szCs w:val="22"/>
              </w:rPr>
            </w:pPr>
            <w:r w:rsidRPr="00F66907">
              <w:rPr>
                <w:rFonts w:cs="Arial"/>
                <w:sz w:val="22"/>
                <w:szCs w:val="22"/>
              </w:rPr>
              <w:t xml:space="preserve">A register for people with a BMI of 30 or more has been active in the QOF since 2006. </w:t>
            </w:r>
          </w:p>
        </w:tc>
        <w:tc>
          <w:tcPr>
            <w:tcW w:w="3118" w:type="dxa"/>
          </w:tcPr>
          <w:p w14:paraId="7E07F302" w14:textId="5F984164" w:rsidR="00735337" w:rsidRPr="00F66907" w:rsidRDefault="00735337" w:rsidP="00735337">
            <w:pPr>
              <w:spacing w:before="120" w:after="120"/>
              <w:rPr>
                <w:rFonts w:ascii="Arial" w:hAnsi="Arial" w:cs="Arial"/>
                <w:color w:val="000000"/>
                <w:kern w:val="24"/>
                <w:sz w:val="22"/>
                <w:szCs w:val="22"/>
              </w:rPr>
            </w:pPr>
            <w:r w:rsidRPr="00F66907">
              <w:rPr>
                <w:rFonts w:ascii="Arial" w:hAnsi="Arial" w:cs="Arial"/>
                <w:color w:val="000000"/>
                <w:kern w:val="24"/>
                <w:sz w:val="22"/>
                <w:szCs w:val="22"/>
              </w:rPr>
              <w:t>The indicator is repeatable.</w:t>
            </w:r>
          </w:p>
          <w:p w14:paraId="3BEFE1B2" w14:textId="77777777" w:rsidR="00735337" w:rsidRPr="00F66907" w:rsidRDefault="00735337" w:rsidP="00735337">
            <w:pPr>
              <w:pStyle w:val="Paragraph"/>
              <w:spacing w:before="120" w:after="120" w:line="240" w:lineRule="auto"/>
            </w:pPr>
          </w:p>
        </w:tc>
      </w:tr>
      <w:tr w:rsidR="00735337" w14:paraId="2FE27CD6" w14:textId="77777777" w:rsidTr="001C517D">
        <w:tc>
          <w:tcPr>
            <w:tcW w:w="5949" w:type="dxa"/>
          </w:tcPr>
          <w:p w14:paraId="6B3D2BF0" w14:textId="7E874766" w:rsidR="004771F3" w:rsidRDefault="00B7487C" w:rsidP="00973E3F">
            <w:pPr>
              <w:pStyle w:val="Paragraph"/>
              <w:spacing w:before="120" w:after="120" w:line="240" w:lineRule="auto"/>
              <w:rPr>
                <w:rFonts w:cs="Arial"/>
                <w:sz w:val="22"/>
                <w:szCs w:val="22"/>
                <w:highlight w:val="lightGray"/>
              </w:rPr>
            </w:pPr>
            <w:r w:rsidRPr="00B7487C">
              <w:rPr>
                <w:rFonts w:cs="Arial"/>
                <w:sz w:val="22"/>
                <w:szCs w:val="22"/>
              </w:rPr>
              <w:t>The</w:t>
            </w:r>
            <w:r>
              <w:rPr>
                <w:rFonts w:cs="Arial"/>
                <w:sz w:val="22"/>
                <w:szCs w:val="22"/>
              </w:rPr>
              <w:t xml:space="preserve"> register can </w:t>
            </w:r>
            <w:r w:rsidR="00973E3F">
              <w:rPr>
                <w:rFonts w:cs="Arial"/>
                <w:sz w:val="22"/>
                <w:szCs w:val="22"/>
              </w:rPr>
              <w:t>be constructed using</w:t>
            </w:r>
            <w:r>
              <w:rPr>
                <w:rFonts w:cs="Arial"/>
                <w:sz w:val="22"/>
                <w:szCs w:val="22"/>
              </w:rPr>
              <w:t xml:space="preserve"> the existing code clusters used in QOF</w:t>
            </w:r>
            <w:r w:rsidR="004771F3">
              <w:rPr>
                <w:rFonts w:cs="Arial"/>
                <w:sz w:val="22"/>
                <w:szCs w:val="22"/>
              </w:rPr>
              <w:t xml:space="preserve"> for OB00</w:t>
            </w:r>
            <w:r w:rsidR="00973E3F">
              <w:rPr>
                <w:rFonts w:cs="Arial"/>
                <w:sz w:val="22"/>
                <w:szCs w:val="22"/>
              </w:rPr>
              <w:t>2 and MH011.</w:t>
            </w:r>
          </w:p>
        </w:tc>
        <w:tc>
          <w:tcPr>
            <w:tcW w:w="3118" w:type="dxa"/>
          </w:tcPr>
          <w:p w14:paraId="501A7677" w14:textId="77777777" w:rsidR="00735337" w:rsidRPr="00F66907" w:rsidRDefault="00735337" w:rsidP="00735337">
            <w:pPr>
              <w:spacing w:before="120" w:after="120"/>
              <w:rPr>
                <w:rFonts w:ascii="Arial" w:hAnsi="Arial" w:cs="Arial"/>
                <w:color w:val="000000"/>
                <w:kern w:val="24"/>
                <w:sz w:val="22"/>
                <w:szCs w:val="22"/>
              </w:rPr>
            </w:pPr>
            <w:r w:rsidRPr="00F66907">
              <w:rPr>
                <w:rFonts w:ascii="Arial" w:hAnsi="Arial" w:cs="Arial"/>
                <w:color w:val="000000"/>
                <w:kern w:val="24"/>
                <w:sz w:val="22"/>
                <w:szCs w:val="22"/>
              </w:rPr>
              <w:t xml:space="preserve">The indicator is measuring what it is designed to measure. </w:t>
            </w:r>
          </w:p>
          <w:p w14:paraId="24CB8CBA" w14:textId="284E71C7" w:rsidR="00735337" w:rsidRPr="00735337" w:rsidRDefault="00735337" w:rsidP="00735337">
            <w:pPr>
              <w:spacing w:before="120" w:after="120"/>
              <w:rPr>
                <w:rFonts w:ascii="Arial" w:hAnsi="Arial" w:cs="Arial"/>
                <w:color w:val="000000"/>
                <w:kern w:val="24"/>
                <w:sz w:val="22"/>
                <w:szCs w:val="22"/>
                <w:highlight w:val="lightGray"/>
              </w:rPr>
            </w:pPr>
            <w:r w:rsidRPr="00F66907">
              <w:rPr>
                <w:rFonts w:ascii="Arial" w:hAnsi="Arial" w:cs="Arial"/>
                <w:color w:val="000000"/>
                <w:kern w:val="24"/>
                <w:sz w:val="22"/>
                <w:szCs w:val="22"/>
              </w:rPr>
              <w:t>The indicator uses existing data fields.</w:t>
            </w:r>
          </w:p>
        </w:tc>
      </w:tr>
    </w:tbl>
    <w:p w14:paraId="585AE468" w14:textId="31F94E90" w:rsidR="002338EB" w:rsidRDefault="002338EB" w:rsidP="002338EB">
      <w:pPr>
        <w:pStyle w:val="Paragraph"/>
      </w:pPr>
    </w:p>
    <w:p w14:paraId="4447A98D" w14:textId="06B983E4" w:rsidR="002338EB" w:rsidRDefault="002338EB" w:rsidP="00192685">
      <w:pPr>
        <w:pStyle w:val="Heading1"/>
      </w:pPr>
      <w:r>
        <w:lastRenderedPageBreak/>
        <w:t xml:space="preserve">Acceptability </w:t>
      </w:r>
    </w:p>
    <w:tbl>
      <w:tblPr>
        <w:tblStyle w:val="TableGrid"/>
        <w:tblW w:w="9067" w:type="dxa"/>
        <w:tblLook w:val="04A0" w:firstRow="1" w:lastRow="0" w:firstColumn="1" w:lastColumn="0" w:noHBand="0" w:noVBand="1"/>
      </w:tblPr>
      <w:tblGrid>
        <w:gridCol w:w="5949"/>
        <w:gridCol w:w="3118"/>
      </w:tblGrid>
      <w:tr w:rsidR="002338EB" w14:paraId="0604C8F6" w14:textId="77777777" w:rsidTr="001C517D">
        <w:tc>
          <w:tcPr>
            <w:tcW w:w="5949" w:type="dxa"/>
          </w:tcPr>
          <w:p w14:paraId="50FC03A9" w14:textId="77777777" w:rsidR="002338EB" w:rsidRPr="00A47852" w:rsidRDefault="002338EB" w:rsidP="001C517D">
            <w:pPr>
              <w:pStyle w:val="Paragraph"/>
              <w:spacing w:before="120" w:after="120" w:line="240" w:lineRule="auto"/>
              <w:rPr>
                <w:b/>
                <w:bCs/>
                <w:sz w:val="22"/>
                <w:szCs w:val="22"/>
              </w:rPr>
            </w:pPr>
            <w:r w:rsidRPr="00A47852">
              <w:rPr>
                <w:b/>
                <w:bCs/>
                <w:sz w:val="22"/>
                <w:szCs w:val="22"/>
              </w:rPr>
              <w:t xml:space="preserve">Considerations </w:t>
            </w:r>
          </w:p>
        </w:tc>
        <w:tc>
          <w:tcPr>
            <w:tcW w:w="3118" w:type="dxa"/>
          </w:tcPr>
          <w:p w14:paraId="6F255397" w14:textId="77777777" w:rsidR="002338EB" w:rsidRPr="00A47852" w:rsidRDefault="002338EB" w:rsidP="001C517D">
            <w:pPr>
              <w:pStyle w:val="Paragraph"/>
              <w:spacing w:before="120" w:after="120" w:line="240" w:lineRule="auto"/>
              <w:rPr>
                <w:b/>
                <w:bCs/>
                <w:sz w:val="22"/>
                <w:szCs w:val="22"/>
              </w:rPr>
            </w:pPr>
            <w:r w:rsidRPr="00A47852">
              <w:rPr>
                <w:b/>
                <w:bCs/>
                <w:sz w:val="22"/>
                <w:szCs w:val="22"/>
              </w:rPr>
              <w:t>Assessment</w:t>
            </w:r>
          </w:p>
        </w:tc>
      </w:tr>
      <w:tr w:rsidR="004771F3" w14:paraId="5EC80837" w14:textId="77777777" w:rsidTr="001C517D">
        <w:tc>
          <w:tcPr>
            <w:tcW w:w="5949" w:type="dxa"/>
          </w:tcPr>
          <w:p w14:paraId="009E37A6" w14:textId="4F8CAB70" w:rsidR="00973E3F" w:rsidRPr="00973E3F" w:rsidRDefault="004771F3" w:rsidP="004771F3">
            <w:pPr>
              <w:pStyle w:val="Paragraph"/>
              <w:spacing w:before="120" w:after="120" w:line="240" w:lineRule="auto"/>
              <w:rPr>
                <w:rFonts w:cs="Arial"/>
                <w:sz w:val="22"/>
                <w:szCs w:val="22"/>
              </w:rPr>
            </w:pPr>
            <w:r w:rsidRPr="004771F3">
              <w:rPr>
                <w:rFonts w:cs="Arial"/>
                <w:sz w:val="22"/>
                <w:szCs w:val="22"/>
              </w:rPr>
              <w:t xml:space="preserve">A register for people with a BMI of 30 or more has been active in the QOF since 2006. </w:t>
            </w:r>
          </w:p>
        </w:tc>
        <w:tc>
          <w:tcPr>
            <w:tcW w:w="3118" w:type="dxa"/>
          </w:tcPr>
          <w:p w14:paraId="50C98A36" w14:textId="14C32902" w:rsidR="004771F3" w:rsidRPr="004771F3" w:rsidRDefault="004771F3" w:rsidP="004771F3">
            <w:pPr>
              <w:pStyle w:val="Paragraph"/>
              <w:spacing w:before="120" w:after="120" w:line="240" w:lineRule="auto"/>
            </w:pPr>
            <w:r w:rsidRPr="004771F3">
              <w:rPr>
                <w:rFonts w:cs="Arial"/>
                <w:color w:val="000000"/>
                <w:kern w:val="24"/>
                <w:sz w:val="22"/>
                <w:szCs w:val="22"/>
              </w:rPr>
              <w:t>The indicator assesses performance that is attributable to or within the control of the audience</w:t>
            </w:r>
          </w:p>
        </w:tc>
      </w:tr>
      <w:tr w:rsidR="004771F3" w14:paraId="7E164FBD" w14:textId="77777777" w:rsidTr="001C517D">
        <w:tc>
          <w:tcPr>
            <w:tcW w:w="5949" w:type="dxa"/>
          </w:tcPr>
          <w:p w14:paraId="33A90EC0" w14:textId="77777777" w:rsidR="004771F3" w:rsidRDefault="004771F3" w:rsidP="004771F3">
            <w:pPr>
              <w:pStyle w:val="Paragraph"/>
              <w:spacing w:before="120" w:after="120" w:line="240" w:lineRule="auto"/>
              <w:rPr>
                <w:rFonts w:cs="Arial"/>
                <w:sz w:val="22"/>
                <w:szCs w:val="22"/>
              </w:rPr>
            </w:pPr>
            <w:r w:rsidRPr="004771F3">
              <w:rPr>
                <w:rFonts w:cs="Arial"/>
                <w:sz w:val="22"/>
                <w:szCs w:val="22"/>
              </w:rPr>
              <w:t xml:space="preserve">A register for people with a BMI of 30 or more has been active in the QOF since 2006. </w:t>
            </w:r>
          </w:p>
          <w:p w14:paraId="3AF0200A" w14:textId="4A08F13E" w:rsidR="00925060" w:rsidRPr="004771F3" w:rsidRDefault="00925060" w:rsidP="004771F3">
            <w:pPr>
              <w:pStyle w:val="Paragraph"/>
              <w:spacing w:before="120" w:after="120" w:line="240" w:lineRule="auto"/>
            </w:pPr>
            <w:r w:rsidRPr="00925060">
              <w:rPr>
                <w:rFonts w:cs="Arial"/>
                <w:sz w:val="22"/>
                <w:szCs w:val="22"/>
              </w:rPr>
              <w:t xml:space="preserve">Identifying people who are </w:t>
            </w:r>
            <w:r w:rsidR="00FB307A">
              <w:rPr>
                <w:rFonts w:cs="Arial"/>
                <w:sz w:val="22"/>
                <w:szCs w:val="22"/>
              </w:rPr>
              <w:t>obese</w:t>
            </w:r>
            <w:r w:rsidRPr="00925060">
              <w:rPr>
                <w:rFonts w:cs="Arial"/>
                <w:sz w:val="22"/>
                <w:szCs w:val="22"/>
              </w:rPr>
              <w:t xml:space="preserve"> can help support provision of interventions.</w:t>
            </w:r>
          </w:p>
        </w:tc>
        <w:tc>
          <w:tcPr>
            <w:tcW w:w="3118" w:type="dxa"/>
          </w:tcPr>
          <w:p w14:paraId="2909F55A" w14:textId="550EBBEB" w:rsidR="004771F3" w:rsidRPr="004771F3" w:rsidRDefault="004771F3" w:rsidP="004771F3">
            <w:pPr>
              <w:pStyle w:val="Paragraph"/>
              <w:spacing w:before="120" w:after="120" w:line="240" w:lineRule="auto"/>
            </w:pPr>
            <w:r w:rsidRPr="004771F3">
              <w:rPr>
                <w:rFonts w:cs="Arial"/>
                <w:color w:val="000000"/>
                <w:kern w:val="24"/>
                <w:sz w:val="22"/>
                <w:szCs w:val="22"/>
              </w:rPr>
              <w:t>The results of the indicator can be used to improve practice</w:t>
            </w:r>
          </w:p>
        </w:tc>
      </w:tr>
    </w:tbl>
    <w:p w14:paraId="359B1BDB" w14:textId="49E7FB46" w:rsidR="002338EB" w:rsidRDefault="002338EB" w:rsidP="002338EB">
      <w:pPr>
        <w:pStyle w:val="Paragraph"/>
      </w:pPr>
    </w:p>
    <w:p w14:paraId="639F934E" w14:textId="090BF21C" w:rsidR="00A47852" w:rsidRDefault="00A47852" w:rsidP="00192685">
      <w:pPr>
        <w:pStyle w:val="Heading1"/>
      </w:pPr>
      <w:r>
        <w:t>Risk</w:t>
      </w:r>
    </w:p>
    <w:tbl>
      <w:tblPr>
        <w:tblStyle w:val="TableGrid"/>
        <w:tblW w:w="9067" w:type="dxa"/>
        <w:tblLook w:val="04A0" w:firstRow="1" w:lastRow="0" w:firstColumn="1" w:lastColumn="0" w:noHBand="0" w:noVBand="1"/>
      </w:tblPr>
      <w:tblGrid>
        <w:gridCol w:w="5949"/>
        <w:gridCol w:w="3118"/>
      </w:tblGrid>
      <w:tr w:rsidR="00A47852" w14:paraId="4F9CECCC" w14:textId="77777777" w:rsidTr="001C517D">
        <w:tc>
          <w:tcPr>
            <w:tcW w:w="5949" w:type="dxa"/>
          </w:tcPr>
          <w:p w14:paraId="7D45A224" w14:textId="77777777" w:rsidR="00A47852" w:rsidRPr="00A47852" w:rsidRDefault="00A47852" w:rsidP="001C517D">
            <w:pPr>
              <w:pStyle w:val="Paragraph"/>
              <w:spacing w:before="120" w:after="120" w:line="240" w:lineRule="auto"/>
              <w:rPr>
                <w:b/>
                <w:bCs/>
                <w:sz w:val="22"/>
                <w:szCs w:val="22"/>
              </w:rPr>
            </w:pPr>
            <w:r w:rsidRPr="00A47852">
              <w:rPr>
                <w:b/>
                <w:bCs/>
                <w:sz w:val="22"/>
                <w:szCs w:val="22"/>
              </w:rPr>
              <w:t xml:space="preserve">Considerations </w:t>
            </w:r>
          </w:p>
        </w:tc>
        <w:tc>
          <w:tcPr>
            <w:tcW w:w="3118" w:type="dxa"/>
          </w:tcPr>
          <w:p w14:paraId="736A49C5" w14:textId="77777777" w:rsidR="00A47852" w:rsidRPr="00A47852" w:rsidRDefault="00A47852" w:rsidP="001C517D">
            <w:pPr>
              <w:pStyle w:val="Paragraph"/>
              <w:spacing w:before="120" w:after="120" w:line="240" w:lineRule="auto"/>
              <w:rPr>
                <w:b/>
                <w:bCs/>
                <w:sz w:val="22"/>
                <w:szCs w:val="22"/>
              </w:rPr>
            </w:pPr>
            <w:r w:rsidRPr="00A47852">
              <w:rPr>
                <w:b/>
                <w:bCs/>
                <w:sz w:val="22"/>
                <w:szCs w:val="22"/>
              </w:rPr>
              <w:t>Assessment</w:t>
            </w:r>
          </w:p>
        </w:tc>
      </w:tr>
      <w:tr w:rsidR="00A47852" w14:paraId="2365E62E" w14:textId="77777777" w:rsidTr="001C517D">
        <w:tc>
          <w:tcPr>
            <w:tcW w:w="5949" w:type="dxa"/>
          </w:tcPr>
          <w:p w14:paraId="09FA5FF8" w14:textId="77777777" w:rsidR="00A47852" w:rsidRDefault="004771F3" w:rsidP="00A47852">
            <w:pPr>
              <w:pStyle w:val="Paragraph"/>
              <w:spacing w:before="120" w:after="120" w:line="240" w:lineRule="auto"/>
              <w:rPr>
                <w:rFonts w:cs="Arial"/>
                <w:color w:val="000000"/>
                <w:kern w:val="24"/>
                <w:sz w:val="22"/>
                <w:szCs w:val="22"/>
                <w:lang w:eastAsia="en-GB"/>
              </w:rPr>
            </w:pPr>
            <w:r w:rsidRPr="004771F3">
              <w:rPr>
                <w:rFonts w:cs="Arial"/>
                <w:color w:val="000000"/>
                <w:kern w:val="24"/>
                <w:sz w:val="22"/>
                <w:szCs w:val="22"/>
                <w:lang w:eastAsia="en-GB"/>
              </w:rPr>
              <w:t>A register for people with a BMI of 30 or more has been active in the QOF since 2006.</w:t>
            </w:r>
          </w:p>
          <w:p w14:paraId="5D0DDE27" w14:textId="3E55611D" w:rsidR="00B007C1" w:rsidRPr="004771F3" w:rsidRDefault="007A37F3" w:rsidP="00A47852">
            <w:pPr>
              <w:pStyle w:val="Paragraph"/>
              <w:spacing w:before="120" w:after="120" w:line="240" w:lineRule="auto"/>
            </w:pPr>
            <w:bookmarkStart w:id="3" w:name="_Hlk111191864"/>
            <w:r>
              <w:rPr>
                <w:color w:val="000000"/>
                <w:kern w:val="24"/>
                <w:sz w:val="22"/>
                <w:szCs w:val="22"/>
              </w:rPr>
              <w:t xml:space="preserve">Coding of ethnicity may be poor in some practices. </w:t>
            </w:r>
            <w:bookmarkStart w:id="4" w:name="_Hlk111189761"/>
            <w:r w:rsidR="00983B07">
              <w:rPr>
                <w:color w:val="000000"/>
                <w:kern w:val="24"/>
                <w:sz w:val="22"/>
                <w:szCs w:val="22"/>
              </w:rPr>
              <w:t>U</w:t>
            </w:r>
            <w:r>
              <w:rPr>
                <w:color w:val="000000"/>
                <w:kern w:val="24"/>
                <w:sz w:val="22"/>
                <w:szCs w:val="22"/>
              </w:rPr>
              <w:t>sing the lower threshold</w:t>
            </w:r>
            <w:r w:rsidR="00D262BB">
              <w:rPr>
                <w:color w:val="000000"/>
                <w:kern w:val="24"/>
                <w:sz w:val="22"/>
                <w:szCs w:val="22"/>
              </w:rPr>
              <w:t xml:space="preserve"> of 27.5 kg/m</w:t>
            </w:r>
            <w:r w:rsidR="00D262BB" w:rsidRPr="00D262BB">
              <w:rPr>
                <w:color w:val="000000"/>
                <w:kern w:val="24"/>
                <w:sz w:val="22"/>
                <w:szCs w:val="22"/>
                <w:vertAlign w:val="superscript"/>
              </w:rPr>
              <w:t>2</w:t>
            </w:r>
            <w:r>
              <w:rPr>
                <w:color w:val="000000"/>
                <w:kern w:val="24"/>
                <w:sz w:val="22"/>
                <w:szCs w:val="22"/>
              </w:rPr>
              <w:t xml:space="preserve"> unless ethnicity is specifically recorded as White will help ensure that people are not excluded from the register inappropriately simply because ethnicity was not recorded</w:t>
            </w:r>
            <w:bookmarkEnd w:id="3"/>
            <w:r>
              <w:rPr>
                <w:color w:val="000000"/>
                <w:kern w:val="24"/>
                <w:sz w:val="22"/>
                <w:szCs w:val="22"/>
              </w:rPr>
              <w:t xml:space="preserve">. </w:t>
            </w:r>
            <w:bookmarkEnd w:id="4"/>
          </w:p>
        </w:tc>
        <w:tc>
          <w:tcPr>
            <w:tcW w:w="3118" w:type="dxa"/>
          </w:tcPr>
          <w:p w14:paraId="29FB2923" w14:textId="4EE07B97" w:rsidR="00A47852" w:rsidRPr="004771F3" w:rsidRDefault="00A47852" w:rsidP="00A47852">
            <w:pPr>
              <w:pStyle w:val="Paragraph"/>
              <w:spacing w:before="120" w:after="120" w:line="240" w:lineRule="auto"/>
            </w:pPr>
            <w:r w:rsidRPr="004771F3">
              <w:rPr>
                <w:rFonts w:cs="Arial"/>
                <w:color w:val="000000"/>
                <w:kern w:val="24"/>
                <w:sz w:val="22"/>
                <w:szCs w:val="22"/>
              </w:rPr>
              <w:t>The indicator has an acceptable risk of unintended consequences.</w:t>
            </w:r>
          </w:p>
        </w:tc>
      </w:tr>
    </w:tbl>
    <w:p w14:paraId="763A6D9B" w14:textId="48F79B0E" w:rsidR="006C3D61" w:rsidRDefault="006C3D61" w:rsidP="00192685">
      <w:pPr>
        <w:pStyle w:val="Heading1"/>
      </w:pPr>
      <w:r>
        <w:t>NICE indicator advisory committee recommendation</w:t>
      </w:r>
    </w:p>
    <w:p w14:paraId="1743DB3A" w14:textId="7F617CF8" w:rsidR="0077603D" w:rsidRPr="00407F14" w:rsidRDefault="0077603D" w:rsidP="004771F3">
      <w:pPr>
        <w:pStyle w:val="Paragraph"/>
      </w:pPr>
      <w:r w:rsidRPr="004771F3">
        <w:t xml:space="preserve">The NICE indicator advisory committee approved this indicator for publication on the menu. </w:t>
      </w:r>
    </w:p>
    <w:p w14:paraId="123085F8" w14:textId="46F76CC2" w:rsidR="00D73835" w:rsidRDefault="00D73835" w:rsidP="003605D5">
      <w:pPr>
        <w:pStyle w:val="Heading1"/>
      </w:pPr>
    </w:p>
    <w:sectPr w:rsidR="00D73835" w:rsidSect="00192B09">
      <w:headerReference w:type="default" r:id="rId12"/>
      <w:footerReference w:type="default" r:id="rId13"/>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9CA3B6" w14:textId="77777777" w:rsidR="00BB14CA" w:rsidRDefault="00BB14CA" w:rsidP="00446BEE">
      <w:r>
        <w:separator/>
      </w:r>
    </w:p>
  </w:endnote>
  <w:endnote w:type="continuationSeparator" w:id="0">
    <w:p w14:paraId="22EB9B1D" w14:textId="77777777" w:rsidR="00BB14CA" w:rsidRDefault="00BB14CA"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Frutiger LT Std 45 Light">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42B07A" w14:textId="73929A05" w:rsidR="00BB14CA" w:rsidRPr="008C1C95" w:rsidRDefault="0014168A" w:rsidP="008C1C95">
    <w:pPr>
      <w:pStyle w:val="Footer"/>
      <w:jc w:val="right"/>
    </w:pPr>
    <w:r>
      <w:t>NM22</w:t>
    </w:r>
    <w:r w:rsidR="002418C8">
      <w:t>2</w:t>
    </w:r>
    <w:r w:rsidR="009B0E59">
      <w:t xml:space="preserve">: Validity assessment </w:t>
    </w:r>
    <w:r>
      <w:t>August 2022</w:t>
    </w:r>
    <w:r w:rsidR="009B0E59">
      <w:tab/>
    </w:r>
    <w:r w:rsidR="009B0E59">
      <w:tab/>
    </w:r>
    <w:r w:rsidR="00BB14CA">
      <w:fldChar w:fldCharType="begin"/>
    </w:r>
    <w:r w:rsidR="00BB14CA">
      <w:instrText xml:space="preserve"> PAGE </w:instrText>
    </w:r>
    <w:r w:rsidR="00BB14CA">
      <w:fldChar w:fldCharType="separate"/>
    </w:r>
    <w:r w:rsidR="00BB14CA">
      <w:rPr>
        <w:noProof/>
      </w:rPr>
      <w:t>21</w:t>
    </w:r>
    <w:r w:rsidR="00BB14CA">
      <w:fldChar w:fldCharType="end"/>
    </w:r>
    <w:r w:rsidR="00BB14CA">
      <w:t xml:space="preserve"> of </w:t>
    </w:r>
    <w:r w:rsidR="00BB14CA">
      <w:rPr>
        <w:noProof/>
      </w:rPr>
      <w:fldChar w:fldCharType="begin"/>
    </w:r>
    <w:r w:rsidR="00BB14CA">
      <w:rPr>
        <w:noProof/>
      </w:rPr>
      <w:instrText xml:space="preserve"> NUMPAGES  </w:instrText>
    </w:r>
    <w:r w:rsidR="00BB14CA">
      <w:rPr>
        <w:noProof/>
      </w:rPr>
      <w:fldChar w:fldCharType="separate"/>
    </w:r>
    <w:r w:rsidR="00BB14CA">
      <w:rPr>
        <w:noProof/>
      </w:rPr>
      <w:t>63</w:t>
    </w:r>
    <w:r w:rsidR="00BB14CA">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F157E4" w14:textId="77777777" w:rsidR="00BB14CA" w:rsidRDefault="00BB14CA" w:rsidP="00446BEE">
      <w:r>
        <w:separator/>
      </w:r>
    </w:p>
  </w:footnote>
  <w:footnote w:type="continuationSeparator" w:id="0">
    <w:p w14:paraId="1B316AC4" w14:textId="77777777" w:rsidR="00BB14CA" w:rsidRDefault="00BB14CA"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BBF3D4" w14:textId="77777777" w:rsidR="00BB14CA" w:rsidRDefault="00BB14CA" w:rsidP="00670FFB">
    <w:pPr>
      <w:pStyle w:val="Header"/>
      <w:tabs>
        <w:tab w:val="left" w:pos="2768"/>
        <w:tab w:val="center" w:pos="4156"/>
      </w:tabs>
      <w:jc w:val="center"/>
      <w:rPr>
        <w:b/>
        <w:color w:val="FF0000"/>
        <w:sz w:val="22"/>
        <w:szCs w:val="22"/>
      </w:rPr>
    </w:pPr>
  </w:p>
  <w:p w14:paraId="686E1FB0" w14:textId="77777777" w:rsidR="00BB14CA" w:rsidRPr="00482C01" w:rsidRDefault="00BB14CA" w:rsidP="00670FFB">
    <w:pPr>
      <w:pStyle w:val="Header"/>
      <w:tabs>
        <w:tab w:val="left" w:pos="2768"/>
        <w:tab w:val="center" w:pos="4156"/>
      </w:tabs>
      <w:rPr>
        <w:b/>
        <w:color w:val="FF0000"/>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9FAAAE88"/>
    <w:lvl w:ilvl="0">
      <w:start w:val="1"/>
      <w:numFmt w:val="decimal"/>
      <w:pStyle w:val="ListNumber"/>
      <w:lvlText w:val="%1."/>
      <w:lvlJc w:val="left"/>
      <w:pPr>
        <w:tabs>
          <w:tab w:val="num" w:pos="360"/>
        </w:tabs>
        <w:ind w:left="360" w:hanging="360"/>
      </w:pPr>
    </w:lvl>
  </w:abstractNum>
  <w:abstractNum w:abstractNumId="1"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 w15:restartNumberingAfterBreak="0">
    <w:nsid w:val="11B15797"/>
    <w:multiLevelType w:val="hybridMultilevel"/>
    <w:tmpl w:val="C28C0936"/>
    <w:lvl w:ilvl="0" w:tplc="B574A9B6">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C32D2A"/>
    <w:multiLevelType w:val="multilevel"/>
    <w:tmpl w:val="AB7C2810"/>
    <w:styleLink w:val="Tablebulletleft"/>
    <w:lvl w:ilvl="0">
      <w:start w:val="1"/>
      <w:numFmt w:val="bullet"/>
      <w:lvlText w:val=""/>
      <w:lvlJc w:val="left"/>
      <w:pPr>
        <w:ind w:left="360" w:hanging="360"/>
      </w:pPr>
      <w:rPr>
        <w:rFonts w:ascii="Symbol" w:hAnsi="Symbol"/>
        <w:sz w:val="22"/>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15017405"/>
    <w:multiLevelType w:val="multilevel"/>
    <w:tmpl w:val="599C3FC2"/>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6" w15:restartNumberingAfterBreak="0">
    <w:nsid w:val="18DD126E"/>
    <w:multiLevelType w:val="hybridMultilevel"/>
    <w:tmpl w:val="55BA164C"/>
    <w:lvl w:ilvl="0" w:tplc="C2D2877C">
      <w:start w:val="1"/>
      <w:numFmt w:val="lowerLetter"/>
      <w:pStyle w:val="Section4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DA9148B"/>
    <w:multiLevelType w:val="hybridMultilevel"/>
    <w:tmpl w:val="80EE8E0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 w15:restartNumberingAfterBreak="0">
    <w:nsid w:val="1E82154F"/>
    <w:multiLevelType w:val="hybridMultilevel"/>
    <w:tmpl w:val="7C58E3B2"/>
    <w:lvl w:ilvl="0" w:tplc="6B96DAE0">
      <w:start w:val="1"/>
      <w:numFmt w:val="decimal"/>
      <w:pStyle w:val="References"/>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E853F9"/>
    <w:multiLevelType w:val="hybridMultilevel"/>
    <w:tmpl w:val="D94A8EF0"/>
    <w:lvl w:ilvl="0" w:tplc="F47034B4">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7F707D"/>
    <w:multiLevelType w:val="hybridMultilevel"/>
    <w:tmpl w:val="B01CC2F0"/>
    <w:lvl w:ilvl="0" w:tplc="E2649A9E">
      <w:start w:val="1"/>
      <w:numFmt w:val="upperLetter"/>
      <w:pStyle w:val="Appendixlevel1"/>
      <w:lvlText w:val="%1"/>
      <w:lvlJc w:val="left"/>
      <w:pPr>
        <w:tabs>
          <w:tab w:val="num" w:pos="567"/>
        </w:tabs>
        <w:ind w:left="567" w:hanging="567"/>
      </w:pPr>
      <w:rPr>
        <w:rFonts w:ascii="Arial" w:hAnsi="Arial"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275056A0"/>
    <w:multiLevelType w:val="hybridMultilevel"/>
    <w:tmpl w:val="0B5C1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CC3584"/>
    <w:multiLevelType w:val="multilevel"/>
    <w:tmpl w:val="721069A2"/>
    <w:lvl w:ilvl="0">
      <w:start w:val="1"/>
      <w:numFmt w:val="decimal"/>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5" w15:restartNumberingAfterBreak="0">
    <w:nsid w:val="29FF49C7"/>
    <w:multiLevelType w:val="hybridMultilevel"/>
    <w:tmpl w:val="596867B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2C9057BE"/>
    <w:multiLevelType w:val="hybridMultilevel"/>
    <w:tmpl w:val="D00ACD5C"/>
    <w:lvl w:ilvl="0" w:tplc="20582D18">
      <w:start w:val="1"/>
      <w:numFmt w:val="lowerLetter"/>
      <w:pStyle w:val="Section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33FB63AD"/>
    <w:multiLevelType w:val="hybridMultilevel"/>
    <w:tmpl w:val="5120D2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343755D8"/>
    <w:multiLevelType w:val="multilevel"/>
    <w:tmpl w:val="8A3A3D5A"/>
    <w:styleLink w:val="Tablebullet"/>
    <w:lvl w:ilvl="0">
      <w:start w:val="1"/>
      <w:numFmt w:val="bullet"/>
      <w:lvlText w:val=""/>
      <w:lvlJc w:val="left"/>
      <w:pPr>
        <w:ind w:left="720" w:hanging="360"/>
      </w:pPr>
      <w:rPr>
        <w:rFonts w:ascii="Symbol" w:hAnsi="Symbol"/>
        <w:b/>
        <w:bCs/>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4526E2E"/>
    <w:multiLevelType w:val="hybridMultilevel"/>
    <w:tmpl w:val="5EB82B2A"/>
    <w:lvl w:ilvl="0" w:tplc="C824C56C">
      <w:start w:val="1"/>
      <w:numFmt w:val="lowerLetter"/>
      <w:pStyle w:val="Section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5A819B5"/>
    <w:multiLevelType w:val="hybridMultilevel"/>
    <w:tmpl w:val="0316A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7BD105E"/>
    <w:multiLevelType w:val="hybridMultilevel"/>
    <w:tmpl w:val="47001F08"/>
    <w:lvl w:ilvl="0" w:tplc="50AA0F7C">
      <w:start w:val="1"/>
      <w:numFmt w:val="lowerLetter"/>
      <w:pStyle w:val="Section411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3"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4" w15:restartNumberingAfterBreak="0">
    <w:nsid w:val="4ABD783C"/>
    <w:multiLevelType w:val="hybridMultilevel"/>
    <w:tmpl w:val="D62A8D68"/>
    <w:lvl w:ilvl="0" w:tplc="9B3CE8E0">
      <w:start w:val="1"/>
      <w:numFmt w:val="upperRoman"/>
      <w:pStyle w:val="Appendixlevel2"/>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515A3F96"/>
    <w:multiLevelType w:val="hybridMultilevel"/>
    <w:tmpl w:val="44A27922"/>
    <w:lvl w:ilvl="0" w:tplc="D87233D4">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587C435A"/>
    <w:multiLevelType w:val="multilevel"/>
    <w:tmpl w:val="F3D86946"/>
    <w:styleLink w:val="Tablebulletindented"/>
    <w:lvl w:ilvl="0">
      <w:start w:val="1"/>
      <w:numFmt w:val="bullet"/>
      <w:lvlText w:val=""/>
      <w:lvlJc w:val="left"/>
      <w:pPr>
        <w:ind w:left="720" w:hanging="36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88F36E6"/>
    <w:multiLevelType w:val="hybridMultilevel"/>
    <w:tmpl w:val="14320908"/>
    <w:lvl w:ilvl="0" w:tplc="4EEC47A6">
      <w:start w:val="1"/>
      <w:numFmt w:val="bullet"/>
      <w:pStyle w:val="Appendixbullet"/>
      <w:lvlText w:val=""/>
      <w:lvlJc w:val="left"/>
      <w:pPr>
        <w:tabs>
          <w:tab w:val="num" w:pos="1701"/>
        </w:tabs>
        <w:ind w:left="1701" w:hanging="567"/>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EB16514"/>
    <w:multiLevelType w:val="hybridMultilevel"/>
    <w:tmpl w:val="0D1C6444"/>
    <w:lvl w:ilvl="0" w:tplc="25CE9C96">
      <w:start w:val="1"/>
      <w:numFmt w:val="lowerLetter"/>
      <w:pStyle w:val="Section4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623D7CBE"/>
    <w:multiLevelType w:val="hybridMultilevel"/>
    <w:tmpl w:val="AC780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1" w15:restartNumberingAfterBreak="0">
    <w:nsid w:val="696F2189"/>
    <w:multiLevelType w:val="hybridMultilevel"/>
    <w:tmpl w:val="DD246504"/>
    <w:lvl w:ilvl="0" w:tplc="9418D3B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76A7121"/>
    <w:multiLevelType w:val="hybridMultilevel"/>
    <w:tmpl w:val="962EE6E8"/>
    <w:lvl w:ilvl="0" w:tplc="0616C230">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78238192">
    <w:abstractNumId w:val="31"/>
  </w:num>
  <w:num w:numId="2" w16cid:durableId="233853175">
    <w:abstractNumId w:val="11"/>
  </w:num>
  <w:num w:numId="3" w16cid:durableId="1529370562">
    <w:abstractNumId w:val="27"/>
  </w:num>
  <w:num w:numId="4" w16cid:durableId="657612754">
    <w:abstractNumId w:val="12"/>
  </w:num>
  <w:num w:numId="5" w16cid:durableId="1193808871">
    <w:abstractNumId w:val="24"/>
  </w:num>
  <w:num w:numId="6" w16cid:durableId="781268177">
    <w:abstractNumId w:val="1"/>
  </w:num>
  <w:num w:numId="7" w16cid:durableId="201872007">
    <w:abstractNumId w:val="10"/>
  </w:num>
  <w:num w:numId="8" w16cid:durableId="1295333019">
    <w:abstractNumId w:val="22"/>
  </w:num>
  <w:num w:numId="9" w16cid:durableId="513112173">
    <w:abstractNumId w:val="23"/>
  </w:num>
  <w:num w:numId="10" w16cid:durableId="2049523386">
    <w:abstractNumId w:val="5"/>
  </w:num>
  <w:num w:numId="11" w16cid:durableId="1370840847">
    <w:abstractNumId w:val="7"/>
  </w:num>
  <w:num w:numId="12" w16cid:durableId="1021859395">
    <w:abstractNumId w:val="2"/>
  </w:num>
  <w:num w:numId="13" w16cid:durableId="1167093030">
    <w:abstractNumId w:val="30"/>
  </w:num>
  <w:num w:numId="14" w16cid:durableId="1771392860">
    <w:abstractNumId w:val="14"/>
  </w:num>
  <w:num w:numId="15" w16cid:durableId="1260019971">
    <w:abstractNumId w:val="9"/>
  </w:num>
  <w:num w:numId="16" w16cid:durableId="546987736">
    <w:abstractNumId w:val="19"/>
  </w:num>
  <w:num w:numId="17" w16cid:durableId="2137412053">
    <w:abstractNumId w:val="16"/>
  </w:num>
  <w:num w:numId="18" w16cid:durableId="2039037637">
    <w:abstractNumId w:val="21"/>
  </w:num>
  <w:num w:numId="19" w16cid:durableId="1939945119">
    <w:abstractNumId w:val="25"/>
  </w:num>
  <w:num w:numId="20" w16cid:durableId="1057584041">
    <w:abstractNumId w:val="6"/>
  </w:num>
  <w:num w:numId="21" w16cid:durableId="1439716324">
    <w:abstractNumId w:val="28"/>
  </w:num>
  <w:num w:numId="22" w16cid:durableId="321355733">
    <w:abstractNumId w:val="0"/>
  </w:num>
  <w:num w:numId="23" w16cid:durableId="317730129">
    <w:abstractNumId w:val="4"/>
  </w:num>
  <w:num w:numId="24" w16cid:durableId="480850916">
    <w:abstractNumId w:val="26"/>
  </w:num>
  <w:num w:numId="25" w16cid:durableId="130027160">
    <w:abstractNumId w:val="18"/>
  </w:num>
  <w:num w:numId="26" w16cid:durableId="58794158">
    <w:abstractNumId w:val="17"/>
  </w:num>
  <w:num w:numId="27" w16cid:durableId="214454499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35674182">
    <w:abstractNumId w:val="8"/>
  </w:num>
  <w:num w:numId="29" w16cid:durableId="1249540939">
    <w:abstractNumId w:val="5"/>
  </w:num>
  <w:num w:numId="30" w16cid:durableId="1681851572">
    <w:abstractNumId w:val="13"/>
  </w:num>
  <w:num w:numId="31" w16cid:durableId="1344086205">
    <w:abstractNumId w:val="5"/>
  </w:num>
  <w:num w:numId="32" w16cid:durableId="1152327747">
    <w:abstractNumId w:val="5"/>
  </w:num>
  <w:num w:numId="33" w16cid:durableId="1533374662">
    <w:abstractNumId w:val="5"/>
  </w:num>
  <w:num w:numId="34" w16cid:durableId="827785448">
    <w:abstractNumId w:val="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55142198">
    <w:abstractNumId w:val="5"/>
  </w:num>
  <w:num w:numId="36" w16cid:durableId="1121265795">
    <w:abstractNumId w:val="5"/>
  </w:num>
  <w:num w:numId="37" w16cid:durableId="1261986610">
    <w:abstractNumId w:val="5"/>
  </w:num>
  <w:num w:numId="38" w16cid:durableId="413625216">
    <w:abstractNumId w:val="29"/>
  </w:num>
  <w:num w:numId="39" w16cid:durableId="1357119577">
    <w:abstractNumId w:val="20"/>
  </w:num>
  <w:num w:numId="40" w16cid:durableId="1472091102">
    <w:abstractNumId w:val="3"/>
  </w:num>
  <w:num w:numId="41" w16cid:durableId="100955039">
    <w:abstractNumId w:val="3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removePersonalInformation/>
  <w:removeDateAndTime/>
  <w:embedSystemFonts/>
  <w:proofState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160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FBE"/>
    <w:rsid w:val="00001DF1"/>
    <w:rsid w:val="00002AC5"/>
    <w:rsid w:val="00011FC6"/>
    <w:rsid w:val="0001222B"/>
    <w:rsid w:val="00015441"/>
    <w:rsid w:val="00016234"/>
    <w:rsid w:val="00017F45"/>
    <w:rsid w:val="000200AB"/>
    <w:rsid w:val="00020637"/>
    <w:rsid w:val="0002076F"/>
    <w:rsid w:val="0002231A"/>
    <w:rsid w:val="00023CA5"/>
    <w:rsid w:val="00024D0A"/>
    <w:rsid w:val="00025A5C"/>
    <w:rsid w:val="0002655B"/>
    <w:rsid w:val="00027B76"/>
    <w:rsid w:val="000300AE"/>
    <w:rsid w:val="00030385"/>
    <w:rsid w:val="0003213D"/>
    <w:rsid w:val="00035D96"/>
    <w:rsid w:val="00036EE4"/>
    <w:rsid w:val="00037552"/>
    <w:rsid w:val="000414CD"/>
    <w:rsid w:val="000453F8"/>
    <w:rsid w:val="00050710"/>
    <w:rsid w:val="000523A6"/>
    <w:rsid w:val="000524FA"/>
    <w:rsid w:val="00052A67"/>
    <w:rsid w:val="00052B85"/>
    <w:rsid w:val="00053145"/>
    <w:rsid w:val="00053AD4"/>
    <w:rsid w:val="00056FE9"/>
    <w:rsid w:val="00057A05"/>
    <w:rsid w:val="00060DA1"/>
    <w:rsid w:val="0006231E"/>
    <w:rsid w:val="00062405"/>
    <w:rsid w:val="00063213"/>
    <w:rsid w:val="00063B7C"/>
    <w:rsid w:val="00065B8F"/>
    <w:rsid w:val="000660D6"/>
    <w:rsid w:val="000661F4"/>
    <w:rsid w:val="000675B4"/>
    <w:rsid w:val="00070065"/>
    <w:rsid w:val="0007042D"/>
    <w:rsid w:val="000710A1"/>
    <w:rsid w:val="000769BB"/>
    <w:rsid w:val="00077062"/>
    <w:rsid w:val="00077DF9"/>
    <w:rsid w:val="00077EEC"/>
    <w:rsid w:val="0008047F"/>
    <w:rsid w:val="00081BFA"/>
    <w:rsid w:val="00081C69"/>
    <w:rsid w:val="000853CB"/>
    <w:rsid w:val="000910A7"/>
    <w:rsid w:val="00094BC2"/>
    <w:rsid w:val="00094C1B"/>
    <w:rsid w:val="000963D1"/>
    <w:rsid w:val="000A16C2"/>
    <w:rsid w:val="000A638C"/>
    <w:rsid w:val="000A7163"/>
    <w:rsid w:val="000B0B65"/>
    <w:rsid w:val="000B1301"/>
    <w:rsid w:val="000B1CBF"/>
    <w:rsid w:val="000B33BD"/>
    <w:rsid w:val="000B34B8"/>
    <w:rsid w:val="000B5939"/>
    <w:rsid w:val="000B5EBE"/>
    <w:rsid w:val="000C22B9"/>
    <w:rsid w:val="000C4D57"/>
    <w:rsid w:val="000C4EE8"/>
    <w:rsid w:val="000C7A5D"/>
    <w:rsid w:val="000D04B0"/>
    <w:rsid w:val="000D1487"/>
    <w:rsid w:val="000D3776"/>
    <w:rsid w:val="000E0E0D"/>
    <w:rsid w:val="000E4899"/>
    <w:rsid w:val="000E7E3C"/>
    <w:rsid w:val="000F3B49"/>
    <w:rsid w:val="000F6502"/>
    <w:rsid w:val="001043B0"/>
    <w:rsid w:val="00110A94"/>
    <w:rsid w:val="00110AD8"/>
    <w:rsid w:val="00112FAE"/>
    <w:rsid w:val="001131E2"/>
    <w:rsid w:val="001134E7"/>
    <w:rsid w:val="00121C0F"/>
    <w:rsid w:val="00124CBD"/>
    <w:rsid w:val="001252AE"/>
    <w:rsid w:val="00125557"/>
    <w:rsid w:val="001306F4"/>
    <w:rsid w:val="00130EC7"/>
    <w:rsid w:val="00134FDA"/>
    <w:rsid w:val="00135081"/>
    <w:rsid w:val="001352C4"/>
    <w:rsid w:val="00136466"/>
    <w:rsid w:val="001368F7"/>
    <w:rsid w:val="00140B46"/>
    <w:rsid w:val="001413FC"/>
    <w:rsid w:val="0014168A"/>
    <w:rsid w:val="0014546A"/>
    <w:rsid w:val="00145D3C"/>
    <w:rsid w:val="001503E8"/>
    <w:rsid w:val="00154516"/>
    <w:rsid w:val="00155A83"/>
    <w:rsid w:val="00156264"/>
    <w:rsid w:val="00156529"/>
    <w:rsid w:val="001579DA"/>
    <w:rsid w:val="00161EBC"/>
    <w:rsid w:val="00165770"/>
    <w:rsid w:val="00165B01"/>
    <w:rsid w:val="00166C1A"/>
    <w:rsid w:val="0017169E"/>
    <w:rsid w:val="0017396B"/>
    <w:rsid w:val="00175BE8"/>
    <w:rsid w:val="00175F5D"/>
    <w:rsid w:val="00177200"/>
    <w:rsid w:val="001779E5"/>
    <w:rsid w:val="00182263"/>
    <w:rsid w:val="0018281C"/>
    <w:rsid w:val="00185F6B"/>
    <w:rsid w:val="00187570"/>
    <w:rsid w:val="001906B2"/>
    <w:rsid w:val="00192188"/>
    <w:rsid w:val="00192685"/>
    <w:rsid w:val="00192B09"/>
    <w:rsid w:val="001936A7"/>
    <w:rsid w:val="00193D4B"/>
    <w:rsid w:val="00194E6C"/>
    <w:rsid w:val="00196653"/>
    <w:rsid w:val="00196E29"/>
    <w:rsid w:val="001976DA"/>
    <w:rsid w:val="00197C7F"/>
    <w:rsid w:val="001A056C"/>
    <w:rsid w:val="001A23E4"/>
    <w:rsid w:val="001A281B"/>
    <w:rsid w:val="001A3011"/>
    <w:rsid w:val="001A3CA6"/>
    <w:rsid w:val="001A48E7"/>
    <w:rsid w:val="001A73CD"/>
    <w:rsid w:val="001B06E1"/>
    <w:rsid w:val="001B1619"/>
    <w:rsid w:val="001B187B"/>
    <w:rsid w:val="001B3C11"/>
    <w:rsid w:val="001B3DA1"/>
    <w:rsid w:val="001B3FEC"/>
    <w:rsid w:val="001B5300"/>
    <w:rsid w:val="001B65B3"/>
    <w:rsid w:val="001B6878"/>
    <w:rsid w:val="001B6DC2"/>
    <w:rsid w:val="001C0AB8"/>
    <w:rsid w:val="001C187F"/>
    <w:rsid w:val="001C27F3"/>
    <w:rsid w:val="001C3567"/>
    <w:rsid w:val="001C360A"/>
    <w:rsid w:val="001C74F4"/>
    <w:rsid w:val="001D0D90"/>
    <w:rsid w:val="001D24D0"/>
    <w:rsid w:val="001D298F"/>
    <w:rsid w:val="001D3D36"/>
    <w:rsid w:val="001D6269"/>
    <w:rsid w:val="001D6DFD"/>
    <w:rsid w:val="001D6E16"/>
    <w:rsid w:val="001E08E9"/>
    <w:rsid w:val="001E0B63"/>
    <w:rsid w:val="001E0E8C"/>
    <w:rsid w:val="001E586B"/>
    <w:rsid w:val="001E6F20"/>
    <w:rsid w:val="001F1315"/>
    <w:rsid w:val="001F1D2D"/>
    <w:rsid w:val="001F3C47"/>
    <w:rsid w:val="001F6AB0"/>
    <w:rsid w:val="00201090"/>
    <w:rsid w:val="0020340C"/>
    <w:rsid w:val="00203B08"/>
    <w:rsid w:val="00204572"/>
    <w:rsid w:val="00205465"/>
    <w:rsid w:val="00205A28"/>
    <w:rsid w:val="00205FBE"/>
    <w:rsid w:val="00207174"/>
    <w:rsid w:val="00210375"/>
    <w:rsid w:val="002128D3"/>
    <w:rsid w:val="002132AF"/>
    <w:rsid w:val="00214828"/>
    <w:rsid w:val="00214A72"/>
    <w:rsid w:val="00215444"/>
    <w:rsid w:val="00215C91"/>
    <w:rsid w:val="00220661"/>
    <w:rsid w:val="002213B0"/>
    <w:rsid w:val="0022189B"/>
    <w:rsid w:val="002229AD"/>
    <w:rsid w:val="00224AEE"/>
    <w:rsid w:val="00225FF4"/>
    <w:rsid w:val="00230A13"/>
    <w:rsid w:val="002331C6"/>
    <w:rsid w:val="002338EB"/>
    <w:rsid w:val="00236B76"/>
    <w:rsid w:val="002408EA"/>
    <w:rsid w:val="00241410"/>
    <w:rsid w:val="002418C8"/>
    <w:rsid w:val="002549B2"/>
    <w:rsid w:val="002563DF"/>
    <w:rsid w:val="0026014A"/>
    <w:rsid w:val="0026108E"/>
    <w:rsid w:val="002614ED"/>
    <w:rsid w:val="00265142"/>
    <w:rsid w:val="00266AA6"/>
    <w:rsid w:val="00266B50"/>
    <w:rsid w:val="00270605"/>
    <w:rsid w:val="00271804"/>
    <w:rsid w:val="00271857"/>
    <w:rsid w:val="00276AC9"/>
    <w:rsid w:val="00277ED2"/>
    <w:rsid w:val="00280F8A"/>
    <w:rsid w:val="00286537"/>
    <w:rsid w:val="00286C3A"/>
    <w:rsid w:val="00287467"/>
    <w:rsid w:val="00291A5B"/>
    <w:rsid w:val="00292B2C"/>
    <w:rsid w:val="0029330E"/>
    <w:rsid w:val="00296E2E"/>
    <w:rsid w:val="002A5503"/>
    <w:rsid w:val="002A6812"/>
    <w:rsid w:val="002A7339"/>
    <w:rsid w:val="002A7A24"/>
    <w:rsid w:val="002B4762"/>
    <w:rsid w:val="002B565A"/>
    <w:rsid w:val="002B71D2"/>
    <w:rsid w:val="002C1326"/>
    <w:rsid w:val="002C1A7E"/>
    <w:rsid w:val="002C2893"/>
    <w:rsid w:val="002C292E"/>
    <w:rsid w:val="002C3718"/>
    <w:rsid w:val="002C4126"/>
    <w:rsid w:val="002C5955"/>
    <w:rsid w:val="002C5BFD"/>
    <w:rsid w:val="002C67A8"/>
    <w:rsid w:val="002C71B0"/>
    <w:rsid w:val="002C7316"/>
    <w:rsid w:val="002C73DF"/>
    <w:rsid w:val="002D028E"/>
    <w:rsid w:val="002D12BB"/>
    <w:rsid w:val="002D20E7"/>
    <w:rsid w:val="002D2C7E"/>
    <w:rsid w:val="002D2CC4"/>
    <w:rsid w:val="002D2D5C"/>
    <w:rsid w:val="002D2FD2"/>
    <w:rsid w:val="002D58EA"/>
    <w:rsid w:val="002D7242"/>
    <w:rsid w:val="002E13A4"/>
    <w:rsid w:val="002F13B0"/>
    <w:rsid w:val="002F2EEF"/>
    <w:rsid w:val="002F3E31"/>
    <w:rsid w:val="002F58D0"/>
    <w:rsid w:val="002F67D9"/>
    <w:rsid w:val="002F69F1"/>
    <w:rsid w:val="002F70E7"/>
    <w:rsid w:val="003015B5"/>
    <w:rsid w:val="0030244C"/>
    <w:rsid w:val="003030A7"/>
    <w:rsid w:val="00304581"/>
    <w:rsid w:val="003052E9"/>
    <w:rsid w:val="00310E3D"/>
    <w:rsid w:val="00311ED0"/>
    <w:rsid w:val="00311FE4"/>
    <w:rsid w:val="003132FA"/>
    <w:rsid w:val="00314933"/>
    <w:rsid w:val="0031497D"/>
    <w:rsid w:val="00316D48"/>
    <w:rsid w:val="00320EE5"/>
    <w:rsid w:val="003236DA"/>
    <w:rsid w:val="003244E5"/>
    <w:rsid w:val="00324C60"/>
    <w:rsid w:val="00326131"/>
    <w:rsid w:val="00326482"/>
    <w:rsid w:val="00330EED"/>
    <w:rsid w:val="00331B26"/>
    <w:rsid w:val="00332AEA"/>
    <w:rsid w:val="003351B7"/>
    <w:rsid w:val="0033631A"/>
    <w:rsid w:val="00336946"/>
    <w:rsid w:val="00340D15"/>
    <w:rsid w:val="00341BA8"/>
    <w:rsid w:val="00343A77"/>
    <w:rsid w:val="00344166"/>
    <w:rsid w:val="00346B57"/>
    <w:rsid w:val="00347EDE"/>
    <w:rsid w:val="00351FA4"/>
    <w:rsid w:val="00351FDE"/>
    <w:rsid w:val="003524BA"/>
    <w:rsid w:val="00352FD0"/>
    <w:rsid w:val="00354D09"/>
    <w:rsid w:val="00355BED"/>
    <w:rsid w:val="0035645A"/>
    <w:rsid w:val="00357C1E"/>
    <w:rsid w:val="003604C3"/>
    <w:rsid w:val="003605D5"/>
    <w:rsid w:val="00361432"/>
    <w:rsid w:val="00362EE3"/>
    <w:rsid w:val="00363276"/>
    <w:rsid w:val="00365698"/>
    <w:rsid w:val="00367685"/>
    <w:rsid w:val="00367A82"/>
    <w:rsid w:val="00370ACD"/>
    <w:rsid w:val="00371E29"/>
    <w:rsid w:val="003722FA"/>
    <w:rsid w:val="003731E6"/>
    <w:rsid w:val="00373EA4"/>
    <w:rsid w:val="00374EA0"/>
    <w:rsid w:val="00374EB6"/>
    <w:rsid w:val="00375AE7"/>
    <w:rsid w:val="00376C2A"/>
    <w:rsid w:val="00377277"/>
    <w:rsid w:val="00377304"/>
    <w:rsid w:val="00381BEA"/>
    <w:rsid w:val="00381FB7"/>
    <w:rsid w:val="00382495"/>
    <w:rsid w:val="00384141"/>
    <w:rsid w:val="003856AA"/>
    <w:rsid w:val="00386007"/>
    <w:rsid w:val="003861AC"/>
    <w:rsid w:val="003862A5"/>
    <w:rsid w:val="00390249"/>
    <w:rsid w:val="00391F56"/>
    <w:rsid w:val="003953C7"/>
    <w:rsid w:val="003A03DC"/>
    <w:rsid w:val="003A1975"/>
    <w:rsid w:val="003A1DE1"/>
    <w:rsid w:val="003A39A0"/>
    <w:rsid w:val="003A3E2A"/>
    <w:rsid w:val="003B0286"/>
    <w:rsid w:val="003B091A"/>
    <w:rsid w:val="003B1C33"/>
    <w:rsid w:val="003B254D"/>
    <w:rsid w:val="003B298F"/>
    <w:rsid w:val="003B69AA"/>
    <w:rsid w:val="003C3023"/>
    <w:rsid w:val="003C39D1"/>
    <w:rsid w:val="003C7AAF"/>
    <w:rsid w:val="003C7B7D"/>
    <w:rsid w:val="003D2D5E"/>
    <w:rsid w:val="003D497C"/>
    <w:rsid w:val="003D52EA"/>
    <w:rsid w:val="003D566D"/>
    <w:rsid w:val="003D58F7"/>
    <w:rsid w:val="003D5BF8"/>
    <w:rsid w:val="003D5D5A"/>
    <w:rsid w:val="003D6018"/>
    <w:rsid w:val="003E0602"/>
    <w:rsid w:val="003E0BD4"/>
    <w:rsid w:val="003E12B1"/>
    <w:rsid w:val="003E1787"/>
    <w:rsid w:val="003E22FC"/>
    <w:rsid w:val="003F0EB9"/>
    <w:rsid w:val="003F2EC0"/>
    <w:rsid w:val="003F40D1"/>
    <w:rsid w:val="003F42F7"/>
    <w:rsid w:val="003F4970"/>
    <w:rsid w:val="003F540E"/>
    <w:rsid w:val="003F694A"/>
    <w:rsid w:val="003F7CE6"/>
    <w:rsid w:val="003F7D78"/>
    <w:rsid w:val="00405B03"/>
    <w:rsid w:val="00405FDF"/>
    <w:rsid w:val="004068EA"/>
    <w:rsid w:val="004075B6"/>
    <w:rsid w:val="00407F14"/>
    <w:rsid w:val="00410E4D"/>
    <w:rsid w:val="00411C38"/>
    <w:rsid w:val="0041238E"/>
    <w:rsid w:val="004150FB"/>
    <w:rsid w:val="00420952"/>
    <w:rsid w:val="00422E2D"/>
    <w:rsid w:val="00423C0E"/>
    <w:rsid w:val="00423DB4"/>
    <w:rsid w:val="0042425C"/>
    <w:rsid w:val="004247FB"/>
    <w:rsid w:val="004271A0"/>
    <w:rsid w:val="0042742A"/>
    <w:rsid w:val="004306C0"/>
    <w:rsid w:val="00431F8B"/>
    <w:rsid w:val="00440CCA"/>
    <w:rsid w:val="00442D76"/>
    <w:rsid w:val="004440AF"/>
    <w:rsid w:val="00446BEE"/>
    <w:rsid w:val="00450E6D"/>
    <w:rsid w:val="004518F7"/>
    <w:rsid w:val="0045334C"/>
    <w:rsid w:val="004539A8"/>
    <w:rsid w:val="004539D9"/>
    <w:rsid w:val="00455B14"/>
    <w:rsid w:val="00456B1D"/>
    <w:rsid w:val="00461C01"/>
    <w:rsid w:val="00462AFA"/>
    <w:rsid w:val="0046325E"/>
    <w:rsid w:val="0046445C"/>
    <w:rsid w:val="0046709A"/>
    <w:rsid w:val="00472CEC"/>
    <w:rsid w:val="00474FE4"/>
    <w:rsid w:val="00475C7C"/>
    <w:rsid w:val="00475D8E"/>
    <w:rsid w:val="00476940"/>
    <w:rsid w:val="004771F3"/>
    <w:rsid w:val="0047731B"/>
    <w:rsid w:val="004824B6"/>
    <w:rsid w:val="00482C01"/>
    <w:rsid w:val="00483498"/>
    <w:rsid w:val="0048353B"/>
    <w:rsid w:val="00486953"/>
    <w:rsid w:val="004907E0"/>
    <w:rsid w:val="00491D22"/>
    <w:rsid w:val="0049285D"/>
    <w:rsid w:val="00492AC8"/>
    <w:rsid w:val="00492CB6"/>
    <w:rsid w:val="00496B1E"/>
    <w:rsid w:val="00497AD3"/>
    <w:rsid w:val="004A13E2"/>
    <w:rsid w:val="004A1FB6"/>
    <w:rsid w:val="004A237B"/>
    <w:rsid w:val="004A517E"/>
    <w:rsid w:val="004A664D"/>
    <w:rsid w:val="004B1325"/>
    <w:rsid w:val="004B4360"/>
    <w:rsid w:val="004B5F89"/>
    <w:rsid w:val="004B686A"/>
    <w:rsid w:val="004B688D"/>
    <w:rsid w:val="004B7792"/>
    <w:rsid w:val="004C101D"/>
    <w:rsid w:val="004C3670"/>
    <w:rsid w:val="004C3BFD"/>
    <w:rsid w:val="004C5C89"/>
    <w:rsid w:val="004D1267"/>
    <w:rsid w:val="004D26AD"/>
    <w:rsid w:val="004D2897"/>
    <w:rsid w:val="004D39E2"/>
    <w:rsid w:val="004D756F"/>
    <w:rsid w:val="004E0E78"/>
    <w:rsid w:val="004E4C4B"/>
    <w:rsid w:val="004E54B6"/>
    <w:rsid w:val="004F242D"/>
    <w:rsid w:val="004F3269"/>
    <w:rsid w:val="004F7D3A"/>
    <w:rsid w:val="005001FC"/>
    <w:rsid w:val="005019BF"/>
    <w:rsid w:val="005025A1"/>
    <w:rsid w:val="00502C4B"/>
    <w:rsid w:val="0050409D"/>
    <w:rsid w:val="00505407"/>
    <w:rsid w:val="00505DA4"/>
    <w:rsid w:val="00506302"/>
    <w:rsid w:val="00510FAD"/>
    <w:rsid w:val="00511471"/>
    <w:rsid w:val="00511887"/>
    <w:rsid w:val="005127C1"/>
    <w:rsid w:val="005138B7"/>
    <w:rsid w:val="005143BA"/>
    <w:rsid w:val="00523BB4"/>
    <w:rsid w:val="005243EC"/>
    <w:rsid w:val="005249CF"/>
    <w:rsid w:val="00525DD1"/>
    <w:rsid w:val="00527A29"/>
    <w:rsid w:val="005343E1"/>
    <w:rsid w:val="005353CB"/>
    <w:rsid w:val="00535CCD"/>
    <w:rsid w:val="00545970"/>
    <w:rsid w:val="00550783"/>
    <w:rsid w:val="005508EE"/>
    <w:rsid w:val="005536FB"/>
    <w:rsid w:val="00555CC8"/>
    <w:rsid w:val="00556B58"/>
    <w:rsid w:val="005577FA"/>
    <w:rsid w:val="0056425E"/>
    <w:rsid w:val="00565745"/>
    <w:rsid w:val="00566FFF"/>
    <w:rsid w:val="0056705D"/>
    <w:rsid w:val="00571370"/>
    <w:rsid w:val="00575207"/>
    <w:rsid w:val="00577C83"/>
    <w:rsid w:val="00580FF4"/>
    <w:rsid w:val="0058350A"/>
    <w:rsid w:val="00583913"/>
    <w:rsid w:val="005842A7"/>
    <w:rsid w:val="00584C95"/>
    <w:rsid w:val="00584CC9"/>
    <w:rsid w:val="00585C10"/>
    <w:rsid w:val="00585FCF"/>
    <w:rsid w:val="00586210"/>
    <w:rsid w:val="00586316"/>
    <w:rsid w:val="00590E29"/>
    <w:rsid w:val="005935C0"/>
    <w:rsid w:val="00596607"/>
    <w:rsid w:val="005A014D"/>
    <w:rsid w:val="005A188D"/>
    <w:rsid w:val="005A1A5C"/>
    <w:rsid w:val="005A4AD8"/>
    <w:rsid w:val="005A50D3"/>
    <w:rsid w:val="005A576F"/>
    <w:rsid w:val="005A64F3"/>
    <w:rsid w:val="005A6AB3"/>
    <w:rsid w:val="005B0095"/>
    <w:rsid w:val="005B5C8B"/>
    <w:rsid w:val="005B6D38"/>
    <w:rsid w:val="005B73E7"/>
    <w:rsid w:val="005C05E1"/>
    <w:rsid w:val="005C3893"/>
    <w:rsid w:val="005C425A"/>
    <w:rsid w:val="005C5E41"/>
    <w:rsid w:val="005C7DB5"/>
    <w:rsid w:val="005D15B9"/>
    <w:rsid w:val="005D1E0A"/>
    <w:rsid w:val="005D352A"/>
    <w:rsid w:val="005D48F9"/>
    <w:rsid w:val="005D4C95"/>
    <w:rsid w:val="005E0AC1"/>
    <w:rsid w:val="005E2508"/>
    <w:rsid w:val="005E437F"/>
    <w:rsid w:val="005E58ED"/>
    <w:rsid w:val="005E62A7"/>
    <w:rsid w:val="005E6B30"/>
    <w:rsid w:val="005F25FD"/>
    <w:rsid w:val="005F3989"/>
    <w:rsid w:val="005F3C5C"/>
    <w:rsid w:val="005F5AFD"/>
    <w:rsid w:val="005F6BB8"/>
    <w:rsid w:val="005F6E0D"/>
    <w:rsid w:val="005F6F0A"/>
    <w:rsid w:val="005F7681"/>
    <w:rsid w:val="00601291"/>
    <w:rsid w:val="0060351B"/>
    <w:rsid w:val="00606B99"/>
    <w:rsid w:val="00607959"/>
    <w:rsid w:val="0061221F"/>
    <w:rsid w:val="00614078"/>
    <w:rsid w:val="006150A0"/>
    <w:rsid w:val="00615768"/>
    <w:rsid w:val="00615D55"/>
    <w:rsid w:val="0062228B"/>
    <w:rsid w:val="00624430"/>
    <w:rsid w:val="00625AEE"/>
    <w:rsid w:val="00627687"/>
    <w:rsid w:val="006276D1"/>
    <w:rsid w:val="006279C2"/>
    <w:rsid w:val="00637F2A"/>
    <w:rsid w:val="00642C45"/>
    <w:rsid w:val="0064313B"/>
    <w:rsid w:val="0064319B"/>
    <w:rsid w:val="006434DF"/>
    <w:rsid w:val="0064604F"/>
    <w:rsid w:val="00651D20"/>
    <w:rsid w:val="006523CB"/>
    <w:rsid w:val="0065348A"/>
    <w:rsid w:val="006557A6"/>
    <w:rsid w:val="00657C65"/>
    <w:rsid w:val="006635D1"/>
    <w:rsid w:val="006639FD"/>
    <w:rsid w:val="00664F8F"/>
    <w:rsid w:val="00666A4E"/>
    <w:rsid w:val="00667C21"/>
    <w:rsid w:val="00667CFA"/>
    <w:rsid w:val="00670FFB"/>
    <w:rsid w:val="006775AB"/>
    <w:rsid w:val="006802CA"/>
    <w:rsid w:val="006814B9"/>
    <w:rsid w:val="00683039"/>
    <w:rsid w:val="0068417E"/>
    <w:rsid w:val="00684913"/>
    <w:rsid w:val="00684E13"/>
    <w:rsid w:val="00685588"/>
    <w:rsid w:val="006862FD"/>
    <w:rsid w:val="00686D56"/>
    <w:rsid w:val="006921E1"/>
    <w:rsid w:val="00692F13"/>
    <w:rsid w:val="006937D0"/>
    <w:rsid w:val="00693996"/>
    <w:rsid w:val="006948AC"/>
    <w:rsid w:val="00696325"/>
    <w:rsid w:val="006966FC"/>
    <w:rsid w:val="006A2C36"/>
    <w:rsid w:val="006A5E06"/>
    <w:rsid w:val="006B17FD"/>
    <w:rsid w:val="006B44E2"/>
    <w:rsid w:val="006C0C61"/>
    <w:rsid w:val="006C3D61"/>
    <w:rsid w:val="006D4325"/>
    <w:rsid w:val="006D55A6"/>
    <w:rsid w:val="006D6BD0"/>
    <w:rsid w:val="006E07FA"/>
    <w:rsid w:val="006E09CB"/>
    <w:rsid w:val="006E2124"/>
    <w:rsid w:val="006E23A2"/>
    <w:rsid w:val="006E303F"/>
    <w:rsid w:val="006E46C1"/>
    <w:rsid w:val="006E4E37"/>
    <w:rsid w:val="006E5D76"/>
    <w:rsid w:val="006F17D4"/>
    <w:rsid w:val="006F255A"/>
    <w:rsid w:val="006F2843"/>
    <w:rsid w:val="006F6463"/>
    <w:rsid w:val="0070542C"/>
    <w:rsid w:val="007067D1"/>
    <w:rsid w:val="00711931"/>
    <w:rsid w:val="00713287"/>
    <w:rsid w:val="007136A7"/>
    <w:rsid w:val="007139DD"/>
    <w:rsid w:val="007143AC"/>
    <w:rsid w:val="00716007"/>
    <w:rsid w:val="00716835"/>
    <w:rsid w:val="00716ACF"/>
    <w:rsid w:val="007210C5"/>
    <w:rsid w:val="00726FF0"/>
    <w:rsid w:val="00727230"/>
    <w:rsid w:val="00730AA4"/>
    <w:rsid w:val="0073113B"/>
    <w:rsid w:val="00732C44"/>
    <w:rsid w:val="00734CC7"/>
    <w:rsid w:val="00735337"/>
    <w:rsid w:val="00736348"/>
    <w:rsid w:val="00736448"/>
    <w:rsid w:val="00736D41"/>
    <w:rsid w:val="00736E0A"/>
    <w:rsid w:val="00737F84"/>
    <w:rsid w:val="00740203"/>
    <w:rsid w:val="007434C4"/>
    <w:rsid w:val="007469C6"/>
    <w:rsid w:val="00746C13"/>
    <w:rsid w:val="00747C1C"/>
    <w:rsid w:val="007522A0"/>
    <w:rsid w:val="00752F55"/>
    <w:rsid w:val="007573F4"/>
    <w:rsid w:val="007574DD"/>
    <w:rsid w:val="00760E09"/>
    <w:rsid w:val="00762D25"/>
    <w:rsid w:val="00762FFF"/>
    <w:rsid w:val="00763FE4"/>
    <w:rsid w:val="007646C3"/>
    <w:rsid w:val="007647C1"/>
    <w:rsid w:val="0076595B"/>
    <w:rsid w:val="007662E4"/>
    <w:rsid w:val="0076743A"/>
    <w:rsid w:val="00770B9A"/>
    <w:rsid w:val="007718E7"/>
    <w:rsid w:val="00774422"/>
    <w:rsid w:val="0077603D"/>
    <w:rsid w:val="007813D2"/>
    <w:rsid w:val="007825BE"/>
    <w:rsid w:val="007831FB"/>
    <w:rsid w:val="007839C3"/>
    <w:rsid w:val="00783E53"/>
    <w:rsid w:val="00785266"/>
    <w:rsid w:val="00785616"/>
    <w:rsid w:val="007910D0"/>
    <w:rsid w:val="00791BB8"/>
    <w:rsid w:val="00792D69"/>
    <w:rsid w:val="007969DF"/>
    <w:rsid w:val="00796B64"/>
    <w:rsid w:val="0079772A"/>
    <w:rsid w:val="007977F2"/>
    <w:rsid w:val="007A37F3"/>
    <w:rsid w:val="007B1A6C"/>
    <w:rsid w:val="007B5378"/>
    <w:rsid w:val="007C1642"/>
    <w:rsid w:val="007C33F3"/>
    <w:rsid w:val="007C4561"/>
    <w:rsid w:val="007C4814"/>
    <w:rsid w:val="007C516A"/>
    <w:rsid w:val="007C6CFD"/>
    <w:rsid w:val="007D28D7"/>
    <w:rsid w:val="007D31FD"/>
    <w:rsid w:val="007E1B11"/>
    <w:rsid w:val="007E2014"/>
    <w:rsid w:val="007E21F8"/>
    <w:rsid w:val="007E2696"/>
    <w:rsid w:val="007E3374"/>
    <w:rsid w:val="007E4F40"/>
    <w:rsid w:val="007E6A87"/>
    <w:rsid w:val="007E78BD"/>
    <w:rsid w:val="007F14A6"/>
    <w:rsid w:val="007F71A5"/>
    <w:rsid w:val="007F744E"/>
    <w:rsid w:val="007F7F72"/>
    <w:rsid w:val="008010D5"/>
    <w:rsid w:val="0080217C"/>
    <w:rsid w:val="00802828"/>
    <w:rsid w:val="0080288C"/>
    <w:rsid w:val="0080417F"/>
    <w:rsid w:val="00804466"/>
    <w:rsid w:val="00806468"/>
    <w:rsid w:val="00806DBE"/>
    <w:rsid w:val="00807FF1"/>
    <w:rsid w:val="008100D4"/>
    <w:rsid w:val="00810C89"/>
    <w:rsid w:val="008137AD"/>
    <w:rsid w:val="008138B2"/>
    <w:rsid w:val="00813C4A"/>
    <w:rsid w:val="00815862"/>
    <w:rsid w:val="00817C3D"/>
    <w:rsid w:val="00820118"/>
    <w:rsid w:val="00822301"/>
    <w:rsid w:val="00822F81"/>
    <w:rsid w:val="00826926"/>
    <w:rsid w:val="008274B0"/>
    <w:rsid w:val="0082752E"/>
    <w:rsid w:val="008318F6"/>
    <w:rsid w:val="0083313E"/>
    <w:rsid w:val="008331BB"/>
    <w:rsid w:val="008338B5"/>
    <w:rsid w:val="00833D43"/>
    <w:rsid w:val="00840FF7"/>
    <w:rsid w:val="00841169"/>
    <w:rsid w:val="00844032"/>
    <w:rsid w:val="008443D8"/>
    <w:rsid w:val="008445E7"/>
    <w:rsid w:val="00847D3A"/>
    <w:rsid w:val="00855549"/>
    <w:rsid w:val="0086032D"/>
    <w:rsid w:val="008615A1"/>
    <w:rsid w:val="00861B3D"/>
    <w:rsid w:val="00862879"/>
    <w:rsid w:val="00865C6A"/>
    <w:rsid w:val="00865CE7"/>
    <w:rsid w:val="0086701C"/>
    <w:rsid w:val="00867262"/>
    <w:rsid w:val="00870BDD"/>
    <w:rsid w:val="008717F1"/>
    <w:rsid w:val="00876D05"/>
    <w:rsid w:val="00876F5C"/>
    <w:rsid w:val="00880ED3"/>
    <w:rsid w:val="00883721"/>
    <w:rsid w:val="00890137"/>
    <w:rsid w:val="008904D0"/>
    <w:rsid w:val="008924E3"/>
    <w:rsid w:val="0089270D"/>
    <w:rsid w:val="008A1DAE"/>
    <w:rsid w:val="008A247E"/>
    <w:rsid w:val="008A2C2A"/>
    <w:rsid w:val="008A35A2"/>
    <w:rsid w:val="008A3D62"/>
    <w:rsid w:val="008A6605"/>
    <w:rsid w:val="008A6A0C"/>
    <w:rsid w:val="008B183A"/>
    <w:rsid w:val="008B4B98"/>
    <w:rsid w:val="008C183F"/>
    <w:rsid w:val="008C1C95"/>
    <w:rsid w:val="008C3D9F"/>
    <w:rsid w:val="008C4122"/>
    <w:rsid w:val="008C669E"/>
    <w:rsid w:val="008D2A77"/>
    <w:rsid w:val="008D2EC9"/>
    <w:rsid w:val="008D62F8"/>
    <w:rsid w:val="008D652E"/>
    <w:rsid w:val="008D6A3E"/>
    <w:rsid w:val="008E1B3C"/>
    <w:rsid w:val="008E4419"/>
    <w:rsid w:val="008E56A4"/>
    <w:rsid w:val="008E5BA8"/>
    <w:rsid w:val="008E664D"/>
    <w:rsid w:val="008E6FCA"/>
    <w:rsid w:val="008F2FAE"/>
    <w:rsid w:val="008F4B70"/>
    <w:rsid w:val="008F4E22"/>
    <w:rsid w:val="008F4ED3"/>
    <w:rsid w:val="008F61C4"/>
    <w:rsid w:val="009019A9"/>
    <w:rsid w:val="00904368"/>
    <w:rsid w:val="00904953"/>
    <w:rsid w:val="009052F5"/>
    <w:rsid w:val="00905991"/>
    <w:rsid w:val="009072F7"/>
    <w:rsid w:val="00907BFE"/>
    <w:rsid w:val="00907C13"/>
    <w:rsid w:val="00907DF5"/>
    <w:rsid w:val="00910C1F"/>
    <w:rsid w:val="00911263"/>
    <w:rsid w:val="0091321D"/>
    <w:rsid w:val="0091391C"/>
    <w:rsid w:val="00913E52"/>
    <w:rsid w:val="00916CED"/>
    <w:rsid w:val="00917909"/>
    <w:rsid w:val="00917D07"/>
    <w:rsid w:val="0092122F"/>
    <w:rsid w:val="009225D9"/>
    <w:rsid w:val="0092393F"/>
    <w:rsid w:val="0092431B"/>
    <w:rsid w:val="00925060"/>
    <w:rsid w:val="00925F15"/>
    <w:rsid w:val="0092757A"/>
    <w:rsid w:val="00930715"/>
    <w:rsid w:val="0093101C"/>
    <w:rsid w:val="0093543E"/>
    <w:rsid w:val="00937E8B"/>
    <w:rsid w:val="009460E7"/>
    <w:rsid w:val="00947483"/>
    <w:rsid w:val="00947FDB"/>
    <w:rsid w:val="00952219"/>
    <w:rsid w:val="009539B0"/>
    <w:rsid w:val="009543A4"/>
    <w:rsid w:val="00955F17"/>
    <w:rsid w:val="009562D0"/>
    <w:rsid w:val="00957124"/>
    <w:rsid w:val="00960B9B"/>
    <w:rsid w:val="00960CC3"/>
    <w:rsid w:val="0096180D"/>
    <w:rsid w:val="00961E3B"/>
    <w:rsid w:val="00962360"/>
    <w:rsid w:val="009669AD"/>
    <w:rsid w:val="00966EB0"/>
    <w:rsid w:val="00970115"/>
    <w:rsid w:val="00972945"/>
    <w:rsid w:val="00973C64"/>
    <w:rsid w:val="00973E3F"/>
    <w:rsid w:val="00974384"/>
    <w:rsid w:val="00974D81"/>
    <w:rsid w:val="00976903"/>
    <w:rsid w:val="00977F9C"/>
    <w:rsid w:val="00983AF5"/>
    <w:rsid w:val="00983B07"/>
    <w:rsid w:val="00986AA9"/>
    <w:rsid w:val="00987296"/>
    <w:rsid w:val="00987B83"/>
    <w:rsid w:val="00987E66"/>
    <w:rsid w:val="00990173"/>
    <w:rsid w:val="00992244"/>
    <w:rsid w:val="00993567"/>
    <w:rsid w:val="00994CE5"/>
    <w:rsid w:val="00995A38"/>
    <w:rsid w:val="009965E1"/>
    <w:rsid w:val="009A23F7"/>
    <w:rsid w:val="009A2B2A"/>
    <w:rsid w:val="009A38DA"/>
    <w:rsid w:val="009A3F7F"/>
    <w:rsid w:val="009A4775"/>
    <w:rsid w:val="009A75C4"/>
    <w:rsid w:val="009B0897"/>
    <w:rsid w:val="009B0E59"/>
    <w:rsid w:val="009B276A"/>
    <w:rsid w:val="009B3223"/>
    <w:rsid w:val="009B3F8C"/>
    <w:rsid w:val="009B4063"/>
    <w:rsid w:val="009B52E5"/>
    <w:rsid w:val="009B5C5F"/>
    <w:rsid w:val="009B6AF7"/>
    <w:rsid w:val="009C0968"/>
    <w:rsid w:val="009C1354"/>
    <w:rsid w:val="009C3C0C"/>
    <w:rsid w:val="009C3CDC"/>
    <w:rsid w:val="009C5ADA"/>
    <w:rsid w:val="009C6214"/>
    <w:rsid w:val="009C77BF"/>
    <w:rsid w:val="009D02ED"/>
    <w:rsid w:val="009D1D56"/>
    <w:rsid w:val="009D1EB8"/>
    <w:rsid w:val="009D49AA"/>
    <w:rsid w:val="009D4FBB"/>
    <w:rsid w:val="009D7602"/>
    <w:rsid w:val="009E3151"/>
    <w:rsid w:val="009E680B"/>
    <w:rsid w:val="009F1902"/>
    <w:rsid w:val="009F2F37"/>
    <w:rsid w:val="009F4086"/>
    <w:rsid w:val="009F4F44"/>
    <w:rsid w:val="009F7239"/>
    <w:rsid w:val="00A0249B"/>
    <w:rsid w:val="00A0479E"/>
    <w:rsid w:val="00A05C88"/>
    <w:rsid w:val="00A07644"/>
    <w:rsid w:val="00A11761"/>
    <w:rsid w:val="00A11ECD"/>
    <w:rsid w:val="00A12BE0"/>
    <w:rsid w:val="00A137EF"/>
    <w:rsid w:val="00A144F8"/>
    <w:rsid w:val="00A1592C"/>
    <w:rsid w:val="00A15A1F"/>
    <w:rsid w:val="00A16F4B"/>
    <w:rsid w:val="00A17B57"/>
    <w:rsid w:val="00A240EE"/>
    <w:rsid w:val="00A25B7F"/>
    <w:rsid w:val="00A264CE"/>
    <w:rsid w:val="00A3050E"/>
    <w:rsid w:val="00A305B3"/>
    <w:rsid w:val="00A32C40"/>
    <w:rsid w:val="00A3325A"/>
    <w:rsid w:val="00A4094A"/>
    <w:rsid w:val="00A426BE"/>
    <w:rsid w:val="00A47852"/>
    <w:rsid w:val="00A526EF"/>
    <w:rsid w:val="00A53E97"/>
    <w:rsid w:val="00A54F81"/>
    <w:rsid w:val="00A60794"/>
    <w:rsid w:val="00A611CE"/>
    <w:rsid w:val="00A614C6"/>
    <w:rsid w:val="00A7018B"/>
    <w:rsid w:val="00A70A7A"/>
    <w:rsid w:val="00A71410"/>
    <w:rsid w:val="00A74AE2"/>
    <w:rsid w:val="00A756BB"/>
    <w:rsid w:val="00A77B63"/>
    <w:rsid w:val="00A80975"/>
    <w:rsid w:val="00A80F87"/>
    <w:rsid w:val="00A8249A"/>
    <w:rsid w:val="00A85968"/>
    <w:rsid w:val="00A866E2"/>
    <w:rsid w:val="00A879B5"/>
    <w:rsid w:val="00A90FB2"/>
    <w:rsid w:val="00A922F5"/>
    <w:rsid w:val="00A9270F"/>
    <w:rsid w:val="00A96317"/>
    <w:rsid w:val="00A9690E"/>
    <w:rsid w:val="00A9779D"/>
    <w:rsid w:val="00AA276F"/>
    <w:rsid w:val="00AA32D3"/>
    <w:rsid w:val="00AA4327"/>
    <w:rsid w:val="00AA5CBC"/>
    <w:rsid w:val="00AA74EB"/>
    <w:rsid w:val="00AA7A0F"/>
    <w:rsid w:val="00AB09A9"/>
    <w:rsid w:val="00AB1BBA"/>
    <w:rsid w:val="00AB3D08"/>
    <w:rsid w:val="00AB487A"/>
    <w:rsid w:val="00AB5614"/>
    <w:rsid w:val="00AB6032"/>
    <w:rsid w:val="00AB744E"/>
    <w:rsid w:val="00AC2019"/>
    <w:rsid w:val="00AC2382"/>
    <w:rsid w:val="00AC63A6"/>
    <w:rsid w:val="00AC7C93"/>
    <w:rsid w:val="00AD09F8"/>
    <w:rsid w:val="00AD23FF"/>
    <w:rsid w:val="00AD3BCE"/>
    <w:rsid w:val="00AD56B1"/>
    <w:rsid w:val="00AD7CB3"/>
    <w:rsid w:val="00AE0661"/>
    <w:rsid w:val="00AE22A6"/>
    <w:rsid w:val="00AE249A"/>
    <w:rsid w:val="00AE38DB"/>
    <w:rsid w:val="00AE495F"/>
    <w:rsid w:val="00AE537D"/>
    <w:rsid w:val="00AE5576"/>
    <w:rsid w:val="00AE5854"/>
    <w:rsid w:val="00AE76CB"/>
    <w:rsid w:val="00AF108A"/>
    <w:rsid w:val="00AF10F5"/>
    <w:rsid w:val="00AF1393"/>
    <w:rsid w:val="00AF27B4"/>
    <w:rsid w:val="00AF5D31"/>
    <w:rsid w:val="00AF6DD8"/>
    <w:rsid w:val="00B007C1"/>
    <w:rsid w:val="00B01831"/>
    <w:rsid w:val="00B0269C"/>
    <w:rsid w:val="00B02E55"/>
    <w:rsid w:val="00B03527"/>
    <w:rsid w:val="00B0389A"/>
    <w:rsid w:val="00B0538C"/>
    <w:rsid w:val="00B06D4E"/>
    <w:rsid w:val="00B11A62"/>
    <w:rsid w:val="00B14C5C"/>
    <w:rsid w:val="00B14C68"/>
    <w:rsid w:val="00B14DDE"/>
    <w:rsid w:val="00B157D0"/>
    <w:rsid w:val="00B15EF3"/>
    <w:rsid w:val="00B17751"/>
    <w:rsid w:val="00B17DE0"/>
    <w:rsid w:val="00B22A36"/>
    <w:rsid w:val="00B265EB"/>
    <w:rsid w:val="00B27031"/>
    <w:rsid w:val="00B307EC"/>
    <w:rsid w:val="00B32429"/>
    <w:rsid w:val="00B341DA"/>
    <w:rsid w:val="00B44CE2"/>
    <w:rsid w:val="00B453BB"/>
    <w:rsid w:val="00B50B39"/>
    <w:rsid w:val="00B53A23"/>
    <w:rsid w:val="00B54BE5"/>
    <w:rsid w:val="00B55D4E"/>
    <w:rsid w:val="00B570F4"/>
    <w:rsid w:val="00B57BE4"/>
    <w:rsid w:val="00B67460"/>
    <w:rsid w:val="00B67A85"/>
    <w:rsid w:val="00B70575"/>
    <w:rsid w:val="00B70FFB"/>
    <w:rsid w:val="00B712E5"/>
    <w:rsid w:val="00B72513"/>
    <w:rsid w:val="00B73B73"/>
    <w:rsid w:val="00B7487C"/>
    <w:rsid w:val="00B77084"/>
    <w:rsid w:val="00B80DC7"/>
    <w:rsid w:val="00B8205D"/>
    <w:rsid w:val="00B8239B"/>
    <w:rsid w:val="00B8344E"/>
    <w:rsid w:val="00B847E6"/>
    <w:rsid w:val="00B854AD"/>
    <w:rsid w:val="00B86D83"/>
    <w:rsid w:val="00B87486"/>
    <w:rsid w:val="00B909E1"/>
    <w:rsid w:val="00B91264"/>
    <w:rsid w:val="00B94316"/>
    <w:rsid w:val="00B956ED"/>
    <w:rsid w:val="00B95E5A"/>
    <w:rsid w:val="00B96E71"/>
    <w:rsid w:val="00B97C95"/>
    <w:rsid w:val="00BA02F9"/>
    <w:rsid w:val="00BA164A"/>
    <w:rsid w:val="00BA31F9"/>
    <w:rsid w:val="00BA3317"/>
    <w:rsid w:val="00BA3FDA"/>
    <w:rsid w:val="00BA4313"/>
    <w:rsid w:val="00BA4784"/>
    <w:rsid w:val="00BA49EA"/>
    <w:rsid w:val="00BA4F42"/>
    <w:rsid w:val="00BA513C"/>
    <w:rsid w:val="00BA570A"/>
    <w:rsid w:val="00BA714E"/>
    <w:rsid w:val="00BA7AA3"/>
    <w:rsid w:val="00BB14CA"/>
    <w:rsid w:val="00BB4FE5"/>
    <w:rsid w:val="00BB544C"/>
    <w:rsid w:val="00BB6334"/>
    <w:rsid w:val="00BB6352"/>
    <w:rsid w:val="00BB716A"/>
    <w:rsid w:val="00BC0422"/>
    <w:rsid w:val="00BC0BE8"/>
    <w:rsid w:val="00BC2765"/>
    <w:rsid w:val="00BC3D2A"/>
    <w:rsid w:val="00BC402A"/>
    <w:rsid w:val="00BC4575"/>
    <w:rsid w:val="00BC4CA0"/>
    <w:rsid w:val="00BC67CC"/>
    <w:rsid w:val="00BC6FC8"/>
    <w:rsid w:val="00BC7ABB"/>
    <w:rsid w:val="00BD079D"/>
    <w:rsid w:val="00BD2A8E"/>
    <w:rsid w:val="00BD3051"/>
    <w:rsid w:val="00BD38BB"/>
    <w:rsid w:val="00BD4879"/>
    <w:rsid w:val="00BD50F7"/>
    <w:rsid w:val="00BD674E"/>
    <w:rsid w:val="00BE10A8"/>
    <w:rsid w:val="00BE2BC8"/>
    <w:rsid w:val="00BE387B"/>
    <w:rsid w:val="00BE5835"/>
    <w:rsid w:val="00BE5D71"/>
    <w:rsid w:val="00BE7D2D"/>
    <w:rsid w:val="00BF0116"/>
    <w:rsid w:val="00BF1474"/>
    <w:rsid w:val="00BF24FE"/>
    <w:rsid w:val="00BF28F7"/>
    <w:rsid w:val="00BF3B0A"/>
    <w:rsid w:val="00BF4B06"/>
    <w:rsid w:val="00BF54C1"/>
    <w:rsid w:val="00BF5BDB"/>
    <w:rsid w:val="00BF7FE0"/>
    <w:rsid w:val="00C0050E"/>
    <w:rsid w:val="00C026AC"/>
    <w:rsid w:val="00C0570D"/>
    <w:rsid w:val="00C130C8"/>
    <w:rsid w:val="00C13168"/>
    <w:rsid w:val="00C13F60"/>
    <w:rsid w:val="00C14404"/>
    <w:rsid w:val="00C17D6A"/>
    <w:rsid w:val="00C203C9"/>
    <w:rsid w:val="00C22E43"/>
    <w:rsid w:val="00C23238"/>
    <w:rsid w:val="00C235DF"/>
    <w:rsid w:val="00C2539E"/>
    <w:rsid w:val="00C278DE"/>
    <w:rsid w:val="00C2796B"/>
    <w:rsid w:val="00C3004B"/>
    <w:rsid w:val="00C31F4C"/>
    <w:rsid w:val="00C3209A"/>
    <w:rsid w:val="00C32ADC"/>
    <w:rsid w:val="00C35755"/>
    <w:rsid w:val="00C42E13"/>
    <w:rsid w:val="00C4427F"/>
    <w:rsid w:val="00C47DDE"/>
    <w:rsid w:val="00C50912"/>
    <w:rsid w:val="00C50FF0"/>
    <w:rsid w:val="00C56073"/>
    <w:rsid w:val="00C578C1"/>
    <w:rsid w:val="00C57E04"/>
    <w:rsid w:val="00C63347"/>
    <w:rsid w:val="00C64D23"/>
    <w:rsid w:val="00C67B74"/>
    <w:rsid w:val="00C7123A"/>
    <w:rsid w:val="00C7128F"/>
    <w:rsid w:val="00C71666"/>
    <w:rsid w:val="00C71A0B"/>
    <w:rsid w:val="00C7331B"/>
    <w:rsid w:val="00C74667"/>
    <w:rsid w:val="00C74D07"/>
    <w:rsid w:val="00C803FD"/>
    <w:rsid w:val="00C80EB4"/>
    <w:rsid w:val="00C8156F"/>
    <w:rsid w:val="00C86682"/>
    <w:rsid w:val="00C90846"/>
    <w:rsid w:val="00C92700"/>
    <w:rsid w:val="00C92E3F"/>
    <w:rsid w:val="00C94681"/>
    <w:rsid w:val="00CA129E"/>
    <w:rsid w:val="00CA16BA"/>
    <w:rsid w:val="00CA20B5"/>
    <w:rsid w:val="00CA3562"/>
    <w:rsid w:val="00CA371D"/>
    <w:rsid w:val="00CA6681"/>
    <w:rsid w:val="00CA77AE"/>
    <w:rsid w:val="00CB0A27"/>
    <w:rsid w:val="00CB2154"/>
    <w:rsid w:val="00CB35D9"/>
    <w:rsid w:val="00CB4A8A"/>
    <w:rsid w:val="00CB60DD"/>
    <w:rsid w:val="00CB6E1F"/>
    <w:rsid w:val="00CB7E4D"/>
    <w:rsid w:val="00CC04DE"/>
    <w:rsid w:val="00CC12E7"/>
    <w:rsid w:val="00CC3F84"/>
    <w:rsid w:val="00CC6E2D"/>
    <w:rsid w:val="00CD24A8"/>
    <w:rsid w:val="00CD315A"/>
    <w:rsid w:val="00CD319A"/>
    <w:rsid w:val="00CD5502"/>
    <w:rsid w:val="00CE0526"/>
    <w:rsid w:val="00CE1ED9"/>
    <w:rsid w:val="00CE2502"/>
    <w:rsid w:val="00CE3665"/>
    <w:rsid w:val="00CE4F42"/>
    <w:rsid w:val="00CE5520"/>
    <w:rsid w:val="00CF0B46"/>
    <w:rsid w:val="00CF0BB4"/>
    <w:rsid w:val="00CF1333"/>
    <w:rsid w:val="00CF1BB4"/>
    <w:rsid w:val="00CF2FF8"/>
    <w:rsid w:val="00CF3F6B"/>
    <w:rsid w:val="00CF4851"/>
    <w:rsid w:val="00CF58B7"/>
    <w:rsid w:val="00CF5DD6"/>
    <w:rsid w:val="00D0069F"/>
    <w:rsid w:val="00D007C0"/>
    <w:rsid w:val="00D05493"/>
    <w:rsid w:val="00D103E1"/>
    <w:rsid w:val="00D11C27"/>
    <w:rsid w:val="00D13EFE"/>
    <w:rsid w:val="00D148D5"/>
    <w:rsid w:val="00D16E6A"/>
    <w:rsid w:val="00D172EA"/>
    <w:rsid w:val="00D1792B"/>
    <w:rsid w:val="00D224A1"/>
    <w:rsid w:val="00D2279D"/>
    <w:rsid w:val="00D262BB"/>
    <w:rsid w:val="00D2772A"/>
    <w:rsid w:val="00D33FC2"/>
    <w:rsid w:val="00D349ED"/>
    <w:rsid w:val="00D351C1"/>
    <w:rsid w:val="00D35E64"/>
    <w:rsid w:val="00D36CA3"/>
    <w:rsid w:val="00D41537"/>
    <w:rsid w:val="00D4249C"/>
    <w:rsid w:val="00D428BC"/>
    <w:rsid w:val="00D44776"/>
    <w:rsid w:val="00D44CE7"/>
    <w:rsid w:val="00D45804"/>
    <w:rsid w:val="00D46BC7"/>
    <w:rsid w:val="00D47082"/>
    <w:rsid w:val="00D51245"/>
    <w:rsid w:val="00D532B8"/>
    <w:rsid w:val="00D54B6F"/>
    <w:rsid w:val="00D54E73"/>
    <w:rsid w:val="00D575A3"/>
    <w:rsid w:val="00D613A6"/>
    <w:rsid w:val="00D617A6"/>
    <w:rsid w:val="00D650EA"/>
    <w:rsid w:val="00D72C40"/>
    <w:rsid w:val="00D737C5"/>
    <w:rsid w:val="00D73835"/>
    <w:rsid w:val="00D76F5A"/>
    <w:rsid w:val="00D7722A"/>
    <w:rsid w:val="00D80B1B"/>
    <w:rsid w:val="00D82293"/>
    <w:rsid w:val="00D8405B"/>
    <w:rsid w:val="00D84E7D"/>
    <w:rsid w:val="00D86BF0"/>
    <w:rsid w:val="00D86DCB"/>
    <w:rsid w:val="00D91BA1"/>
    <w:rsid w:val="00D939B7"/>
    <w:rsid w:val="00D950D8"/>
    <w:rsid w:val="00D95477"/>
    <w:rsid w:val="00D959C3"/>
    <w:rsid w:val="00D961B8"/>
    <w:rsid w:val="00DA1511"/>
    <w:rsid w:val="00DA6FB8"/>
    <w:rsid w:val="00DA777A"/>
    <w:rsid w:val="00DB0188"/>
    <w:rsid w:val="00DB26A8"/>
    <w:rsid w:val="00DB3C58"/>
    <w:rsid w:val="00DB4F9F"/>
    <w:rsid w:val="00DB5728"/>
    <w:rsid w:val="00DB5AE0"/>
    <w:rsid w:val="00DB6161"/>
    <w:rsid w:val="00DB65B9"/>
    <w:rsid w:val="00DB70FB"/>
    <w:rsid w:val="00DC0CD5"/>
    <w:rsid w:val="00DC334D"/>
    <w:rsid w:val="00DC6AAD"/>
    <w:rsid w:val="00DE165D"/>
    <w:rsid w:val="00DE2FD7"/>
    <w:rsid w:val="00DE45A3"/>
    <w:rsid w:val="00DE466D"/>
    <w:rsid w:val="00DE5EE7"/>
    <w:rsid w:val="00DF1EC1"/>
    <w:rsid w:val="00DF343E"/>
    <w:rsid w:val="00DF67C3"/>
    <w:rsid w:val="00DF6CEB"/>
    <w:rsid w:val="00E0098A"/>
    <w:rsid w:val="00E009D9"/>
    <w:rsid w:val="00E03F71"/>
    <w:rsid w:val="00E045EE"/>
    <w:rsid w:val="00E06ED0"/>
    <w:rsid w:val="00E1082D"/>
    <w:rsid w:val="00E130CB"/>
    <w:rsid w:val="00E14934"/>
    <w:rsid w:val="00E172BE"/>
    <w:rsid w:val="00E2160E"/>
    <w:rsid w:val="00E24E02"/>
    <w:rsid w:val="00E25895"/>
    <w:rsid w:val="00E30CA9"/>
    <w:rsid w:val="00E344F4"/>
    <w:rsid w:val="00E346AE"/>
    <w:rsid w:val="00E34A54"/>
    <w:rsid w:val="00E405E1"/>
    <w:rsid w:val="00E408AB"/>
    <w:rsid w:val="00E41E68"/>
    <w:rsid w:val="00E43B2D"/>
    <w:rsid w:val="00E460A6"/>
    <w:rsid w:val="00E50CB6"/>
    <w:rsid w:val="00E51920"/>
    <w:rsid w:val="00E53A58"/>
    <w:rsid w:val="00E542FA"/>
    <w:rsid w:val="00E54D26"/>
    <w:rsid w:val="00E615FA"/>
    <w:rsid w:val="00E620CC"/>
    <w:rsid w:val="00E63ADD"/>
    <w:rsid w:val="00E64120"/>
    <w:rsid w:val="00E65FA3"/>
    <w:rsid w:val="00E678CB"/>
    <w:rsid w:val="00E67D1E"/>
    <w:rsid w:val="00E707FD"/>
    <w:rsid w:val="00E710D7"/>
    <w:rsid w:val="00E71348"/>
    <w:rsid w:val="00E71657"/>
    <w:rsid w:val="00E72EDE"/>
    <w:rsid w:val="00E745BB"/>
    <w:rsid w:val="00E8010A"/>
    <w:rsid w:val="00E8229C"/>
    <w:rsid w:val="00E82776"/>
    <w:rsid w:val="00E836E5"/>
    <w:rsid w:val="00E84601"/>
    <w:rsid w:val="00E85E09"/>
    <w:rsid w:val="00E8605D"/>
    <w:rsid w:val="00E92CE2"/>
    <w:rsid w:val="00E93CDD"/>
    <w:rsid w:val="00E949AC"/>
    <w:rsid w:val="00E977FB"/>
    <w:rsid w:val="00EA0944"/>
    <w:rsid w:val="00EA1325"/>
    <w:rsid w:val="00EA22D5"/>
    <w:rsid w:val="00EA241F"/>
    <w:rsid w:val="00EA2704"/>
    <w:rsid w:val="00EA4221"/>
    <w:rsid w:val="00EB0253"/>
    <w:rsid w:val="00EB2FE6"/>
    <w:rsid w:val="00EB3CD8"/>
    <w:rsid w:val="00EB6F5F"/>
    <w:rsid w:val="00ED07B2"/>
    <w:rsid w:val="00ED246E"/>
    <w:rsid w:val="00ED379C"/>
    <w:rsid w:val="00ED4D08"/>
    <w:rsid w:val="00ED5834"/>
    <w:rsid w:val="00ED6AAF"/>
    <w:rsid w:val="00EE065C"/>
    <w:rsid w:val="00EE3926"/>
    <w:rsid w:val="00EE5D34"/>
    <w:rsid w:val="00EE776F"/>
    <w:rsid w:val="00EF319C"/>
    <w:rsid w:val="00EF3258"/>
    <w:rsid w:val="00EF7C4A"/>
    <w:rsid w:val="00F00846"/>
    <w:rsid w:val="00F02496"/>
    <w:rsid w:val="00F027E4"/>
    <w:rsid w:val="00F055F1"/>
    <w:rsid w:val="00F05A46"/>
    <w:rsid w:val="00F100EB"/>
    <w:rsid w:val="00F146C7"/>
    <w:rsid w:val="00F15458"/>
    <w:rsid w:val="00F158C7"/>
    <w:rsid w:val="00F162F4"/>
    <w:rsid w:val="00F16C11"/>
    <w:rsid w:val="00F22278"/>
    <w:rsid w:val="00F25246"/>
    <w:rsid w:val="00F307D6"/>
    <w:rsid w:val="00F31A8E"/>
    <w:rsid w:val="00F32C2D"/>
    <w:rsid w:val="00F33A4C"/>
    <w:rsid w:val="00F34B87"/>
    <w:rsid w:val="00F358BF"/>
    <w:rsid w:val="00F35CB2"/>
    <w:rsid w:val="00F374CD"/>
    <w:rsid w:val="00F4046E"/>
    <w:rsid w:val="00F41E92"/>
    <w:rsid w:val="00F434FF"/>
    <w:rsid w:val="00F4425B"/>
    <w:rsid w:val="00F461FD"/>
    <w:rsid w:val="00F476F3"/>
    <w:rsid w:val="00F50AB9"/>
    <w:rsid w:val="00F51024"/>
    <w:rsid w:val="00F5122A"/>
    <w:rsid w:val="00F51940"/>
    <w:rsid w:val="00F51A84"/>
    <w:rsid w:val="00F523CD"/>
    <w:rsid w:val="00F53495"/>
    <w:rsid w:val="00F559F9"/>
    <w:rsid w:val="00F56168"/>
    <w:rsid w:val="00F561EE"/>
    <w:rsid w:val="00F63D66"/>
    <w:rsid w:val="00F64504"/>
    <w:rsid w:val="00F6458C"/>
    <w:rsid w:val="00F6478A"/>
    <w:rsid w:val="00F6661C"/>
    <w:rsid w:val="00F6682D"/>
    <w:rsid w:val="00F66907"/>
    <w:rsid w:val="00F701C7"/>
    <w:rsid w:val="00F7531F"/>
    <w:rsid w:val="00F762D8"/>
    <w:rsid w:val="00F7721E"/>
    <w:rsid w:val="00F77823"/>
    <w:rsid w:val="00F77F03"/>
    <w:rsid w:val="00F77FD4"/>
    <w:rsid w:val="00F81C15"/>
    <w:rsid w:val="00F82391"/>
    <w:rsid w:val="00F8333E"/>
    <w:rsid w:val="00F858CA"/>
    <w:rsid w:val="00F87E9D"/>
    <w:rsid w:val="00F9034E"/>
    <w:rsid w:val="00F916DC"/>
    <w:rsid w:val="00F94BD6"/>
    <w:rsid w:val="00F958CC"/>
    <w:rsid w:val="00FA464E"/>
    <w:rsid w:val="00FA60EE"/>
    <w:rsid w:val="00FB2379"/>
    <w:rsid w:val="00FB25E5"/>
    <w:rsid w:val="00FB307A"/>
    <w:rsid w:val="00FB3848"/>
    <w:rsid w:val="00FB5293"/>
    <w:rsid w:val="00FB5446"/>
    <w:rsid w:val="00FC0D46"/>
    <w:rsid w:val="00FC10ED"/>
    <w:rsid w:val="00FC1841"/>
    <w:rsid w:val="00FC2D11"/>
    <w:rsid w:val="00FC373B"/>
    <w:rsid w:val="00FC6230"/>
    <w:rsid w:val="00FD0268"/>
    <w:rsid w:val="00FD05BA"/>
    <w:rsid w:val="00FD0638"/>
    <w:rsid w:val="00FD2A0A"/>
    <w:rsid w:val="00FD3934"/>
    <w:rsid w:val="00FD40F7"/>
    <w:rsid w:val="00FD5913"/>
    <w:rsid w:val="00FE0558"/>
    <w:rsid w:val="00FE0BF6"/>
    <w:rsid w:val="00FE11E8"/>
    <w:rsid w:val="00FE29B5"/>
    <w:rsid w:val="00FE32EB"/>
    <w:rsid w:val="00FE3AFF"/>
    <w:rsid w:val="00FE7F98"/>
    <w:rsid w:val="00FF065B"/>
    <w:rsid w:val="00FF23E1"/>
    <w:rsid w:val="00FF49E7"/>
    <w:rsid w:val="00FF61E7"/>
    <w:rsid w:val="00FF6E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0769"/>
    <o:shapelayout v:ext="edit">
      <o:idmap v:ext="edit" data="1"/>
    </o:shapelayout>
  </w:shapeDefaults>
  <w:decimalSymbol w:val="."/>
  <w:listSeparator w:val=","/>
  <w14:docId w14:val="0327B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iPriority="22" w:qFormat="1"/>
    <w:lsdException w:name="Emphasis" w:semiHidden="1"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338EB"/>
    <w:rPr>
      <w:sz w:val="24"/>
      <w:szCs w:val="24"/>
      <w:lang w:eastAsia="en-US"/>
    </w:rPr>
  </w:style>
  <w:style w:type="paragraph" w:styleId="Heading1">
    <w:name w:val="heading 1"/>
    <w:basedOn w:val="Normal"/>
    <w:next w:val="Paragraph"/>
    <w:link w:val="Heading1Char"/>
    <w:uiPriority w:val="1"/>
    <w:qFormat/>
    <w:rsid w:val="00FC10ED"/>
    <w:pPr>
      <w:keepNext/>
      <w:spacing w:before="240" w:after="120"/>
      <w:outlineLvl w:val="0"/>
    </w:pPr>
    <w:rPr>
      <w:rFonts w:ascii="Arial" w:hAnsi="Arial"/>
      <w:b/>
      <w:bCs/>
      <w:kern w:val="32"/>
      <w:sz w:val="28"/>
      <w:szCs w:val="32"/>
    </w:rPr>
  </w:style>
  <w:style w:type="paragraph" w:styleId="Heading2">
    <w:name w:val="heading 2"/>
    <w:basedOn w:val="Normal"/>
    <w:next w:val="Paragraph"/>
    <w:link w:val="Heading2Char"/>
    <w:qFormat/>
    <w:rsid w:val="00A3325A"/>
    <w:pPr>
      <w:keepNext/>
      <w:spacing w:before="240" w:after="60"/>
      <w:outlineLvl w:val="1"/>
    </w:pPr>
    <w:rPr>
      <w:rFonts w:ascii="Arial" w:hAnsi="Arial"/>
      <w:b/>
      <w:bCs/>
      <w:i/>
      <w:iCs/>
      <w:sz w:val="28"/>
      <w:szCs w:val="28"/>
    </w:rPr>
  </w:style>
  <w:style w:type="paragraph" w:styleId="Heading3">
    <w:name w:val="heading 3"/>
    <w:basedOn w:val="Normal"/>
    <w:next w:val="Paragraph"/>
    <w:link w:val="Heading3Char"/>
    <w:qFormat/>
    <w:rsid w:val="00A3325A"/>
    <w:pPr>
      <w:keepNext/>
      <w:spacing w:before="240" w:after="60"/>
      <w:outlineLvl w:val="2"/>
    </w:pPr>
    <w:rPr>
      <w:rFonts w:ascii="Arial" w:hAnsi="Arial"/>
      <w:b/>
      <w:bCs/>
      <w:szCs w:val="26"/>
    </w:rPr>
  </w:style>
  <w:style w:type="paragraph" w:styleId="Heading4">
    <w:name w:val="heading 4"/>
    <w:basedOn w:val="Normal"/>
    <w:next w:val="Normal"/>
    <w:link w:val="Heading4Char"/>
    <w:qFormat/>
    <w:rsid w:val="00F858CA"/>
    <w:pPr>
      <w:keepNext/>
      <w:spacing w:before="240" w:after="60"/>
      <w:outlineLvl w:val="3"/>
    </w:pPr>
    <w:rPr>
      <w:rFonts w:ascii="Arial" w:hAnsi="Arial"/>
      <w:b/>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uiPriority w:val="4"/>
    <w:qFormat/>
    <w:rsid w:val="001A23E4"/>
    <w:pPr>
      <w:spacing w:before="240" w:after="240" w:line="276" w:lineRule="auto"/>
    </w:pPr>
    <w:rPr>
      <w:rFonts w:ascii="Arial" w:hAnsi="Arial"/>
    </w:rPr>
  </w:style>
  <w:style w:type="paragraph" w:styleId="Title">
    <w:name w:val="Title"/>
    <w:basedOn w:val="Normal"/>
    <w:next w:val="Heading1"/>
    <w:link w:val="TitleChar"/>
    <w:qFormat/>
    <w:rsid w:val="00FC10ED"/>
    <w:pPr>
      <w:spacing w:before="240" w:after="240"/>
      <w:jc w:val="center"/>
      <w:outlineLvl w:val="0"/>
    </w:pPr>
    <w:rPr>
      <w:rFonts w:ascii="Arial" w:hAnsi="Arial"/>
      <w:b/>
      <w:bCs/>
      <w:kern w:val="28"/>
      <w:sz w:val="32"/>
      <w:szCs w:val="32"/>
    </w:rPr>
  </w:style>
  <w:style w:type="character" w:customStyle="1" w:styleId="TitleChar">
    <w:name w:val="Title Char"/>
    <w:basedOn w:val="DefaultParagraphFont"/>
    <w:link w:val="Title"/>
    <w:rsid w:val="00FC10ED"/>
    <w:rPr>
      <w:rFonts w:ascii="Arial" w:hAnsi="Arial"/>
      <w:b/>
      <w:bCs/>
      <w:kern w:val="28"/>
      <w:sz w:val="32"/>
      <w:szCs w:val="32"/>
    </w:rPr>
  </w:style>
  <w:style w:type="character" w:customStyle="1" w:styleId="Heading1Char">
    <w:name w:val="Heading 1 Char"/>
    <w:basedOn w:val="DefaultParagraphFont"/>
    <w:link w:val="Heading1"/>
    <w:uiPriority w:val="1"/>
    <w:rsid w:val="00FC10ED"/>
    <w:rPr>
      <w:rFonts w:ascii="Arial" w:hAnsi="Arial"/>
      <w:b/>
      <w:bCs/>
      <w:kern w:val="32"/>
      <w:sz w:val="28"/>
      <w:szCs w:val="32"/>
    </w:rPr>
  </w:style>
  <w:style w:type="paragraph" w:customStyle="1" w:styleId="Bullets">
    <w:name w:val="Bullets"/>
    <w:basedOn w:val="Normal"/>
    <w:uiPriority w:val="5"/>
    <w:qFormat/>
    <w:rsid w:val="001A23E4"/>
    <w:pPr>
      <w:numPr>
        <w:numId w:val="1"/>
      </w:numPr>
      <w:spacing w:line="276" w:lineRule="auto"/>
    </w:pPr>
    <w:rPr>
      <w:rFonts w:ascii="Arial" w:hAnsi="Arial"/>
    </w:rPr>
  </w:style>
  <w:style w:type="paragraph" w:styleId="Header">
    <w:name w:val="header"/>
    <w:basedOn w:val="Normal"/>
    <w:link w:val="HeaderChar"/>
    <w:rsid w:val="0017169E"/>
    <w:pPr>
      <w:tabs>
        <w:tab w:val="center" w:pos="4513"/>
        <w:tab w:val="right" w:pos="9026"/>
      </w:tabs>
    </w:pPr>
    <w:rPr>
      <w:rFonts w:ascii="Arial" w:hAnsi="Arial"/>
    </w:rPr>
  </w:style>
  <w:style w:type="character" w:customStyle="1" w:styleId="HeaderChar">
    <w:name w:val="Header Char"/>
    <w:basedOn w:val="DefaultParagraphFont"/>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basedOn w:val="DefaultParagraphFont"/>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basedOn w:val="DefaultParagraphFont"/>
    <w:link w:val="BalloonText"/>
    <w:semiHidden/>
    <w:rsid w:val="00446BEE"/>
    <w:rPr>
      <w:rFonts w:ascii="Tahoma" w:hAnsi="Tahoma" w:cs="Tahoma"/>
      <w:sz w:val="16"/>
      <w:szCs w:val="16"/>
    </w:rPr>
  </w:style>
  <w:style w:type="character" w:customStyle="1" w:styleId="Heading2Char">
    <w:name w:val="Heading 2 Char"/>
    <w:basedOn w:val="DefaultParagraphFont"/>
    <w:link w:val="Heading2"/>
    <w:rsid w:val="006921E1"/>
    <w:rPr>
      <w:rFonts w:ascii="Arial" w:hAnsi="Arial"/>
      <w:b/>
      <w:bCs/>
      <w:i/>
      <w:iCs/>
      <w:sz w:val="28"/>
      <w:szCs w:val="28"/>
    </w:rPr>
  </w:style>
  <w:style w:type="character" w:customStyle="1" w:styleId="Heading3Char">
    <w:name w:val="Heading 3 Char"/>
    <w:basedOn w:val="DefaultParagraphFont"/>
    <w:link w:val="Heading3"/>
    <w:rsid w:val="006921E1"/>
    <w:rPr>
      <w:rFonts w:ascii="Arial" w:hAnsi="Arial"/>
      <w:b/>
      <w:bCs/>
      <w:sz w:val="24"/>
      <w:szCs w:val="26"/>
    </w:rPr>
  </w:style>
  <w:style w:type="paragraph" w:customStyle="1" w:styleId="Subbullets">
    <w:name w:val="Sub bullets"/>
    <w:basedOn w:val="Normal"/>
    <w:uiPriority w:val="6"/>
    <w:qFormat/>
    <w:rsid w:val="001A23E4"/>
    <w:pPr>
      <w:numPr>
        <w:numId w:val="2"/>
      </w:numPr>
      <w:spacing w:line="276" w:lineRule="auto"/>
      <w:ind w:left="1418" w:hanging="284"/>
    </w:pPr>
    <w:rPr>
      <w:rFonts w:ascii="Arial" w:hAnsi="Arial"/>
    </w:rPr>
  </w:style>
  <w:style w:type="paragraph" w:customStyle="1" w:styleId="Paragraphnonumbers">
    <w:name w:val="Paragraph no numbers"/>
    <w:basedOn w:val="Normal"/>
    <w:uiPriority w:val="99"/>
    <w:qFormat/>
    <w:rsid w:val="001A23E4"/>
    <w:pPr>
      <w:spacing w:before="240" w:after="240" w:line="276" w:lineRule="auto"/>
    </w:pPr>
    <w:rPr>
      <w:rFonts w:ascii="Arial" w:hAnsi="Arial"/>
    </w:rPr>
  </w:style>
  <w:style w:type="table" w:styleId="TableGrid">
    <w:name w:val="Table Grid"/>
    <w:basedOn w:val="TableNormal"/>
    <w:uiPriority w:val="39"/>
    <w:rsid w:val="003B1C3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ICEnormal">
    <w:name w:val="NICE normal"/>
    <w:link w:val="NICEnormalChar"/>
    <w:qFormat/>
    <w:rsid w:val="00381FB7"/>
    <w:pPr>
      <w:spacing w:after="240" w:line="360" w:lineRule="auto"/>
    </w:pPr>
    <w:rPr>
      <w:rFonts w:ascii="Arial" w:hAnsi="Arial"/>
      <w:sz w:val="24"/>
      <w:szCs w:val="24"/>
      <w:lang w:val="en-US" w:eastAsia="en-US"/>
    </w:rPr>
  </w:style>
  <w:style w:type="paragraph" w:styleId="TOAHeading">
    <w:name w:val="toa heading"/>
    <w:basedOn w:val="Normal"/>
    <w:next w:val="Normal"/>
    <w:semiHidden/>
    <w:rsid w:val="00F858CA"/>
    <w:pPr>
      <w:spacing w:before="120"/>
    </w:pPr>
    <w:rPr>
      <w:rFonts w:ascii="Arial" w:hAnsi="Arial"/>
      <w:b/>
      <w:bCs/>
    </w:rPr>
  </w:style>
  <w:style w:type="paragraph" w:styleId="TOC1">
    <w:name w:val="toc 1"/>
    <w:basedOn w:val="Normal"/>
    <w:next w:val="Normal"/>
    <w:autoRedefine/>
    <w:uiPriority w:val="39"/>
    <w:rsid w:val="00F858CA"/>
    <w:rPr>
      <w:rFonts w:ascii="Arial" w:hAnsi="Arial"/>
    </w:rPr>
  </w:style>
  <w:style w:type="paragraph" w:styleId="TOC2">
    <w:name w:val="toc 2"/>
    <w:basedOn w:val="Normal"/>
    <w:next w:val="Normal"/>
    <w:autoRedefine/>
    <w:semiHidden/>
    <w:rsid w:val="00F858CA"/>
    <w:pPr>
      <w:ind w:left="240"/>
    </w:pPr>
    <w:rPr>
      <w:rFonts w:ascii="Arial" w:hAnsi="Arial"/>
    </w:rPr>
  </w:style>
  <w:style w:type="paragraph" w:styleId="TOC3">
    <w:name w:val="toc 3"/>
    <w:basedOn w:val="Normal"/>
    <w:next w:val="Normal"/>
    <w:autoRedefine/>
    <w:uiPriority w:val="39"/>
    <w:rsid w:val="00F858CA"/>
    <w:pPr>
      <w:ind w:left="480"/>
    </w:pPr>
    <w:rPr>
      <w:rFonts w:ascii="Arial" w:hAnsi="Arial"/>
    </w:rPr>
  </w:style>
  <w:style w:type="paragraph" w:styleId="TOC4">
    <w:name w:val="toc 4"/>
    <w:basedOn w:val="Normal"/>
    <w:next w:val="Normal"/>
    <w:autoRedefine/>
    <w:semiHidden/>
    <w:rsid w:val="00F858CA"/>
    <w:pPr>
      <w:ind w:left="720"/>
    </w:pPr>
    <w:rPr>
      <w:rFonts w:ascii="Arial" w:hAnsi="Arial"/>
    </w:rPr>
  </w:style>
  <w:style w:type="character" w:customStyle="1" w:styleId="Heading4Char">
    <w:name w:val="Heading 4 Char"/>
    <w:basedOn w:val="DefaultParagraphFont"/>
    <w:link w:val="Heading4"/>
    <w:rsid w:val="00F858CA"/>
    <w:rPr>
      <w:rFonts w:ascii="Arial" w:eastAsia="Times New Roman" w:hAnsi="Arial" w:cs="Times New Roman"/>
      <w:b/>
      <w:bCs/>
      <w:i/>
      <w:sz w:val="24"/>
      <w:szCs w:val="28"/>
    </w:rPr>
  </w:style>
  <w:style w:type="character" w:customStyle="1" w:styleId="NICEnormalChar">
    <w:name w:val="NICE normal Char"/>
    <w:basedOn w:val="DefaultParagraphFont"/>
    <w:link w:val="NICEnormal"/>
    <w:rsid w:val="00381FB7"/>
    <w:rPr>
      <w:rFonts w:ascii="Arial" w:hAnsi="Arial"/>
      <w:sz w:val="24"/>
      <w:szCs w:val="24"/>
      <w:lang w:val="en-US" w:eastAsia="en-US" w:bidi="ar-SA"/>
    </w:rPr>
  </w:style>
  <w:style w:type="paragraph" w:customStyle="1" w:styleId="Title16pt">
    <w:name w:val="Title 16 pt"/>
    <w:basedOn w:val="Title"/>
    <w:rsid w:val="00381FB7"/>
    <w:pPr>
      <w:keepNext/>
    </w:pPr>
    <w:rPr>
      <w:rFonts w:cs="Arial"/>
    </w:rPr>
  </w:style>
  <w:style w:type="paragraph" w:customStyle="1" w:styleId="Appendixbullet">
    <w:name w:val="Appendix bullet"/>
    <w:basedOn w:val="NICEnormal"/>
    <w:rsid w:val="00381FB7"/>
    <w:pPr>
      <w:numPr>
        <w:numId w:val="3"/>
      </w:numPr>
      <w:tabs>
        <w:tab w:val="clear" w:pos="1701"/>
      </w:tabs>
      <w:spacing w:after="0" w:line="240" w:lineRule="auto"/>
      <w:ind w:left="851" w:hanging="851"/>
    </w:pPr>
  </w:style>
  <w:style w:type="paragraph" w:customStyle="1" w:styleId="Unnumberedboldheading">
    <w:name w:val="Unnumbered bold heading"/>
    <w:next w:val="NICEnormal"/>
    <w:link w:val="UnnumberedboldheadingChar"/>
    <w:rsid w:val="00205FBE"/>
    <w:pPr>
      <w:keepNext/>
      <w:widowControl w:val="0"/>
      <w:spacing w:after="120"/>
    </w:pPr>
    <w:rPr>
      <w:rFonts w:ascii="Arial" w:hAnsi="Arial"/>
      <w:b/>
      <w:sz w:val="24"/>
      <w:szCs w:val="24"/>
      <w:lang w:val="en-US" w:eastAsia="en-US"/>
    </w:rPr>
  </w:style>
  <w:style w:type="paragraph" w:customStyle="1" w:styleId="Introtext">
    <w:name w:val="Intro text"/>
    <w:basedOn w:val="NICEnormalsinglespacing"/>
    <w:rsid w:val="00205FBE"/>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rsid w:val="00205FBE"/>
    <w:pPr>
      <w:spacing w:line="360" w:lineRule="auto"/>
    </w:pPr>
    <w:rPr>
      <w:rFonts w:cs="Arial"/>
      <w:sz w:val="32"/>
      <w:szCs w:val="24"/>
    </w:rPr>
  </w:style>
  <w:style w:type="character" w:customStyle="1" w:styleId="Numberedheading1CharChar">
    <w:name w:val="Numbered heading 1 Char Char"/>
    <w:basedOn w:val="Heading1Char"/>
    <w:link w:val="Numberedheading1"/>
    <w:rsid w:val="00205FBE"/>
    <w:rPr>
      <w:rFonts w:ascii="Arial" w:hAnsi="Arial" w:cs="Arial"/>
      <w:b/>
      <w:bCs/>
      <w:kern w:val="32"/>
      <w:sz w:val="32"/>
      <w:szCs w:val="24"/>
      <w:lang w:eastAsia="en-US"/>
    </w:rPr>
  </w:style>
  <w:style w:type="paragraph" w:customStyle="1" w:styleId="Numberedheading2">
    <w:name w:val="Numbered heading 2"/>
    <w:basedOn w:val="Heading2"/>
    <w:next w:val="NICEnormal"/>
    <w:link w:val="Numberedheading2Char"/>
    <w:rsid w:val="00205FBE"/>
    <w:pPr>
      <w:numPr>
        <w:ilvl w:val="1"/>
        <w:numId w:val="14"/>
      </w:numPr>
      <w:spacing w:line="360" w:lineRule="auto"/>
    </w:pPr>
    <w:rPr>
      <w:rFonts w:cs="Arial"/>
    </w:rPr>
  </w:style>
  <w:style w:type="character" w:customStyle="1" w:styleId="Numberedheading2Char">
    <w:name w:val="Numbered heading 2 Char"/>
    <w:basedOn w:val="Heading2Char"/>
    <w:link w:val="Numberedheading2"/>
    <w:rsid w:val="00205FBE"/>
    <w:rPr>
      <w:rFonts w:ascii="Arial" w:hAnsi="Arial" w:cs="Arial"/>
      <w:b/>
      <w:bCs/>
      <w:i/>
      <w:iCs/>
      <w:sz w:val="28"/>
      <w:szCs w:val="28"/>
      <w:lang w:eastAsia="en-US"/>
    </w:rPr>
  </w:style>
  <w:style w:type="paragraph" w:customStyle="1" w:styleId="Numberedheading3">
    <w:name w:val="Numbered heading 3"/>
    <w:basedOn w:val="Heading3"/>
    <w:next w:val="NICEnormal"/>
    <w:rsid w:val="00205FBE"/>
    <w:pPr>
      <w:numPr>
        <w:ilvl w:val="2"/>
        <w:numId w:val="14"/>
      </w:numPr>
      <w:spacing w:line="360" w:lineRule="auto"/>
    </w:pPr>
    <w:rPr>
      <w:rFonts w:cs="Arial"/>
      <w:sz w:val="26"/>
      <w:szCs w:val="24"/>
    </w:rPr>
  </w:style>
  <w:style w:type="paragraph" w:customStyle="1" w:styleId="Bulletindent2">
    <w:name w:val="Bullet indent 2"/>
    <w:basedOn w:val="NICEnormal"/>
    <w:rsid w:val="00205FBE"/>
    <w:pPr>
      <w:numPr>
        <w:ilvl w:val="1"/>
        <w:numId w:val="8"/>
      </w:numPr>
      <w:spacing w:after="0"/>
    </w:pPr>
  </w:style>
  <w:style w:type="paragraph" w:customStyle="1" w:styleId="Bulletleft1">
    <w:name w:val="Bullet left 1"/>
    <w:basedOn w:val="NICEnormal"/>
    <w:link w:val="Bulletleft1Char"/>
    <w:rsid w:val="00205FBE"/>
    <w:pPr>
      <w:numPr>
        <w:numId w:val="10"/>
      </w:numPr>
      <w:spacing w:after="0"/>
    </w:pPr>
  </w:style>
  <w:style w:type="character" w:customStyle="1" w:styleId="Bulletleft1Char">
    <w:name w:val="Bullet left 1 Char"/>
    <w:basedOn w:val="DefaultParagraphFont"/>
    <w:link w:val="Bulletleft1"/>
    <w:rsid w:val="00205FBE"/>
    <w:rPr>
      <w:rFonts w:ascii="Arial" w:hAnsi="Arial"/>
      <w:sz w:val="24"/>
      <w:szCs w:val="24"/>
      <w:lang w:val="en-US" w:eastAsia="en-US"/>
    </w:rPr>
  </w:style>
  <w:style w:type="paragraph" w:customStyle="1" w:styleId="Bulletleft2">
    <w:name w:val="Bullet left 2"/>
    <w:basedOn w:val="NICEnormal"/>
    <w:uiPriority w:val="99"/>
    <w:rsid w:val="00205FBE"/>
    <w:pPr>
      <w:numPr>
        <w:ilvl w:val="1"/>
        <w:numId w:val="12"/>
      </w:numPr>
      <w:spacing w:after="0"/>
    </w:pPr>
  </w:style>
  <w:style w:type="paragraph" w:customStyle="1" w:styleId="Bulletleft3">
    <w:name w:val="Bullet left 3"/>
    <w:basedOn w:val="NICEnormal"/>
    <w:rsid w:val="00205FBE"/>
    <w:pPr>
      <w:numPr>
        <w:ilvl w:val="2"/>
        <w:numId w:val="13"/>
      </w:numPr>
      <w:spacing w:after="0"/>
    </w:pPr>
  </w:style>
  <w:style w:type="paragraph" w:customStyle="1" w:styleId="Bulletindent1">
    <w:name w:val="Bullet indent 1"/>
    <w:basedOn w:val="NICEnormal"/>
    <w:link w:val="Bulletindent1Char"/>
    <w:rsid w:val="00205FBE"/>
    <w:pPr>
      <w:numPr>
        <w:numId w:val="6"/>
      </w:numPr>
      <w:spacing w:after="0"/>
    </w:pPr>
  </w:style>
  <w:style w:type="paragraph" w:customStyle="1" w:styleId="Bulletindent3">
    <w:name w:val="Bullet indent 3"/>
    <w:basedOn w:val="NICEnormal"/>
    <w:rsid w:val="00205FBE"/>
    <w:pPr>
      <w:numPr>
        <w:ilvl w:val="2"/>
        <w:numId w:val="9"/>
      </w:numPr>
      <w:spacing w:after="0"/>
    </w:pPr>
  </w:style>
  <w:style w:type="paragraph" w:customStyle="1" w:styleId="Bulletleft1last">
    <w:name w:val="Bullet left 1 last"/>
    <w:basedOn w:val="NICEnormal"/>
    <w:rsid w:val="00205FBE"/>
    <w:pPr>
      <w:numPr>
        <w:numId w:val="11"/>
      </w:numPr>
    </w:pPr>
    <w:rPr>
      <w:rFonts w:cs="Arial"/>
    </w:rPr>
  </w:style>
  <w:style w:type="paragraph" w:customStyle="1" w:styleId="boxedtext">
    <w:name w:val="boxed text"/>
    <w:basedOn w:val="NICEnormal"/>
    <w:rsid w:val="00205FBE"/>
    <w:pPr>
      <w:pBdr>
        <w:top w:val="single" w:sz="4" w:space="1" w:color="auto"/>
        <w:left w:val="single" w:sz="4" w:space="4" w:color="auto"/>
        <w:bottom w:val="single" w:sz="4" w:space="1" w:color="auto"/>
        <w:right w:val="single" w:sz="4" w:space="4" w:color="auto"/>
      </w:pBdr>
      <w:shd w:val="clear" w:color="auto" w:fill="E6E6E6"/>
    </w:pPr>
  </w:style>
  <w:style w:type="character" w:styleId="PageNumber">
    <w:name w:val="page number"/>
    <w:basedOn w:val="DefaultParagraphFont"/>
    <w:rsid w:val="00205FBE"/>
    <w:rPr>
      <w:rFonts w:ascii="Arial" w:hAnsi="Arial"/>
      <w:sz w:val="24"/>
    </w:rPr>
  </w:style>
  <w:style w:type="paragraph" w:customStyle="1" w:styleId="Bulletindent1last">
    <w:name w:val="Bullet indent 1 last"/>
    <w:basedOn w:val="NICEnormal"/>
    <w:next w:val="NICEnormal"/>
    <w:link w:val="Bulletindent1lastChar"/>
    <w:rsid w:val="00205FBE"/>
    <w:pPr>
      <w:numPr>
        <w:numId w:val="7"/>
      </w:numPr>
    </w:pPr>
  </w:style>
  <w:style w:type="paragraph" w:customStyle="1" w:styleId="Tabletitle">
    <w:name w:val="Table title"/>
    <w:basedOn w:val="NICEnormal"/>
    <w:next w:val="NICEnormal"/>
    <w:rsid w:val="00205FBE"/>
    <w:pPr>
      <w:keepNext/>
      <w:spacing w:after="60" w:line="240" w:lineRule="auto"/>
    </w:pPr>
    <w:rPr>
      <w:b/>
    </w:rPr>
  </w:style>
  <w:style w:type="paragraph" w:customStyle="1" w:styleId="Tabletext">
    <w:name w:val="Table text"/>
    <w:basedOn w:val="NICEnormalsinglespacing"/>
    <w:rsid w:val="00205FBE"/>
    <w:pPr>
      <w:keepNext/>
    </w:pPr>
    <w:rPr>
      <w:sz w:val="22"/>
    </w:rPr>
  </w:style>
  <w:style w:type="paragraph" w:customStyle="1" w:styleId="Appendixlevel1">
    <w:name w:val="Appendix level 1"/>
    <w:basedOn w:val="NICEnormal"/>
    <w:autoRedefine/>
    <w:rsid w:val="00205FBE"/>
    <w:pPr>
      <w:numPr>
        <w:numId w:val="4"/>
      </w:numPr>
      <w:spacing w:before="240"/>
    </w:pPr>
  </w:style>
  <w:style w:type="paragraph" w:customStyle="1" w:styleId="Appendixlevel2">
    <w:name w:val="Appendix level 2"/>
    <w:basedOn w:val="NICEnormal"/>
    <w:rsid w:val="00205FBE"/>
    <w:pPr>
      <w:numPr>
        <w:numId w:val="5"/>
      </w:numPr>
      <w:spacing w:before="240"/>
    </w:pPr>
  </w:style>
  <w:style w:type="paragraph" w:customStyle="1" w:styleId="Appendixreferences">
    <w:name w:val="Appendix references"/>
    <w:basedOn w:val="NICEnormal"/>
    <w:rsid w:val="00205FBE"/>
    <w:pPr>
      <w:tabs>
        <w:tab w:val="left" w:pos="567"/>
      </w:tabs>
      <w:spacing w:after="120" w:line="240" w:lineRule="auto"/>
      <w:ind w:left="567"/>
    </w:pPr>
  </w:style>
  <w:style w:type="character" w:styleId="Hyperlink">
    <w:name w:val="Hyperlink"/>
    <w:basedOn w:val="DefaultParagraphFont"/>
    <w:uiPriority w:val="99"/>
    <w:rsid w:val="00205FBE"/>
    <w:rPr>
      <w:color w:val="0000FF"/>
      <w:u w:val="single"/>
    </w:rPr>
  </w:style>
  <w:style w:type="character" w:styleId="CommentReference">
    <w:name w:val="annotation reference"/>
    <w:basedOn w:val="DefaultParagraphFont"/>
    <w:rsid w:val="00205FBE"/>
    <w:rPr>
      <w:sz w:val="16"/>
      <w:szCs w:val="16"/>
    </w:rPr>
  </w:style>
  <w:style w:type="paragraph" w:styleId="CommentText">
    <w:name w:val="annotation text"/>
    <w:basedOn w:val="Normal"/>
    <w:link w:val="CommentTextChar"/>
    <w:rsid w:val="00205FBE"/>
    <w:rPr>
      <w:sz w:val="20"/>
      <w:szCs w:val="20"/>
    </w:rPr>
  </w:style>
  <w:style w:type="character" w:customStyle="1" w:styleId="CommentTextChar">
    <w:name w:val="Comment Text Char"/>
    <w:basedOn w:val="DefaultParagraphFont"/>
    <w:link w:val="CommentText"/>
    <w:rsid w:val="00205FBE"/>
    <w:rPr>
      <w:lang w:eastAsia="en-US"/>
    </w:rPr>
  </w:style>
  <w:style w:type="paragraph" w:styleId="CommentSubject">
    <w:name w:val="annotation subject"/>
    <w:basedOn w:val="CommentText"/>
    <w:next w:val="CommentText"/>
    <w:link w:val="CommentSubjectChar"/>
    <w:semiHidden/>
    <w:rsid w:val="00205FBE"/>
    <w:rPr>
      <w:b/>
      <w:bCs/>
    </w:rPr>
  </w:style>
  <w:style w:type="character" w:customStyle="1" w:styleId="CommentSubjectChar">
    <w:name w:val="Comment Subject Char"/>
    <w:basedOn w:val="CommentTextChar"/>
    <w:link w:val="CommentSubject"/>
    <w:semiHidden/>
    <w:rsid w:val="00205FBE"/>
    <w:rPr>
      <w:b/>
      <w:bCs/>
      <w:lang w:eastAsia="en-US"/>
    </w:rPr>
  </w:style>
  <w:style w:type="character" w:styleId="FollowedHyperlink">
    <w:name w:val="FollowedHyperlink"/>
    <w:basedOn w:val="DefaultParagraphFont"/>
    <w:uiPriority w:val="99"/>
    <w:rsid w:val="00205FBE"/>
    <w:rPr>
      <w:color w:val="800080"/>
      <w:u w:val="single"/>
    </w:rPr>
  </w:style>
  <w:style w:type="paragraph" w:styleId="DocumentMap">
    <w:name w:val="Document Map"/>
    <w:basedOn w:val="Normal"/>
    <w:link w:val="DocumentMapChar"/>
    <w:semiHidden/>
    <w:rsid w:val="00205FBE"/>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205FBE"/>
    <w:rPr>
      <w:rFonts w:ascii="Tahoma" w:hAnsi="Tahoma" w:cs="Tahoma"/>
      <w:shd w:val="clear" w:color="auto" w:fill="000080"/>
      <w:lang w:eastAsia="en-US"/>
    </w:rPr>
  </w:style>
  <w:style w:type="paragraph" w:styleId="Revision">
    <w:name w:val="Revision"/>
    <w:hidden/>
    <w:uiPriority w:val="99"/>
    <w:semiHidden/>
    <w:rsid w:val="00205FBE"/>
    <w:rPr>
      <w:sz w:val="24"/>
      <w:szCs w:val="24"/>
      <w:lang w:eastAsia="en-US"/>
    </w:rPr>
  </w:style>
  <w:style w:type="paragraph" w:customStyle="1" w:styleId="TableText0">
    <w:name w:val="Table Text"/>
    <w:basedOn w:val="NICEnormal"/>
    <w:link w:val="TableTextChar"/>
    <w:qFormat/>
    <w:rsid w:val="00205FBE"/>
    <w:pPr>
      <w:spacing w:after="120" w:line="240" w:lineRule="auto"/>
    </w:pPr>
    <w:rPr>
      <w:b/>
      <w:sz w:val="20"/>
      <w:szCs w:val="20"/>
      <w:lang w:val="en-GB"/>
    </w:rPr>
  </w:style>
  <w:style w:type="character" w:customStyle="1" w:styleId="TableTextChar">
    <w:name w:val="Table Text Char"/>
    <w:basedOn w:val="NICEnormalChar"/>
    <w:link w:val="TableText0"/>
    <w:rsid w:val="00205FBE"/>
    <w:rPr>
      <w:rFonts w:ascii="Arial" w:hAnsi="Arial"/>
      <w:b/>
      <w:sz w:val="24"/>
      <w:szCs w:val="24"/>
      <w:lang w:val="en-US" w:eastAsia="en-US" w:bidi="ar-SA"/>
    </w:rPr>
  </w:style>
  <w:style w:type="paragraph" w:styleId="FootnoteText">
    <w:name w:val="footnote text"/>
    <w:basedOn w:val="Normal"/>
    <w:link w:val="FootnoteTextChar"/>
    <w:rsid w:val="00205FBE"/>
    <w:rPr>
      <w:sz w:val="20"/>
      <w:szCs w:val="20"/>
    </w:rPr>
  </w:style>
  <w:style w:type="character" w:customStyle="1" w:styleId="FootnoteTextChar">
    <w:name w:val="Footnote Text Char"/>
    <w:basedOn w:val="DefaultParagraphFont"/>
    <w:link w:val="FootnoteText"/>
    <w:rsid w:val="00205FBE"/>
    <w:rPr>
      <w:lang w:eastAsia="en-US"/>
    </w:rPr>
  </w:style>
  <w:style w:type="character" w:styleId="FootnoteReference">
    <w:name w:val="footnote reference"/>
    <w:basedOn w:val="DefaultParagraphFont"/>
    <w:rsid w:val="00205FBE"/>
    <w:rPr>
      <w:vertAlign w:val="superscript"/>
    </w:rPr>
  </w:style>
  <w:style w:type="paragraph" w:customStyle="1" w:styleId="NICEnormalsinglespacing">
    <w:name w:val="NICE normal single spacing"/>
    <w:basedOn w:val="NICEnormal"/>
    <w:rsid w:val="00205FBE"/>
    <w:pPr>
      <w:spacing w:after="60" w:line="240" w:lineRule="auto"/>
    </w:pPr>
  </w:style>
  <w:style w:type="paragraph" w:customStyle="1" w:styleId="NICEnormalindented">
    <w:name w:val="NICE normal indented"/>
    <w:basedOn w:val="NICEnormal"/>
    <w:rsid w:val="00205FBE"/>
    <w:pPr>
      <w:tabs>
        <w:tab w:val="left" w:pos="1134"/>
      </w:tabs>
      <w:ind w:left="1134"/>
    </w:pPr>
  </w:style>
  <w:style w:type="paragraph" w:customStyle="1" w:styleId="Numberedlevel2text">
    <w:name w:val="Numbered level 2 text"/>
    <w:basedOn w:val="Numberedheading2"/>
    <w:link w:val="Numberedlevel2textChar"/>
    <w:rsid w:val="00205FBE"/>
  </w:style>
  <w:style w:type="paragraph" w:customStyle="1" w:styleId="Numberedlevel3text">
    <w:name w:val="Numbered level 3 text"/>
    <w:basedOn w:val="Numberedheading3"/>
    <w:rsid w:val="00205FBE"/>
    <w:pPr>
      <w:numPr>
        <w:ilvl w:val="0"/>
        <w:numId w:val="0"/>
      </w:numPr>
      <w:spacing w:before="0" w:after="240"/>
    </w:pPr>
    <w:rPr>
      <w:b w:val="0"/>
      <w:sz w:val="24"/>
    </w:rPr>
  </w:style>
  <w:style w:type="paragraph" w:customStyle="1" w:styleId="Numberedlevel4text">
    <w:name w:val="Numbered level 4 text"/>
    <w:basedOn w:val="NICEnormal"/>
    <w:next w:val="NICEnormal"/>
    <w:rsid w:val="00205FBE"/>
    <w:pPr>
      <w:numPr>
        <w:ilvl w:val="3"/>
        <w:numId w:val="14"/>
      </w:numPr>
    </w:pPr>
  </w:style>
  <w:style w:type="paragraph" w:customStyle="1" w:styleId="References">
    <w:name w:val="References"/>
    <w:basedOn w:val="NICEnormalsinglespacing"/>
    <w:rsid w:val="00205FBE"/>
    <w:pPr>
      <w:numPr>
        <w:numId w:val="15"/>
      </w:numPr>
      <w:spacing w:after="120"/>
    </w:pPr>
  </w:style>
  <w:style w:type="paragraph" w:customStyle="1" w:styleId="Section2paragraphs">
    <w:name w:val="Section 2 paragraphs"/>
    <w:basedOn w:val="NICEnormal"/>
    <w:rsid w:val="00205FBE"/>
    <w:pPr>
      <w:numPr>
        <w:numId w:val="16"/>
      </w:numPr>
    </w:pPr>
  </w:style>
  <w:style w:type="paragraph" w:customStyle="1" w:styleId="Section3paragraphs">
    <w:name w:val="Section 3 paragraphs"/>
    <w:basedOn w:val="NICEnormal"/>
    <w:rsid w:val="00205FBE"/>
    <w:pPr>
      <w:numPr>
        <w:numId w:val="17"/>
      </w:numPr>
    </w:pPr>
  </w:style>
  <w:style w:type="paragraph" w:customStyle="1" w:styleId="Section411paragraphs">
    <w:name w:val="Section 4.1.1 paragraphs"/>
    <w:basedOn w:val="NICEnormal"/>
    <w:rsid w:val="00205FBE"/>
    <w:pPr>
      <w:numPr>
        <w:numId w:val="18"/>
      </w:numPr>
    </w:pPr>
  </w:style>
  <w:style w:type="paragraph" w:customStyle="1" w:styleId="Section412paragraphs">
    <w:name w:val="Section 4.1.2 paragraphs"/>
    <w:basedOn w:val="NICEnormal"/>
    <w:rsid w:val="00205FBE"/>
    <w:pPr>
      <w:numPr>
        <w:numId w:val="19"/>
      </w:numPr>
    </w:pPr>
  </w:style>
  <w:style w:type="paragraph" w:customStyle="1" w:styleId="Section42paragraphs">
    <w:name w:val="Section 4.2 paragraphs"/>
    <w:basedOn w:val="NICEnormal"/>
    <w:rsid w:val="00205FBE"/>
    <w:pPr>
      <w:numPr>
        <w:numId w:val="20"/>
      </w:numPr>
    </w:pPr>
  </w:style>
  <w:style w:type="paragraph" w:customStyle="1" w:styleId="Section43paragraphs">
    <w:name w:val="Section 4.3 paragraphs"/>
    <w:basedOn w:val="NICEnormal"/>
    <w:rsid w:val="00205FBE"/>
    <w:pPr>
      <w:numPr>
        <w:numId w:val="21"/>
      </w:numPr>
    </w:pPr>
  </w:style>
  <w:style w:type="paragraph" w:customStyle="1" w:styleId="TabletextIPoverviewevidence">
    <w:name w:val="Table text IP overview evidence"/>
    <w:basedOn w:val="Tabletext"/>
    <w:rsid w:val="00205FBE"/>
    <w:rPr>
      <w:sz w:val="18"/>
    </w:rPr>
  </w:style>
  <w:style w:type="paragraph" w:customStyle="1" w:styleId="Title16ptleft">
    <w:name w:val="Title 16 pt left"/>
    <w:basedOn w:val="Title16pt"/>
    <w:rsid w:val="00205FBE"/>
    <w:pPr>
      <w:jc w:val="left"/>
    </w:pPr>
  </w:style>
  <w:style w:type="paragraph" w:customStyle="1" w:styleId="Unnumbereditalicheading">
    <w:name w:val="Unnumbered italic heading"/>
    <w:next w:val="NICEnormal"/>
    <w:rsid w:val="00205FBE"/>
    <w:pPr>
      <w:keepNext/>
      <w:widowControl w:val="0"/>
      <w:spacing w:after="120"/>
    </w:pPr>
    <w:rPr>
      <w:rFonts w:ascii="Arial" w:hAnsi="Arial"/>
      <w:i/>
      <w:sz w:val="24"/>
      <w:szCs w:val="24"/>
      <w:lang w:val="en-US" w:eastAsia="en-US"/>
    </w:rPr>
  </w:style>
  <w:style w:type="character" w:customStyle="1" w:styleId="Numberedlevel2textChar">
    <w:name w:val="Numbered level 2 text Char"/>
    <w:basedOn w:val="Numberedheading2Char"/>
    <w:link w:val="Numberedlevel2text"/>
    <w:rsid w:val="00205FBE"/>
    <w:rPr>
      <w:rFonts w:ascii="Arial" w:hAnsi="Arial" w:cs="Arial"/>
      <w:b/>
      <w:bCs/>
      <w:i/>
      <w:iCs/>
      <w:sz w:val="28"/>
      <w:szCs w:val="28"/>
      <w:lang w:eastAsia="en-US"/>
    </w:rPr>
  </w:style>
  <w:style w:type="character" w:customStyle="1" w:styleId="Bulletindent1Char">
    <w:name w:val="Bullet indent 1 Char"/>
    <w:basedOn w:val="DefaultParagraphFont"/>
    <w:link w:val="Bulletindent1"/>
    <w:rsid w:val="00205FBE"/>
    <w:rPr>
      <w:rFonts w:ascii="Arial" w:hAnsi="Arial"/>
      <w:sz w:val="24"/>
      <w:szCs w:val="24"/>
      <w:lang w:val="en-US" w:eastAsia="en-US"/>
    </w:rPr>
  </w:style>
  <w:style w:type="character" w:customStyle="1" w:styleId="Bulletindent1lastChar">
    <w:name w:val="Bullet indent 1 last Char"/>
    <w:basedOn w:val="NICEnormalChar"/>
    <w:link w:val="Bulletindent1last"/>
    <w:rsid w:val="00205FBE"/>
    <w:rPr>
      <w:rFonts w:ascii="Arial" w:hAnsi="Arial"/>
      <w:sz w:val="24"/>
      <w:szCs w:val="24"/>
      <w:lang w:val="en-US" w:eastAsia="en-US" w:bidi="ar-SA"/>
    </w:rPr>
  </w:style>
  <w:style w:type="character" w:customStyle="1" w:styleId="UnnumberedboldheadingChar">
    <w:name w:val="Unnumbered bold heading Char"/>
    <w:basedOn w:val="DefaultParagraphFont"/>
    <w:link w:val="Unnumberedboldheading"/>
    <w:rsid w:val="00205FBE"/>
    <w:rPr>
      <w:rFonts w:ascii="Arial" w:hAnsi="Arial"/>
      <w:b/>
      <w:sz w:val="24"/>
      <w:szCs w:val="24"/>
      <w:lang w:val="en-US" w:eastAsia="en-US" w:bidi="ar-SA"/>
    </w:rPr>
  </w:style>
  <w:style w:type="character" w:styleId="EndnoteReference">
    <w:name w:val="endnote reference"/>
    <w:basedOn w:val="DefaultParagraphFont"/>
    <w:rsid w:val="00205FBE"/>
    <w:rPr>
      <w:vertAlign w:val="superscript"/>
    </w:rPr>
  </w:style>
  <w:style w:type="paragraph" w:styleId="Bibliography">
    <w:name w:val="Bibliography"/>
    <w:basedOn w:val="Normal"/>
    <w:next w:val="Normal"/>
    <w:uiPriority w:val="37"/>
    <w:semiHidden/>
    <w:unhideWhenUsed/>
    <w:rsid w:val="00205FBE"/>
  </w:style>
  <w:style w:type="paragraph" w:styleId="Quote">
    <w:name w:val="Quote"/>
    <w:basedOn w:val="NICEnormal"/>
    <w:next w:val="Normal"/>
    <w:link w:val="QuoteChar"/>
    <w:uiPriority w:val="29"/>
    <w:qFormat/>
    <w:rsid w:val="00205FBE"/>
    <w:pPr>
      <w:ind w:left="709" w:right="1371"/>
    </w:pPr>
    <w:rPr>
      <w:rFonts w:cs="Arial"/>
    </w:rPr>
  </w:style>
  <w:style w:type="character" w:customStyle="1" w:styleId="QuoteChar">
    <w:name w:val="Quote Char"/>
    <w:basedOn w:val="DefaultParagraphFont"/>
    <w:link w:val="Quote"/>
    <w:uiPriority w:val="29"/>
    <w:rsid w:val="00205FBE"/>
    <w:rPr>
      <w:rFonts w:ascii="Arial" w:hAnsi="Arial" w:cs="Arial"/>
      <w:sz w:val="24"/>
      <w:szCs w:val="24"/>
      <w:lang w:val="en-US" w:eastAsia="en-US"/>
    </w:rPr>
  </w:style>
  <w:style w:type="paragraph" w:styleId="PlainText">
    <w:name w:val="Plain Text"/>
    <w:basedOn w:val="Normal"/>
    <w:link w:val="PlainTextChar"/>
    <w:uiPriority w:val="99"/>
    <w:unhideWhenUsed/>
    <w:rsid w:val="00205FBE"/>
    <w:rPr>
      <w:rFonts w:ascii="Arial" w:eastAsia="Calibri" w:hAnsi="Arial" w:cs="Arial"/>
      <w:color w:val="000000"/>
      <w:sz w:val="22"/>
      <w:szCs w:val="22"/>
    </w:rPr>
  </w:style>
  <w:style w:type="character" w:customStyle="1" w:styleId="PlainTextChar">
    <w:name w:val="Plain Text Char"/>
    <w:basedOn w:val="DefaultParagraphFont"/>
    <w:link w:val="PlainText"/>
    <w:uiPriority w:val="99"/>
    <w:rsid w:val="00205FBE"/>
    <w:rPr>
      <w:rFonts w:ascii="Arial" w:eastAsia="Calibri" w:hAnsi="Arial" w:cs="Arial"/>
      <w:color w:val="000000"/>
      <w:sz w:val="22"/>
      <w:szCs w:val="22"/>
      <w:lang w:eastAsia="en-US"/>
    </w:rPr>
  </w:style>
  <w:style w:type="table" w:styleId="TableColumns1">
    <w:name w:val="Table Columns 1"/>
    <w:basedOn w:val="TableNormal"/>
    <w:rsid w:val="00205FB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4">
    <w:name w:val="Table Columns 4"/>
    <w:basedOn w:val="TableNormal"/>
    <w:rsid w:val="00205FBE"/>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3Deffects2">
    <w:name w:val="Table 3D effects 2"/>
    <w:basedOn w:val="TableNormal"/>
    <w:rsid w:val="00205FBE"/>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Default">
    <w:name w:val="Default"/>
    <w:rsid w:val="00AC7C93"/>
    <w:pPr>
      <w:autoSpaceDE w:val="0"/>
      <w:autoSpaceDN w:val="0"/>
      <w:adjustRightInd w:val="0"/>
    </w:pPr>
    <w:rPr>
      <w:rFonts w:ascii="Frutiger LT Std 45 Light" w:hAnsi="Frutiger LT Std 45 Light" w:cs="Frutiger LT Std 45 Light"/>
      <w:color w:val="000000"/>
      <w:sz w:val="24"/>
      <w:szCs w:val="24"/>
    </w:rPr>
  </w:style>
  <w:style w:type="character" w:styleId="PlaceholderText">
    <w:name w:val="Placeholder Text"/>
    <w:basedOn w:val="DefaultParagraphFont"/>
    <w:uiPriority w:val="99"/>
    <w:semiHidden/>
    <w:rsid w:val="009019A9"/>
    <w:rPr>
      <w:color w:val="808080"/>
    </w:rPr>
  </w:style>
  <w:style w:type="character" w:customStyle="1" w:styleId="paragraph-number">
    <w:name w:val="paragraph-number"/>
    <w:basedOn w:val="DefaultParagraphFont"/>
    <w:rsid w:val="00486953"/>
  </w:style>
  <w:style w:type="character" w:styleId="Strong">
    <w:name w:val="Strong"/>
    <w:basedOn w:val="DefaultParagraphFont"/>
    <w:uiPriority w:val="22"/>
    <w:qFormat/>
    <w:rsid w:val="00165B01"/>
    <w:rPr>
      <w:b/>
      <w:bCs/>
    </w:rPr>
  </w:style>
  <w:style w:type="paragraph" w:styleId="NormalWeb">
    <w:name w:val="Normal (Web)"/>
    <w:basedOn w:val="Normal"/>
    <w:uiPriority w:val="99"/>
    <w:unhideWhenUsed/>
    <w:rsid w:val="0026108E"/>
    <w:pPr>
      <w:spacing w:before="100" w:beforeAutospacing="1" w:after="100" w:afterAutospacing="1"/>
    </w:pPr>
    <w:rPr>
      <w:lang w:eastAsia="en-GB"/>
    </w:rPr>
  </w:style>
  <w:style w:type="paragraph" w:customStyle="1" w:styleId="Tablecellheading">
    <w:name w:val="Table cell heading"/>
    <w:basedOn w:val="Tabletext"/>
    <w:rsid w:val="00ED6AAF"/>
    <w:pPr>
      <w:spacing w:before="60" w:after="120"/>
    </w:pPr>
    <w:rPr>
      <w:b/>
      <w:bCs/>
    </w:rPr>
  </w:style>
  <w:style w:type="numbering" w:customStyle="1" w:styleId="Tablebulletleft">
    <w:name w:val="Table bullet left"/>
    <w:basedOn w:val="NoList"/>
    <w:rsid w:val="00ED6AAF"/>
    <w:pPr>
      <w:numPr>
        <w:numId w:val="23"/>
      </w:numPr>
    </w:pPr>
  </w:style>
  <w:style w:type="numbering" w:customStyle="1" w:styleId="Tablebulletindented">
    <w:name w:val="Table bullet indented"/>
    <w:basedOn w:val="NoList"/>
    <w:rsid w:val="00ED6AAF"/>
    <w:pPr>
      <w:numPr>
        <w:numId w:val="24"/>
      </w:numPr>
    </w:pPr>
  </w:style>
  <w:style w:type="paragraph" w:customStyle="1" w:styleId="Tablenumberedlist">
    <w:name w:val="Table numbered list"/>
    <w:basedOn w:val="ListNumber"/>
    <w:rsid w:val="00ED6AAF"/>
    <w:pPr>
      <w:spacing w:before="60"/>
    </w:pPr>
    <w:rPr>
      <w:b/>
      <w:bCs/>
      <w:sz w:val="22"/>
      <w:szCs w:val="20"/>
    </w:rPr>
  </w:style>
  <w:style w:type="paragraph" w:styleId="ListNumber">
    <w:name w:val="List Number"/>
    <w:basedOn w:val="Normal"/>
    <w:semiHidden/>
    <w:rsid w:val="00ED6AAF"/>
    <w:pPr>
      <w:numPr>
        <w:numId w:val="22"/>
      </w:numPr>
      <w:contextualSpacing/>
    </w:pPr>
    <w:rPr>
      <w:rFonts w:ascii="Arial" w:hAnsi="Arial" w:cs="Arial"/>
      <w:spacing w:val="-3"/>
    </w:rPr>
  </w:style>
  <w:style w:type="numbering" w:customStyle="1" w:styleId="Tablebullet">
    <w:name w:val="Table bullet"/>
    <w:basedOn w:val="NoList"/>
    <w:rsid w:val="00ED6AAF"/>
    <w:pPr>
      <w:numPr>
        <w:numId w:val="25"/>
      </w:numPr>
    </w:pPr>
  </w:style>
  <w:style w:type="paragraph" w:styleId="ListParagraph">
    <w:name w:val="List Paragraph"/>
    <w:basedOn w:val="Normal"/>
    <w:uiPriority w:val="34"/>
    <w:qFormat/>
    <w:rsid w:val="00844032"/>
    <w:pPr>
      <w:ind w:left="720"/>
      <w:contextualSpacing/>
    </w:pPr>
  </w:style>
  <w:style w:type="paragraph" w:customStyle="1" w:styleId="font5">
    <w:name w:val="font5"/>
    <w:basedOn w:val="Normal"/>
    <w:rsid w:val="00015441"/>
    <w:pPr>
      <w:spacing w:before="100" w:beforeAutospacing="1" w:after="100" w:afterAutospacing="1"/>
    </w:pPr>
    <w:rPr>
      <w:rFonts w:ascii="Arial" w:hAnsi="Arial" w:cs="Arial"/>
      <w:b/>
      <w:bCs/>
      <w:color w:val="000000"/>
      <w:sz w:val="18"/>
      <w:szCs w:val="18"/>
      <w:lang w:eastAsia="en-GB"/>
    </w:rPr>
  </w:style>
  <w:style w:type="paragraph" w:customStyle="1" w:styleId="font6">
    <w:name w:val="font6"/>
    <w:basedOn w:val="Normal"/>
    <w:rsid w:val="00015441"/>
    <w:pPr>
      <w:spacing w:before="100" w:beforeAutospacing="1" w:after="100" w:afterAutospacing="1"/>
    </w:pPr>
    <w:rPr>
      <w:rFonts w:ascii="Arial" w:hAnsi="Arial" w:cs="Arial"/>
      <w:color w:val="000000"/>
      <w:sz w:val="18"/>
      <w:szCs w:val="18"/>
      <w:lang w:eastAsia="en-GB"/>
    </w:rPr>
  </w:style>
  <w:style w:type="paragraph" w:customStyle="1" w:styleId="font7">
    <w:name w:val="font7"/>
    <w:basedOn w:val="Normal"/>
    <w:rsid w:val="00015441"/>
    <w:pPr>
      <w:spacing w:before="100" w:beforeAutospacing="1" w:after="100" w:afterAutospacing="1"/>
    </w:pPr>
    <w:rPr>
      <w:rFonts w:ascii="Arial" w:hAnsi="Arial" w:cs="Arial"/>
      <w:color w:val="000000"/>
      <w:sz w:val="18"/>
      <w:szCs w:val="18"/>
      <w:lang w:eastAsia="en-GB"/>
    </w:rPr>
  </w:style>
  <w:style w:type="paragraph" w:customStyle="1" w:styleId="font8">
    <w:name w:val="font8"/>
    <w:basedOn w:val="Normal"/>
    <w:rsid w:val="00015441"/>
    <w:pPr>
      <w:spacing w:before="100" w:beforeAutospacing="1" w:after="100" w:afterAutospacing="1"/>
    </w:pPr>
    <w:rPr>
      <w:rFonts w:ascii="Arial" w:hAnsi="Arial" w:cs="Arial"/>
      <w:color w:val="000000"/>
      <w:sz w:val="18"/>
      <w:szCs w:val="18"/>
      <w:lang w:eastAsia="en-GB"/>
    </w:rPr>
  </w:style>
  <w:style w:type="paragraph" w:customStyle="1" w:styleId="font9">
    <w:name w:val="font9"/>
    <w:basedOn w:val="Normal"/>
    <w:rsid w:val="00015441"/>
    <w:pPr>
      <w:spacing w:before="100" w:beforeAutospacing="1" w:after="100" w:afterAutospacing="1"/>
    </w:pPr>
    <w:rPr>
      <w:rFonts w:ascii="Arial" w:hAnsi="Arial" w:cs="Arial"/>
      <w:color w:val="FF0000"/>
      <w:sz w:val="18"/>
      <w:szCs w:val="18"/>
      <w:lang w:eastAsia="en-GB"/>
    </w:rPr>
  </w:style>
  <w:style w:type="paragraph" w:customStyle="1" w:styleId="font10">
    <w:name w:val="font10"/>
    <w:basedOn w:val="Normal"/>
    <w:rsid w:val="00015441"/>
    <w:pPr>
      <w:spacing w:before="100" w:beforeAutospacing="1" w:after="100" w:afterAutospacing="1"/>
    </w:pPr>
    <w:rPr>
      <w:rFonts w:ascii="Arial" w:hAnsi="Arial" w:cs="Arial"/>
      <w:color w:val="4F4F50"/>
      <w:sz w:val="18"/>
      <w:szCs w:val="18"/>
      <w:lang w:eastAsia="en-GB"/>
    </w:rPr>
  </w:style>
  <w:style w:type="paragraph" w:customStyle="1" w:styleId="xl65">
    <w:name w:val="xl65"/>
    <w:basedOn w:val="Normal"/>
    <w:rsid w:val="00015441"/>
    <w:pPr>
      <w:pBdr>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66">
    <w:name w:val="xl66"/>
    <w:basedOn w:val="Normal"/>
    <w:rsid w:val="00015441"/>
    <w:pPr>
      <w:pBdr>
        <w:bottom w:val="single" w:sz="8" w:space="0" w:color="999999"/>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67">
    <w:name w:val="xl67"/>
    <w:basedOn w:val="Normal"/>
    <w:rsid w:val="00015441"/>
    <w:pPr>
      <w:pBdr>
        <w:right w:val="single" w:sz="8" w:space="0" w:color="999999"/>
      </w:pBdr>
      <w:spacing w:before="100" w:beforeAutospacing="1" w:after="100" w:afterAutospacing="1"/>
      <w:textAlignment w:val="center"/>
    </w:pPr>
    <w:rPr>
      <w:color w:val="0000FF"/>
      <w:u w:val="single"/>
      <w:lang w:eastAsia="en-GB"/>
    </w:rPr>
  </w:style>
  <w:style w:type="paragraph" w:customStyle="1" w:styleId="xl68">
    <w:name w:val="xl68"/>
    <w:basedOn w:val="Normal"/>
    <w:rsid w:val="00015441"/>
    <w:pPr>
      <w:pBdr>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69">
    <w:name w:val="xl69"/>
    <w:basedOn w:val="Normal"/>
    <w:rsid w:val="00015441"/>
    <w:pPr>
      <w:pBdr>
        <w:bottom w:val="single" w:sz="8" w:space="0" w:color="999999"/>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70">
    <w:name w:val="xl70"/>
    <w:basedOn w:val="Normal"/>
    <w:rsid w:val="00015441"/>
    <w:pPr>
      <w:pBdr>
        <w:bottom w:val="single" w:sz="8" w:space="0" w:color="999999"/>
        <w:right w:val="single" w:sz="8" w:space="0" w:color="999999"/>
      </w:pBdr>
      <w:spacing w:before="100" w:beforeAutospacing="1" w:after="100" w:afterAutospacing="1"/>
      <w:textAlignment w:val="center"/>
    </w:pPr>
    <w:rPr>
      <w:color w:val="0000FF"/>
      <w:u w:val="single"/>
      <w:lang w:eastAsia="en-GB"/>
    </w:rPr>
  </w:style>
  <w:style w:type="paragraph" w:customStyle="1" w:styleId="xl71">
    <w:name w:val="xl71"/>
    <w:basedOn w:val="Normal"/>
    <w:rsid w:val="00015441"/>
    <w:pPr>
      <w:pBdr>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72">
    <w:name w:val="xl72"/>
    <w:basedOn w:val="Normal"/>
    <w:rsid w:val="00015441"/>
    <w:pPr>
      <w:pBdr>
        <w:bottom w:val="single" w:sz="8" w:space="0" w:color="999999"/>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73">
    <w:name w:val="xl73"/>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74">
    <w:name w:val="xl74"/>
    <w:basedOn w:val="Normal"/>
    <w:rsid w:val="00015441"/>
    <w:pPr>
      <w:pBdr>
        <w:left w:val="single" w:sz="8" w:space="0" w:color="999999"/>
        <w:bottom w:val="single" w:sz="8" w:space="0" w:color="999999"/>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75">
    <w:name w:val="xl75"/>
    <w:basedOn w:val="Normal"/>
    <w:rsid w:val="00015441"/>
    <w:pPr>
      <w:pBdr>
        <w:top w:val="single" w:sz="8" w:space="0" w:color="999999"/>
        <w:left w:val="single" w:sz="8" w:space="0" w:color="999999"/>
        <w:right w:val="single" w:sz="8" w:space="0" w:color="999999"/>
      </w:pBdr>
      <w:spacing w:before="100" w:beforeAutospacing="1" w:after="100" w:afterAutospacing="1"/>
      <w:jc w:val="center"/>
    </w:pPr>
    <w:rPr>
      <w:lang w:eastAsia="en-GB"/>
    </w:rPr>
  </w:style>
  <w:style w:type="paragraph" w:customStyle="1" w:styleId="xl76">
    <w:name w:val="xl76"/>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77">
    <w:name w:val="xl77"/>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78">
    <w:name w:val="xl78"/>
    <w:basedOn w:val="Normal"/>
    <w:rsid w:val="00015441"/>
    <w:pPr>
      <w:pBdr>
        <w:left w:val="single" w:sz="8" w:space="0" w:color="999999"/>
        <w:bottom w:val="single" w:sz="8" w:space="0" w:color="999999"/>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79">
    <w:name w:val="xl79"/>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color w:val="0000FF"/>
      <w:u w:val="single"/>
      <w:lang w:eastAsia="en-GB"/>
    </w:rPr>
  </w:style>
  <w:style w:type="paragraph" w:customStyle="1" w:styleId="font11">
    <w:name w:val="font11"/>
    <w:basedOn w:val="Normal"/>
    <w:rsid w:val="00D428BC"/>
    <w:pPr>
      <w:spacing w:before="100" w:beforeAutospacing="1" w:after="100" w:afterAutospacing="1"/>
    </w:pPr>
    <w:rPr>
      <w:rFonts w:ascii="Arial" w:hAnsi="Arial" w:cs="Arial"/>
      <w:i/>
      <w:iCs/>
      <w:color w:val="000000"/>
      <w:sz w:val="18"/>
      <w:szCs w:val="18"/>
      <w:u w:val="single"/>
      <w:lang w:eastAsia="en-GB"/>
    </w:rPr>
  </w:style>
  <w:style w:type="paragraph" w:customStyle="1" w:styleId="TableText1">
    <w:name w:val="Table Text 1"/>
    <w:basedOn w:val="Normal"/>
    <w:qFormat/>
    <w:rsid w:val="00972945"/>
    <w:rPr>
      <w:rFonts w:ascii="Arial" w:hAnsi="Arial"/>
      <w:sz w:val="22"/>
      <w:lang w:eastAsia="en-GB"/>
    </w:rPr>
  </w:style>
  <w:style w:type="paragraph" w:customStyle="1" w:styleId="tabletext2">
    <w:name w:val="table text"/>
    <w:basedOn w:val="Paragraphnonumbers"/>
    <w:link w:val="tabletextChar0"/>
    <w:qFormat/>
    <w:rsid w:val="00AE537D"/>
    <w:pPr>
      <w:spacing w:before="60" w:after="60" w:line="240" w:lineRule="auto"/>
    </w:pPr>
    <w:rPr>
      <w:lang w:eastAsia="en-GB"/>
    </w:rPr>
  </w:style>
  <w:style w:type="character" w:customStyle="1" w:styleId="tabletextChar0">
    <w:name w:val="table text Char"/>
    <w:basedOn w:val="DefaultParagraphFont"/>
    <w:link w:val="tabletext2"/>
    <w:rsid w:val="00AE537D"/>
    <w:rPr>
      <w:rFonts w:ascii="Arial" w:hAnsi="Arial"/>
      <w:sz w:val="24"/>
      <w:szCs w:val="24"/>
    </w:rPr>
  </w:style>
  <w:style w:type="character" w:styleId="UnresolvedMention">
    <w:name w:val="Unresolved Mention"/>
    <w:basedOn w:val="DefaultParagraphFont"/>
    <w:uiPriority w:val="99"/>
    <w:semiHidden/>
    <w:unhideWhenUsed/>
    <w:rsid w:val="00A264CE"/>
    <w:rPr>
      <w:color w:val="605E5C"/>
      <w:shd w:val="clear" w:color="auto" w:fill="E1DFDD"/>
    </w:rPr>
  </w:style>
  <w:style w:type="table" w:customStyle="1" w:styleId="TableGrid1">
    <w:name w:val="Table Grid1"/>
    <w:basedOn w:val="TableNormal"/>
    <w:next w:val="TableGrid"/>
    <w:rsid w:val="00F100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9689851">
      <w:bodyDiv w:val="1"/>
      <w:marLeft w:val="0"/>
      <w:marRight w:val="0"/>
      <w:marTop w:val="0"/>
      <w:marBottom w:val="0"/>
      <w:divBdr>
        <w:top w:val="none" w:sz="0" w:space="0" w:color="auto"/>
        <w:left w:val="none" w:sz="0" w:space="0" w:color="auto"/>
        <w:bottom w:val="none" w:sz="0" w:space="0" w:color="auto"/>
        <w:right w:val="none" w:sz="0" w:space="0" w:color="auto"/>
      </w:divBdr>
    </w:div>
    <w:div w:id="174348339">
      <w:bodyDiv w:val="1"/>
      <w:marLeft w:val="0"/>
      <w:marRight w:val="0"/>
      <w:marTop w:val="0"/>
      <w:marBottom w:val="0"/>
      <w:divBdr>
        <w:top w:val="none" w:sz="0" w:space="0" w:color="auto"/>
        <w:left w:val="none" w:sz="0" w:space="0" w:color="auto"/>
        <w:bottom w:val="none" w:sz="0" w:space="0" w:color="auto"/>
        <w:right w:val="none" w:sz="0" w:space="0" w:color="auto"/>
      </w:divBdr>
    </w:div>
    <w:div w:id="205528960">
      <w:bodyDiv w:val="1"/>
      <w:marLeft w:val="0"/>
      <w:marRight w:val="0"/>
      <w:marTop w:val="0"/>
      <w:marBottom w:val="0"/>
      <w:divBdr>
        <w:top w:val="none" w:sz="0" w:space="0" w:color="auto"/>
        <w:left w:val="none" w:sz="0" w:space="0" w:color="auto"/>
        <w:bottom w:val="none" w:sz="0" w:space="0" w:color="auto"/>
        <w:right w:val="none" w:sz="0" w:space="0" w:color="auto"/>
      </w:divBdr>
    </w:div>
    <w:div w:id="298727565">
      <w:bodyDiv w:val="1"/>
      <w:marLeft w:val="0"/>
      <w:marRight w:val="0"/>
      <w:marTop w:val="0"/>
      <w:marBottom w:val="0"/>
      <w:divBdr>
        <w:top w:val="none" w:sz="0" w:space="0" w:color="auto"/>
        <w:left w:val="none" w:sz="0" w:space="0" w:color="auto"/>
        <w:bottom w:val="none" w:sz="0" w:space="0" w:color="auto"/>
        <w:right w:val="none" w:sz="0" w:space="0" w:color="auto"/>
      </w:divBdr>
    </w:div>
    <w:div w:id="319043095">
      <w:bodyDiv w:val="1"/>
      <w:marLeft w:val="0"/>
      <w:marRight w:val="0"/>
      <w:marTop w:val="0"/>
      <w:marBottom w:val="0"/>
      <w:divBdr>
        <w:top w:val="none" w:sz="0" w:space="0" w:color="auto"/>
        <w:left w:val="none" w:sz="0" w:space="0" w:color="auto"/>
        <w:bottom w:val="none" w:sz="0" w:space="0" w:color="auto"/>
        <w:right w:val="none" w:sz="0" w:space="0" w:color="auto"/>
      </w:divBdr>
    </w:div>
    <w:div w:id="409695098">
      <w:bodyDiv w:val="1"/>
      <w:marLeft w:val="0"/>
      <w:marRight w:val="0"/>
      <w:marTop w:val="0"/>
      <w:marBottom w:val="0"/>
      <w:divBdr>
        <w:top w:val="none" w:sz="0" w:space="0" w:color="auto"/>
        <w:left w:val="none" w:sz="0" w:space="0" w:color="auto"/>
        <w:bottom w:val="none" w:sz="0" w:space="0" w:color="auto"/>
        <w:right w:val="none" w:sz="0" w:space="0" w:color="auto"/>
      </w:divBdr>
    </w:div>
    <w:div w:id="419716537">
      <w:bodyDiv w:val="1"/>
      <w:marLeft w:val="0"/>
      <w:marRight w:val="0"/>
      <w:marTop w:val="0"/>
      <w:marBottom w:val="0"/>
      <w:divBdr>
        <w:top w:val="none" w:sz="0" w:space="0" w:color="auto"/>
        <w:left w:val="none" w:sz="0" w:space="0" w:color="auto"/>
        <w:bottom w:val="none" w:sz="0" w:space="0" w:color="auto"/>
        <w:right w:val="none" w:sz="0" w:space="0" w:color="auto"/>
      </w:divBdr>
      <w:divsChild>
        <w:div w:id="1094207654">
          <w:marLeft w:val="0"/>
          <w:marRight w:val="0"/>
          <w:marTop w:val="0"/>
          <w:marBottom w:val="0"/>
          <w:divBdr>
            <w:top w:val="none" w:sz="0" w:space="0" w:color="auto"/>
            <w:left w:val="none" w:sz="0" w:space="0" w:color="auto"/>
            <w:bottom w:val="none" w:sz="0" w:space="0" w:color="auto"/>
            <w:right w:val="none" w:sz="0" w:space="0" w:color="auto"/>
          </w:divBdr>
          <w:divsChild>
            <w:div w:id="1689330048">
              <w:marLeft w:val="0"/>
              <w:marRight w:val="0"/>
              <w:marTop w:val="0"/>
              <w:marBottom w:val="0"/>
              <w:divBdr>
                <w:top w:val="none" w:sz="0" w:space="0" w:color="auto"/>
                <w:left w:val="none" w:sz="0" w:space="0" w:color="auto"/>
                <w:bottom w:val="none" w:sz="0" w:space="0" w:color="auto"/>
                <w:right w:val="none" w:sz="0" w:space="0" w:color="auto"/>
              </w:divBdr>
              <w:divsChild>
                <w:div w:id="1361853220">
                  <w:marLeft w:val="0"/>
                  <w:marRight w:val="0"/>
                  <w:marTop w:val="0"/>
                  <w:marBottom w:val="0"/>
                  <w:divBdr>
                    <w:top w:val="none" w:sz="0" w:space="0" w:color="auto"/>
                    <w:left w:val="none" w:sz="0" w:space="0" w:color="auto"/>
                    <w:bottom w:val="none" w:sz="0" w:space="0" w:color="auto"/>
                    <w:right w:val="none" w:sz="0" w:space="0" w:color="auto"/>
                  </w:divBdr>
                  <w:divsChild>
                    <w:div w:id="1773470669">
                      <w:marLeft w:val="0"/>
                      <w:marRight w:val="0"/>
                      <w:marTop w:val="0"/>
                      <w:marBottom w:val="0"/>
                      <w:divBdr>
                        <w:top w:val="none" w:sz="0" w:space="0" w:color="auto"/>
                        <w:left w:val="none" w:sz="0" w:space="0" w:color="auto"/>
                        <w:bottom w:val="none" w:sz="0" w:space="0" w:color="auto"/>
                        <w:right w:val="none" w:sz="0" w:space="0" w:color="auto"/>
                      </w:divBdr>
                      <w:divsChild>
                        <w:div w:id="365985320">
                          <w:marLeft w:val="0"/>
                          <w:marRight w:val="0"/>
                          <w:marTop w:val="0"/>
                          <w:marBottom w:val="0"/>
                          <w:divBdr>
                            <w:top w:val="none" w:sz="0" w:space="0" w:color="auto"/>
                            <w:left w:val="none" w:sz="0" w:space="0" w:color="auto"/>
                            <w:bottom w:val="none" w:sz="0" w:space="0" w:color="auto"/>
                            <w:right w:val="none" w:sz="0" w:space="0" w:color="auto"/>
                          </w:divBdr>
                          <w:divsChild>
                            <w:div w:id="1098019578">
                              <w:marLeft w:val="0"/>
                              <w:marRight w:val="0"/>
                              <w:marTop w:val="0"/>
                              <w:marBottom w:val="0"/>
                              <w:divBdr>
                                <w:top w:val="none" w:sz="0" w:space="0" w:color="auto"/>
                                <w:left w:val="none" w:sz="0" w:space="0" w:color="auto"/>
                                <w:bottom w:val="none" w:sz="0" w:space="0" w:color="auto"/>
                                <w:right w:val="none" w:sz="0" w:space="0" w:color="auto"/>
                              </w:divBdr>
                              <w:divsChild>
                                <w:div w:id="989672440">
                                  <w:marLeft w:val="0"/>
                                  <w:marRight w:val="0"/>
                                  <w:marTop w:val="0"/>
                                  <w:marBottom w:val="0"/>
                                  <w:divBdr>
                                    <w:top w:val="none" w:sz="0" w:space="0" w:color="auto"/>
                                    <w:left w:val="none" w:sz="0" w:space="0" w:color="auto"/>
                                    <w:bottom w:val="none" w:sz="0" w:space="0" w:color="auto"/>
                                    <w:right w:val="none" w:sz="0" w:space="0" w:color="auto"/>
                                  </w:divBdr>
                                  <w:divsChild>
                                    <w:div w:id="1813251968">
                                      <w:marLeft w:val="0"/>
                                      <w:marRight w:val="0"/>
                                      <w:marTop w:val="0"/>
                                      <w:marBottom w:val="0"/>
                                      <w:divBdr>
                                        <w:top w:val="none" w:sz="0" w:space="0" w:color="auto"/>
                                        <w:left w:val="none" w:sz="0" w:space="0" w:color="auto"/>
                                        <w:bottom w:val="none" w:sz="0" w:space="0" w:color="auto"/>
                                        <w:right w:val="none" w:sz="0" w:space="0" w:color="auto"/>
                                      </w:divBdr>
                                      <w:divsChild>
                                        <w:div w:id="486557470">
                                          <w:marLeft w:val="0"/>
                                          <w:marRight w:val="0"/>
                                          <w:marTop w:val="0"/>
                                          <w:marBottom w:val="0"/>
                                          <w:divBdr>
                                            <w:top w:val="none" w:sz="0" w:space="0" w:color="auto"/>
                                            <w:left w:val="none" w:sz="0" w:space="0" w:color="auto"/>
                                            <w:bottom w:val="none" w:sz="0" w:space="0" w:color="auto"/>
                                            <w:right w:val="none" w:sz="0" w:space="0" w:color="auto"/>
                                          </w:divBdr>
                                          <w:divsChild>
                                            <w:div w:id="23019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4395441">
      <w:bodyDiv w:val="1"/>
      <w:marLeft w:val="0"/>
      <w:marRight w:val="0"/>
      <w:marTop w:val="0"/>
      <w:marBottom w:val="0"/>
      <w:divBdr>
        <w:top w:val="none" w:sz="0" w:space="0" w:color="auto"/>
        <w:left w:val="none" w:sz="0" w:space="0" w:color="auto"/>
        <w:bottom w:val="none" w:sz="0" w:space="0" w:color="auto"/>
        <w:right w:val="none" w:sz="0" w:space="0" w:color="auto"/>
      </w:divBdr>
    </w:div>
    <w:div w:id="521478344">
      <w:bodyDiv w:val="1"/>
      <w:marLeft w:val="0"/>
      <w:marRight w:val="0"/>
      <w:marTop w:val="0"/>
      <w:marBottom w:val="0"/>
      <w:divBdr>
        <w:top w:val="none" w:sz="0" w:space="0" w:color="auto"/>
        <w:left w:val="none" w:sz="0" w:space="0" w:color="auto"/>
        <w:bottom w:val="none" w:sz="0" w:space="0" w:color="auto"/>
        <w:right w:val="none" w:sz="0" w:space="0" w:color="auto"/>
      </w:divBdr>
    </w:div>
    <w:div w:id="566116610">
      <w:bodyDiv w:val="1"/>
      <w:marLeft w:val="0"/>
      <w:marRight w:val="0"/>
      <w:marTop w:val="0"/>
      <w:marBottom w:val="0"/>
      <w:divBdr>
        <w:top w:val="none" w:sz="0" w:space="0" w:color="auto"/>
        <w:left w:val="none" w:sz="0" w:space="0" w:color="auto"/>
        <w:bottom w:val="none" w:sz="0" w:space="0" w:color="auto"/>
        <w:right w:val="none" w:sz="0" w:space="0" w:color="auto"/>
      </w:divBdr>
    </w:div>
    <w:div w:id="599070079">
      <w:bodyDiv w:val="1"/>
      <w:marLeft w:val="0"/>
      <w:marRight w:val="0"/>
      <w:marTop w:val="0"/>
      <w:marBottom w:val="0"/>
      <w:divBdr>
        <w:top w:val="none" w:sz="0" w:space="0" w:color="auto"/>
        <w:left w:val="none" w:sz="0" w:space="0" w:color="auto"/>
        <w:bottom w:val="none" w:sz="0" w:space="0" w:color="auto"/>
        <w:right w:val="none" w:sz="0" w:space="0" w:color="auto"/>
      </w:divBdr>
      <w:divsChild>
        <w:div w:id="473722645">
          <w:marLeft w:val="0"/>
          <w:marRight w:val="0"/>
          <w:marTop w:val="0"/>
          <w:marBottom w:val="0"/>
          <w:divBdr>
            <w:top w:val="none" w:sz="0" w:space="0" w:color="auto"/>
            <w:left w:val="none" w:sz="0" w:space="0" w:color="auto"/>
            <w:bottom w:val="none" w:sz="0" w:space="0" w:color="auto"/>
            <w:right w:val="none" w:sz="0" w:space="0" w:color="auto"/>
          </w:divBdr>
          <w:divsChild>
            <w:div w:id="269317559">
              <w:marLeft w:val="0"/>
              <w:marRight w:val="0"/>
              <w:marTop w:val="0"/>
              <w:marBottom w:val="0"/>
              <w:divBdr>
                <w:top w:val="none" w:sz="0" w:space="0" w:color="auto"/>
                <w:left w:val="none" w:sz="0" w:space="0" w:color="auto"/>
                <w:bottom w:val="none" w:sz="0" w:space="0" w:color="auto"/>
                <w:right w:val="none" w:sz="0" w:space="0" w:color="auto"/>
              </w:divBdr>
              <w:divsChild>
                <w:div w:id="1290355193">
                  <w:marLeft w:val="0"/>
                  <w:marRight w:val="0"/>
                  <w:marTop w:val="0"/>
                  <w:marBottom w:val="0"/>
                  <w:divBdr>
                    <w:top w:val="none" w:sz="0" w:space="0" w:color="auto"/>
                    <w:left w:val="none" w:sz="0" w:space="0" w:color="auto"/>
                    <w:bottom w:val="none" w:sz="0" w:space="0" w:color="auto"/>
                    <w:right w:val="none" w:sz="0" w:space="0" w:color="auto"/>
                  </w:divBdr>
                  <w:divsChild>
                    <w:div w:id="967903411">
                      <w:marLeft w:val="0"/>
                      <w:marRight w:val="0"/>
                      <w:marTop w:val="0"/>
                      <w:marBottom w:val="0"/>
                      <w:divBdr>
                        <w:top w:val="none" w:sz="0" w:space="0" w:color="auto"/>
                        <w:left w:val="none" w:sz="0" w:space="0" w:color="auto"/>
                        <w:bottom w:val="none" w:sz="0" w:space="0" w:color="auto"/>
                        <w:right w:val="none" w:sz="0" w:space="0" w:color="auto"/>
                      </w:divBdr>
                      <w:divsChild>
                        <w:div w:id="104202558">
                          <w:marLeft w:val="0"/>
                          <w:marRight w:val="0"/>
                          <w:marTop w:val="0"/>
                          <w:marBottom w:val="0"/>
                          <w:divBdr>
                            <w:top w:val="none" w:sz="0" w:space="0" w:color="auto"/>
                            <w:left w:val="none" w:sz="0" w:space="0" w:color="auto"/>
                            <w:bottom w:val="none" w:sz="0" w:space="0" w:color="auto"/>
                            <w:right w:val="none" w:sz="0" w:space="0" w:color="auto"/>
                          </w:divBdr>
                          <w:divsChild>
                            <w:div w:id="786512590">
                              <w:marLeft w:val="0"/>
                              <w:marRight w:val="0"/>
                              <w:marTop w:val="0"/>
                              <w:marBottom w:val="0"/>
                              <w:divBdr>
                                <w:top w:val="none" w:sz="0" w:space="0" w:color="auto"/>
                                <w:left w:val="none" w:sz="0" w:space="0" w:color="auto"/>
                                <w:bottom w:val="none" w:sz="0" w:space="0" w:color="auto"/>
                                <w:right w:val="none" w:sz="0" w:space="0" w:color="auto"/>
                              </w:divBdr>
                              <w:divsChild>
                                <w:div w:id="2037273687">
                                  <w:marLeft w:val="0"/>
                                  <w:marRight w:val="0"/>
                                  <w:marTop w:val="0"/>
                                  <w:marBottom w:val="0"/>
                                  <w:divBdr>
                                    <w:top w:val="none" w:sz="0" w:space="0" w:color="auto"/>
                                    <w:left w:val="none" w:sz="0" w:space="0" w:color="auto"/>
                                    <w:bottom w:val="none" w:sz="0" w:space="0" w:color="auto"/>
                                    <w:right w:val="none" w:sz="0" w:space="0" w:color="auto"/>
                                  </w:divBdr>
                                  <w:divsChild>
                                    <w:div w:id="1541815794">
                                      <w:marLeft w:val="0"/>
                                      <w:marRight w:val="0"/>
                                      <w:marTop w:val="0"/>
                                      <w:marBottom w:val="0"/>
                                      <w:divBdr>
                                        <w:top w:val="none" w:sz="0" w:space="0" w:color="auto"/>
                                        <w:left w:val="none" w:sz="0" w:space="0" w:color="auto"/>
                                        <w:bottom w:val="none" w:sz="0" w:space="0" w:color="auto"/>
                                        <w:right w:val="none" w:sz="0" w:space="0" w:color="auto"/>
                                      </w:divBdr>
                                      <w:divsChild>
                                        <w:div w:id="125633081">
                                          <w:marLeft w:val="0"/>
                                          <w:marRight w:val="0"/>
                                          <w:marTop w:val="0"/>
                                          <w:marBottom w:val="0"/>
                                          <w:divBdr>
                                            <w:top w:val="none" w:sz="0" w:space="0" w:color="auto"/>
                                            <w:left w:val="none" w:sz="0" w:space="0" w:color="auto"/>
                                            <w:bottom w:val="none" w:sz="0" w:space="0" w:color="auto"/>
                                            <w:right w:val="none" w:sz="0" w:space="0" w:color="auto"/>
                                          </w:divBdr>
                                          <w:divsChild>
                                            <w:div w:id="70425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25434956">
      <w:bodyDiv w:val="1"/>
      <w:marLeft w:val="0"/>
      <w:marRight w:val="0"/>
      <w:marTop w:val="0"/>
      <w:marBottom w:val="0"/>
      <w:divBdr>
        <w:top w:val="none" w:sz="0" w:space="0" w:color="auto"/>
        <w:left w:val="none" w:sz="0" w:space="0" w:color="auto"/>
        <w:bottom w:val="none" w:sz="0" w:space="0" w:color="auto"/>
        <w:right w:val="none" w:sz="0" w:space="0" w:color="auto"/>
      </w:divBdr>
    </w:div>
    <w:div w:id="655452165">
      <w:bodyDiv w:val="1"/>
      <w:marLeft w:val="0"/>
      <w:marRight w:val="0"/>
      <w:marTop w:val="0"/>
      <w:marBottom w:val="0"/>
      <w:divBdr>
        <w:top w:val="none" w:sz="0" w:space="0" w:color="auto"/>
        <w:left w:val="none" w:sz="0" w:space="0" w:color="auto"/>
        <w:bottom w:val="none" w:sz="0" w:space="0" w:color="auto"/>
        <w:right w:val="none" w:sz="0" w:space="0" w:color="auto"/>
      </w:divBdr>
    </w:div>
    <w:div w:id="766541289">
      <w:bodyDiv w:val="1"/>
      <w:marLeft w:val="0"/>
      <w:marRight w:val="0"/>
      <w:marTop w:val="0"/>
      <w:marBottom w:val="0"/>
      <w:divBdr>
        <w:top w:val="none" w:sz="0" w:space="0" w:color="auto"/>
        <w:left w:val="none" w:sz="0" w:space="0" w:color="auto"/>
        <w:bottom w:val="none" w:sz="0" w:space="0" w:color="auto"/>
        <w:right w:val="none" w:sz="0" w:space="0" w:color="auto"/>
      </w:divBdr>
      <w:divsChild>
        <w:div w:id="1470632856">
          <w:marLeft w:val="0"/>
          <w:marRight w:val="0"/>
          <w:marTop w:val="0"/>
          <w:marBottom w:val="0"/>
          <w:divBdr>
            <w:top w:val="none" w:sz="0" w:space="0" w:color="auto"/>
            <w:left w:val="none" w:sz="0" w:space="0" w:color="auto"/>
            <w:bottom w:val="none" w:sz="0" w:space="0" w:color="auto"/>
            <w:right w:val="none" w:sz="0" w:space="0" w:color="auto"/>
          </w:divBdr>
          <w:divsChild>
            <w:div w:id="1782987832">
              <w:marLeft w:val="0"/>
              <w:marRight w:val="0"/>
              <w:marTop w:val="0"/>
              <w:marBottom w:val="0"/>
              <w:divBdr>
                <w:top w:val="none" w:sz="0" w:space="0" w:color="auto"/>
                <w:left w:val="none" w:sz="0" w:space="0" w:color="auto"/>
                <w:bottom w:val="none" w:sz="0" w:space="0" w:color="auto"/>
                <w:right w:val="none" w:sz="0" w:space="0" w:color="auto"/>
              </w:divBdr>
              <w:divsChild>
                <w:div w:id="82924105">
                  <w:marLeft w:val="0"/>
                  <w:marRight w:val="0"/>
                  <w:marTop w:val="0"/>
                  <w:marBottom w:val="0"/>
                  <w:divBdr>
                    <w:top w:val="none" w:sz="0" w:space="0" w:color="auto"/>
                    <w:left w:val="none" w:sz="0" w:space="0" w:color="auto"/>
                    <w:bottom w:val="none" w:sz="0" w:space="0" w:color="auto"/>
                    <w:right w:val="none" w:sz="0" w:space="0" w:color="auto"/>
                  </w:divBdr>
                  <w:divsChild>
                    <w:div w:id="2039353375">
                      <w:marLeft w:val="0"/>
                      <w:marRight w:val="0"/>
                      <w:marTop w:val="0"/>
                      <w:marBottom w:val="0"/>
                      <w:divBdr>
                        <w:top w:val="none" w:sz="0" w:space="0" w:color="auto"/>
                        <w:left w:val="none" w:sz="0" w:space="0" w:color="auto"/>
                        <w:bottom w:val="none" w:sz="0" w:space="0" w:color="auto"/>
                        <w:right w:val="none" w:sz="0" w:space="0" w:color="auto"/>
                      </w:divBdr>
                      <w:divsChild>
                        <w:div w:id="1746799026">
                          <w:marLeft w:val="0"/>
                          <w:marRight w:val="0"/>
                          <w:marTop w:val="0"/>
                          <w:marBottom w:val="0"/>
                          <w:divBdr>
                            <w:top w:val="none" w:sz="0" w:space="0" w:color="auto"/>
                            <w:left w:val="none" w:sz="0" w:space="0" w:color="auto"/>
                            <w:bottom w:val="none" w:sz="0" w:space="0" w:color="auto"/>
                            <w:right w:val="none" w:sz="0" w:space="0" w:color="auto"/>
                          </w:divBdr>
                          <w:divsChild>
                            <w:div w:id="1300039389">
                              <w:marLeft w:val="0"/>
                              <w:marRight w:val="0"/>
                              <w:marTop w:val="0"/>
                              <w:marBottom w:val="0"/>
                              <w:divBdr>
                                <w:top w:val="none" w:sz="0" w:space="0" w:color="auto"/>
                                <w:left w:val="none" w:sz="0" w:space="0" w:color="auto"/>
                                <w:bottom w:val="none" w:sz="0" w:space="0" w:color="auto"/>
                                <w:right w:val="none" w:sz="0" w:space="0" w:color="auto"/>
                              </w:divBdr>
                              <w:divsChild>
                                <w:div w:id="204098264">
                                  <w:marLeft w:val="0"/>
                                  <w:marRight w:val="0"/>
                                  <w:marTop w:val="0"/>
                                  <w:marBottom w:val="0"/>
                                  <w:divBdr>
                                    <w:top w:val="none" w:sz="0" w:space="0" w:color="auto"/>
                                    <w:left w:val="none" w:sz="0" w:space="0" w:color="auto"/>
                                    <w:bottom w:val="none" w:sz="0" w:space="0" w:color="auto"/>
                                    <w:right w:val="none" w:sz="0" w:space="0" w:color="auto"/>
                                  </w:divBdr>
                                  <w:divsChild>
                                    <w:div w:id="754862706">
                                      <w:marLeft w:val="0"/>
                                      <w:marRight w:val="0"/>
                                      <w:marTop w:val="0"/>
                                      <w:marBottom w:val="0"/>
                                      <w:divBdr>
                                        <w:top w:val="none" w:sz="0" w:space="0" w:color="auto"/>
                                        <w:left w:val="none" w:sz="0" w:space="0" w:color="auto"/>
                                        <w:bottom w:val="none" w:sz="0" w:space="0" w:color="auto"/>
                                        <w:right w:val="none" w:sz="0" w:space="0" w:color="auto"/>
                                      </w:divBdr>
                                      <w:divsChild>
                                        <w:div w:id="1423378987">
                                          <w:marLeft w:val="0"/>
                                          <w:marRight w:val="0"/>
                                          <w:marTop w:val="0"/>
                                          <w:marBottom w:val="0"/>
                                          <w:divBdr>
                                            <w:top w:val="none" w:sz="0" w:space="0" w:color="auto"/>
                                            <w:left w:val="none" w:sz="0" w:space="0" w:color="auto"/>
                                            <w:bottom w:val="none" w:sz="0" w:space="0" w:color="auto"/>
                                            <w:right w:val="none" w:sz="0" w:space="0" w:color="auto"/>
                                          </w:divBdr>
                                          <w:divsChild>
                                            <w:div w:id="1258905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85537476">
      <w:bodyDiv w:val="1"/>
      <w:marLeft w:val="0"/>
      <w:marRight w:val="0"/>
      <w:marTop w:val="0"/>
      <w:marBottom w:val="0"/>
      <w:divBdr>
        <w:top w:val="none" w:sz="0" w:space="0" w:color="auto"/>
        <w:left w:val="none" w:sz="0" w:space="0" w:color="auto"/>
        <w:bottom w:val="none" w:sz="0" w:space="0" w:color="auto"/>
        <w:right w:val="none" w:sz="0" w:space="0" w:color="auto"/>
      </w:divBdr>
    </w:div>
    <w:div w:id="803080785">
      <w:bodyDiv w:val="1"/>
      <w:marLeft w:val="0"/>
      <w:marRight w:val="0"/>
      <w:marTop w:val="0"/>
      <w:marBottom w:val="0"/>
      <w:divBdr>
        <w:top w:val="none" w:sz="0" w:space="0" w:color="auto"/>
        <w:left w:val="none" w:sz="0" w:space="0" w:color="auto"/>
        <w:bottom w:val="none" w:sz="0" w:space="0" w:color="auto"/>
        <w:right w:val="none" w:sz="0" w:space="0" w:color="auto"/>
      </w:divBdr>
    </w:div>
    <w:div w:id="845021945">
      <w:bodyDiv w:val="1"/>
      <w:marLeft w:val="0"/>
      <w:marRight w:val="0"/>
      <w:marTop w:val="0"/>
      <w:marBottom w:val="0"/>
      <w:divBdr>
        <w:top w:val="none" w:sz="0" w:space="0" w:color="auto"/>
        <w:left w:val="none" w:sz="0" w:space="0" w:color="auto"/>
        <w:bottom w:val="none" w:sz="0" w:space="0" w:color="auto"/>
        <w:right w:val="none" w:sz="0" w:space="0" w:color="auto"/>
      </w:divBdr>
      <w:divsChild>
        <w:div w:id="872496691">
          <w:marLeft w:val="0"/>
          <w:marRight w:val="0"/>
          <w:marTop w:val="0"/>
          <w:marBottom w:val="0"/>
          <w:divBdr>
            <w:top w:val="none" w:sz="0" w:space="0" w:color="auto"/>
            <w:left w:val="none" w:sz="0" w:space="0" w:color="auto"/>
            <w:bottom w:val="none" w:sz="0" w:space="0" w:color="auto"/>
            <w:right w:val="none" w:sz="0" w:space="0" w:color="auto"/>
          </w:divBdr>
          <w:divsChild>
            <w:div w:id="33578372">
              <w:marLeft w:val="0"/>
              <w:marRight w:val="0"/>
              <w:marTop w:val="0"/>
              <w:marBottom w:val="0"/>
              <w:divBdr>
                <w:top w:val="none" w:sz="0" w:space="0" w:color="auto"/>
                <w:left w:val="none" w:sz="0" w:space="0" w:color="auto"/>
                <w:bottom w:val="none" w:sz="0" w:space="0" w:color="auto"/>
                <w:right w:val="none" w:sz="0" w:space="0" w:color="auto"/>
              </w:divBdr>
              <w:divsChild>
                <w:div w:id="2070110502">
                  <w:marLeft w:val="0"/>
                  <w:marRight w:val="0"/>
                  <w:marTop w:val="0"/>
                  <w:marBottom w:val="0"/>
                  <w:divBdr>
                    <w:top w:val="none" w:sz="0" w:space="0" w:color="auto"/>
                    <w:left w:val="none" w:sz="0" w:space="0" w:color="auto"/>
                    <w:bottom w:val="none" w:sz="0" w:space="0" w:color="auto"/>
                    <w:right w:val="none" w:sz="0" w:space="0" w:color="auto"/>
                  </w:divBdr>
                  <w:divsChild>
                    <w:div w:id="815072376">
                      <w:marLeft w:val="0"/>
                      <w:marRight w:val="0"/>
                      <w:marTop w:val="0"/>
                      <w:marBottom w:val="0"/>
                      <w:divBdr>
                        <w:top w:val="none" w:sz="0" w:space="0" w:color="auto"/>
                        <w:left w:val="none" w:sz="0" w:space="0" w:color="auto"/>
                        <w:bottom w:val="none" w:sz="0" w:space="0" w:color="auto"/>
                        <w:right w:val="none" w:sz="0" w:space="0" w:color="auto"/>
                      </w:divBdr>
                      <w:divsChild>
                        <w:div w:id="930234270">
                          <w:marLeft w:val="0"/>
                          <w:marRight w:val="0"/>
                          <w:marTop w:val="0"/>
                          <w:marBottom w:val="0"/>
                          <w:divBdr>
                            <w:top w:val="none" w:sz="0" w:space="0" w:color="auto"/>
                            <w:left w:val="none" w:sz="0" w:space="0" w:color="auto"/>
                            <w:bottom w:val="none" w:sz="0" w:space="0" w:color="auto"/>
                            <w:right w:val="none" w:sz="0" w:space="0" w:color="auto"/>
                          </w:divBdr>
                          <w:divsChild>
                            <w:div w:id="65342469">
                              <w:marLeft w:val="0"/>
                              <w:marRight w:val="0"/>
                              <w:marTop w:val="0"/>
                              <w:marBottom w:val="0"/>
                              <w:divBdr>
                                <w:top w:val="none" w:sz="0" w:space="0" w:color="auto"/>
                                <w:left w:val="none" w:sz="0" w:space="0" w:color="auto"/>
                                <w:bottom w:val="none" w:sz="0" w:space="0" w:color="auto"/>
                                <w:right w:val="none" w:sz="0" w:space="0" w:color="auto"/>
                              </w:divBdr>
                              <w:divsChild>
                                <w:div w:id="1097363427">
                                  <w:marLeft w:val="0"/>
                                  <w:marRight w:val="0"/>
                                  <w:marTop w:val="0"/>
                                  <w:marBottom w:val="0"/>
                                  <w:divBdr>
                                    <w:top w:val="none" w:sz="0" w:space="0" w:color="auto"/>
                                    <w:left w:val="none" w:sz="0" w:space="0" w:color="auto"/>
                                    <w:bottom w:val="none" w:sz="0" w:space="0" w:color="auto"/>
                                    <w:right w:val="none" w:sz="0" w:space="0" w:color="auto"/>
                                  </w:divBdr>
                                  <w:divsChild>
                                    <w:div w:id="2107729465">
                                      <w:marLeft w:val="0"/>
                                      <w:marRight w:val="0"/>
                                      <w:marTop w:val="0"/>
                                      <w:marBottom w:val="0"/>
                                      <w:divBdr>
                                        <w:top w:val="none" w:sz="0" w:space="0" w:color="auto"/>
                                        <w:left w:val="none" w:sz="0" w:space="0" w:color="auto"/>
                                        <w:bottom w:val="none" w:sz="0" w:space="0" w:color="auto"/>
                                        <w:right w:val="none" w:sz="0" w:space="0" w:color="auto"/>
                                      </w:divBdr>
                                      <w:divsChild>
                                        <w:div w:id="2080402242">
                                          <w:marLeft w:val="0"/>
                                          <w:marRight w:val="0"/>
                                          <w:marTop w:val="0"/>
                                          <w:marBottom w:val="0"/>
                                          <w:divBdr>
                                            <w:top w:val="none" w:sz="0" w:space="0" w:color="auto"/>
                                            <w:left w:val="none" w:sz="0" w:space="0" w:color="auto"/>
                                            <w:bottom w:val="none" w:sz="0" w:space="0" w:color="auto"/>
                                            <w:right w:val="none" w:sz="0" w:space="0" w:color="auto"/>
                                          </w:divBdr>
                                          <w:divsChild>
                                            <w:div w:id="46696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8492711">
      <w:bodyDiv w:val="1"/>
      <w:marLeft w:val="0"/>
      <w:marRight w:val="0"/>
      <w:marTop w:val="0"/>
      <w:marBottom w:val="0"/>
      <w:divBdr>
        <w:top w:val="none" w:sz="0" w:space="0" w:color="auto"/>
        <w:left w:val="none" w:sz="0" w:space="0" w:color="auto"/>
        <w:bottom w:val="none" w:sz="0" w:space="0" w:color="auto"/>
        <w:right w:val="none" w:sz="0" w:space="0" w:color="auto"/>
      </w:divBdr>
    </w:div>
    <w:div w:id="928663323">
      <w:bodyDiv w:val="1"/>
      <w:marLeft w:val="0"/>
      <w:marRight w:val="0"/>
      <w:marTop w:val="0"/>
      <w:marBottom w:val="0"/>
      <w:divBdr>
        <w:top w:val="none" w:sz="0" w:space="0" w:color="auto"/>
        <w:left w:val="none" w:sz="0" w:space="0" w:color="auto"/>
        <w:bottom w:val="none" w:sz="0" w:space="0" w:color="auto"/>
        <w:right w:val="none" w:sz="0" w:space="0" w:color="auto"/>
      </w:divBdr>
    </w:div>
    <w:div w:id="959070269">
      <w:bodyDiv w:val="1"/>
      <w:marLeft w:val="0"/>
      <w:marRight w:val="0"/>
      <w:marTop w:val="0"/>
      <w:marBottom w:val="0"/>
      <w:divBdr>
        <w:top w:val="none" w:sz="0" w:space="0" w:color="auto"/>
        <w:left w:val="none" w:sz="0" w:space="0" w:color="auto"/>
        <w:bottom w:val="none" w:sz="0" w:space="0" w:color="auto"/>
        <w:right w:val="none" w:sz="0" w:space="0" w:color="auto"/>
      </w:divBdr>
    </w:div>
    <w:div w:id="1076824669">
      <w:bodyDiv w:val="1"/>
      <w:marLeft w:val="0"/>
      <w:marRight w:val="0"/>
      <w:marTop w:val="0"/>
      <w:marBottom w:val="0"/>
      <w:divBdr>
        <w:top w:val="none" w:sz="0" w:space="0" w:color="auto"/>
        <w:left w:val="none" w:sz="0" w:space="0" w:color="auto"/>
        <w:bottom w:val="none" w:sz="0" w:space="0" w:color="auto"/>
        <w:right w:val="none" w:sz="0" w:space="0" w:color="auto"/>
      </w:divBdr>
    </w:div>
    <w:div w:id="1099641476">
      <w:bodyDiv w:val="1"/>
      <w:marLeft w:val="0"/>
      <w:marRight w:val="0"/>
      <w:marTop w:val="0"/>
      <w:marBottom w:val="0"/>
      <w:divBdr>
        <w:top w:val="none" w:sz="0" w:space="0" w:color="auto"/>
        <w:left w:val="none" w:sz="0" w:space="0" w:color="auto"/>
        <w:bottom w:val="none" w:sz="0" w:space="0" w:color="auto"/>
        <w:right w:val="none" w:sz="0" w:space="0" w:color="auto"/>
      </w:divBdr>
    </w:div>
    <w:div w:id="1175071340">
      <w:bodyDiv w:val="1"/>
      <w:marLeft w:val="0"/>
      <w:marRight w:val="0"/>
      <w:marTop w:val="0"/>
      <w:marBottom w:val="0"/>
      <w:divBdr>
        <w:top w:val="none" w:sz="0" w:space="0" w:color="auto"/>
        <w:left w:val="none" w:sz="0" w:space="0" w:color="auto"/>
        <w:bottom w:val="none" w:sz="0" w:space="0" w:color="auto"/>
        <w:right w:val="none" w:sz="0" w:space="0" w:color="auto"/>
      </w:divBdr>
    </w:div>
    <w:div w:id="1350256331">
      <w:bodyDiv w:val="1"/>
      <w:marLeft w:val="0"/>
      <w:marRight w:val="0"/>
      <w:marTop w:val="0"/>
      <w:marBottom w:val="0"/>
      <w:divBdr>
        <w:top w:val="none" w:sz="0" w:space="0" w:color="auto"/>
        <w:left w:val="none" w:sz="0" w:space="0" w:color="auto"/>
        <w:bottom w:val="none" w:sz="0" w:space="0" w:color="auto"/>
        <w:right w:val="none" w:sz="0" w:space="0" w:color="auto"/>
      </w:divBdr>
    </w:div>
    <w:div w:id="1404723396">
      <w:bodyDiv w:val="1"/>
      <w:marLeft w:val="0"/>
      <w:marRight w:val="0"/>
      <w:marTop w:val="0"/>
      <w:marBottom w:val="0"/>
      <w:divBdr>
        <w:top w:val="none" w:sz="0" w:space="0" w:color="auto"/>
        <w:left w:val="none" w:sz="0" w:space="0" w:color="auto"/>
        <w:bottom w:val="none" w:sz="0" w:space="0" w:color="auto"/>
        <w:right w:val="none" w:sz="0" w:space="0" w:color="auto"/>
      </w:divBdr>
      <w:divsChild>
        <w:div w:id="228198453">
          <w:marLeft w:val="0"/>
          <w:marRight w:val="0"/>
          <w:marTop w:val="0"/>
          <w:marBottom w:val="0"/>
          <w:divBdr>
            <w:top w:val="none" w:sz="0" w:space="0" w:color="auto"/>
            <w:left w:val="none" w:sz="0" w:space="0" w:color="auto"/>
            <w:bottom w:val="none" w:sz="0" w:space="0" w:color="auto"/>
            <w:right w:val="none" w:sz="0" w:space="0" w:color="auto"/>
          </w:divBdr>
          <w:divsChild>
            <w:div w:id="758211838">
              <w:marLeft w:val="0"/>
              <w:marRight w:val="0"/>
              <w:marTop w:val="0"/>
              <w:marBottom w:val="0"/>
              <w:divBdr>
                <w:top w:val="none" w:sz="0" w:space="0" w:color="auto"/>
                <w:left w:val="none" w:sz="0" w:space="0" w:color="auto"/>
                <w:bottom w:val="none" w:sz="0" w:space="0" w:color="auto"/>
                <w:right w:val="none" w:sz="0" w:space="0" w:color="auto"/>
              </w:divBdr>
              <w:divsChild>
                <w:div w:id="1875076264">
                  <w:marLeft w:val="0"/>
                  <w:marRight w:val="0"/>
                  <w:marTop w:val="0"/>
                  <w:marBottom w:val="0"/>
                  <w:divBdr>
                    <w:top w:val="none" w:sz="0" w:space="0" w:color="auto"/>
                    <w:left w:val="none" w:sz="0" w:space="0" w:color="auto"/>
                    <w:bottom w:val="none" w:sz="0" w:space="0" w:color="auto"/>
                    <w:right w:val="none" w:sz="0" w:space="0" w:color="auto"/>
                  </w:divBdr>
                  <w:divsChild>
                    <w:div w:id="287585707">
                      <w:marLeft w:val="0"/>
                      <w:marRight w:val="0"/>
                      <w:marTop w:val="0"/>
                      <w:marBottom w:val="0"/>
                      <w:divBdr>
                        <w:top w:val="none" w:sz="0" w:space="0" w:color="auto"/>
                        <w:left w:val="none" w:sz="0" w:space="0" w:color="auto"/>
                        <w:bottom w:val="none" w:sz="0" w:space="0" w:color="auto"/>
                        <w:right w:val="none" w:sz="0" w:space="0" w:color="auto"/>
                      </w:divBdr>
                      <w:divsChild>
                        <w:div w:id="1072890397">
                          <w:marLeft w:val="0"/>
                          <w:marRight w:val="0"/>
                          <w:marTop w:val="0"/>
                          <w:marBottom w:val="0"/>
                          <w:divBdr>
                            <w:top w:val="none" w:sz="0" w:space="0" w:color="auto"/>
                            <w:left w:val="none" w:sz="0" w:space="0" w:color="auto"/>
                            <w:bottom w:val="none" w:sz="0" w:space="0" w:color="auto"/>
                            <w:right w:val="none" w:sz="0" w:space="0" w:color="auto"/>
                          </w:divBdr>
                          <w:divsChild>
                            <w:div w:id="708649925">
                              <w:marLeft w:val="0"/>
                              <w:marRight w:val="0"/>
                              <w:marTop w:val="0"/>
                              <w:marBottom w:val="0"/>
                              <w:divBdr>
                                <w:top w:val="none" w:sz="0" w:space="0" w:color="auto"/>
                                <w:left w:val="none" w:sz="0" w:space="0" w:color="auto"/>
                                <w:bottom w:val="none" w:sz="0" w:space="0" w:color="auto"/>
                                <w:right w:val="none" w:sz="0" w:space="0" w:color="auto"/>
                              </w:divBdr>
                              <w:divsChild>
                                <w:div w:id="1313484290">
                                  <w:marLeft w:val="0"/>
                                  <w:marRight w:val="0"/>
                                  <w:marTop w:val="0"/>
                                  <w:marBottom w:val="0"/>
                                  <w:divBdr>
                                    <w:top w:val="none" w:sz="0" w:space="0" w:color="auto"/>
                                    <w:left w:val="none" w:sz="0" w:space="0" w:color="auto"/>
                                    <w:bottom w:val="none" w:sz="0" w:space="0" w:color="auto"/>
                                    <w:right w:val="none" w:sz="0" w:space="0" w:color="auto"/>
                                  </w:divBdr>
                                  <w:divsChild>
                                    <w:div w:id="103497751">
                                      <w:marLeft w:val="0"/>
                                      <w:marRight w:val="0"/>
                                      <w:marTop w:val="0"/>
                                      <w:marBottom w:val="0"/>
                                      <w:divBdr>
                                        <w:top w:val="none" w:sz="0" w:space="0" w:color="auto"/>
                                        <w:left w:val="none" w:sz="0" w:space="0" w:color="auto"/>
                                        <w:bottom w:val="none" w:sz="0" w:space="0" w:color="auto"/>
                                        <w:right w:val="none" w:sz="0" w:space="0" w:color="auto"/>
                                      </w:divBdr>
                                      <w:divsChild>
                                        <w:div w:id="1117064720">
                                          <w:marLeft w:val="0"/>
                                          <w:marRight w:val="0"/>
                                          <w:marTop w:val="0"/>
                                          <w:marBottom w:val="0"/>
                                          <w:divBdr>
                                            <w:top w:val="none" w:sz="0" w:space="0" w:color="auto"/>
                                            <w:left w:val="none" w:sz="0" w:space="0" w:color="auto"/>
                                            <w:bottom w:val="none" w:sz="0" w:space="0" w:color="auto"/>
                                            <w:right w:val="none" w:sz="0" w:space="0" w:color="auto"/>
                                          </w:divBdr>
                                          <w:divsChild>
                                            <w:div w:id="156140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14468919">
      <w:bodyDiv w:val="1"/>
      <w:marLeft w:val="0"/>
      <w:marRight w:val="0"/>
      <w:marTop w:val="0"/>
      <w:marBottom w:val="0"/>
      <w:divBdr>
        <w:top w:val="none" w:sz="0" w:space="0" w:color="auto"/>
        <w:left w:val="none" w:sz="0" w:space="0" w:color="auto"/>
        <w:bottom w:val="none" w:sz="0" w:space="0" w:color="auto"/>
        <w:right w:val="none" w:sz="0" w:space="0" w:color="auto"/>
      </w:divBdr>
    </w:div>
    <w:div w:id="1435125024">
      <w:bodyDiv w:val="1"/>
      <w:marLeft w:val="0"/>
      <w:marRight w:val="0"/>
      <w:marTop w:val="0"/>
      <w:marBottom w:val="0"/>
      <w:divBdr>
        <w:top w:val="none" w:sz="0" w:space="0" w:color="auto"/>
        <w:left w:val="none" w:sz="0" w:space="0" w:color="auto"/>
        <w:bottom w:val="none" w:sz="0" w:space="0" w:color="auto"/>
        <w:right w:val="none" w:sz="0" w:space="0" w:color="auto"/>
      </w:divBdr>
    </w:div>
    <w:div w:id="1767310856">
      <w:bodyDiv w:val="1"/>
      <w:marLeft w:val="0"/>
      <w:marRight w:val="0"/>
      <w:marTop w:val="0"/>
      <w:marBottom w:val="0"/>
      <w:divBdr>
        <w:top w:val="none" w:sz="0" w:space="0" w:color="auto"/>
        <w:left w:val="none" w:sz="0" w:space="0" w:color="auto"/>
        <w:bottom w:val="none" w:sz="0" w:space="0" w:color="auto"/>
        <w:right w:val="none" w:sz="0" w:space="0" w:color="auto"/>
      </w:divBdr>
    </w:div>
    <w:div w:id="1793865970">
      <w:bodyDiv w:val="1"/>
      <w:marLeft w:val="0"/>
      <w:marRight w:val="0"/>
      <w:marTop w:val="0"/>
      <w:marBottom w:val="0"/>
      <w:divBdr>
        <w:top w:val="none" w:sz="0" w:space="0" w:color="auto"/>
        <w:left w:val="none" w:sz="0" w:space="0" w:color="auto"/>
        <w:bottom w:val="none" w:sz="0" w:space="0" w:color="auto"/>
        <w:right w:val="none" w:sz="0" w:space="0" w:color="auto"/>
      </w:divBdr>
    </w:div>
    <w:div w:id="1910580313">
      <w:bodyDiv w:val="1"/>
      <w:marLeft w:val="0"/>
      <w:marRight w:val="0"/>
      <w:marTop w:val="0"/>
      <w:marBottom w:val="0"/>
      <w:divBdr>
        <w:top w:val="none" w:sz="0" w:space="0" w:color="auto"/>
        <w:left w:val="none" w:sz="0" w:space="0" w:color="auto"/>
        <w:bottom w:val="none" w:sz="0" w:space="0" w:color="auto"/>
        <w:right w:val="none" w:sz="0" w:space="0" w:color="auto"/>
      </w:divBdr>
    </w:div>
    <w:div w:id="1912033184">
      <w:bodyDiv w:val="1"/>
      <w:marLeft w:val="0"/>
      <w:marRight w:val="0"/>
      <w:marTop w:val="0"/>
      <w:marBottom w:val="0"/>
      <w:divBdr>
        <w:top w:val="none" w:sz="0" w:space="0" w:color="auto"/>
        <w:left w:val="none" w:sz="0" w:space="0" w:color="auto"/>
        <w:bottom w:val="none" w:sz="0" w:space="0" w:color="auto"/>
        <w:right w:val="none" w:sz="0" w:space="0" w:color="auto"/>
      </w:divBdr>
    </w:div>
    <w:div w:id="1916090962">
      <w:bodyDiv w:val="1"/>
      <w:marLeft w:val="0"/>
      <w:marRight w:val="0"/>
      <w:marTop w:val="0"/>
      <w:marBottom w:val="0"/>
      <w:divBdr>
        <w:top w:val="none" w:sz="0" w:space="0" w:color="auto"/>
        <w:left w:val="none" w:sz="0" w:space="0" w:color="auto"/>
        <w:bottom w:val="none" w:sz="0" w:space="0" w:color="auto"/>
        <w:right w:val="none" w:sz="0" w:space="0" w:color="auto"/>
      </w:divBdr>
    </w:div>
    <w:div w:id="1921134807">
      <w:bodyDiv w:val="1"/>
      <w:marLeft w:val="0"/>
      <w:marRight w:val="0"/>
      <w:marTop w:val="0"/>
      <w:marBottom w:val="0"/>
      <w:divBdr>
        <w:top w:val="none" w:sz="0" w:space="0" w:color="auto"/>
        <w:left w:val="none" w:sz="0" w:space="0" w:color="auto"/>
        <w:bottom w:val="none" w:sz="0" w:space="0" w:color="auto"/>
        <w:right w:val="none" w:sz="0" w:space="0" w:color="auto"/>
      </w:divBdr>
    </w:div>
    <w:div w:id="1923292625">
      <w:bodyDiv w:val="1"/>
      <w:marLeft w:val="0"/>
      <w:marRight w:val="0"/>
      <w:marTop w:val="0"/>
      <w:marBottom w:val="0"/>
      <w:divBdr>
        <w:top w:val="none" w:sz="0" w:space="0" w:color="auto"/>
        <w:left w:val="none" w:sz="0" w:space="0" w:color="auto"/>
        <w:bottom w:val="none" w:sz="0" w:space="0" w:color="auto"/>
        <w:right w:val="none" w:sz="0" w:space="0" w:color="auto"/>
      </w:divBdr>
    </w:div>
    <w:div w:id="1959952112">
      <w:bodyDiv w:val="1"/>
      <w:marLeft w:val="0"/>
      <w:marRight w:val="0"/>
      <w:marTop w:val="0"/>
      <w:marBottom w:val="0"/>
      <w:divBdr>
        <w:top w:val="none" w:sz="0" w:space="0" w:color="auto"/>
        <w:left w:val="none" w:sz="0" w:space="0" w:color="auto"/>
        <w:bottom w:val="none" w:sz="0" w:space="0" w:color="auto"/>
        <w:right w:val="none" w:sz="0" w:space="0" w:color="auto"/>
      </w:divBdr>
    </w:div>
    <w:div w:id="2097363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igital.nhs.uk/data-and-information/publications/statistical/quality-and-outcomes-framework-achievement-prevalence-and-exceptions-data/2020-21"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longtermplan.nhs.uk/"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ice.org.uk/guidance/NG246"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nice.org.uk/guidance/NG246" TargetMode="External"/><Relationship Id="rId4" Type="http://schemas.openxmlformats.org/officeDocument/2006/relationships/webSettings" Target="webSettings.xml"/><Relationship Id="rId9" Type="http://schemas.openxmlformats.org/officeDocument/2006/relationships/hyperlink" Target="https://digital.nhs.uk/data-and-information/publications/statistical/health-survey-for-england/2019/health-survey-for-england-2019-data-table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657</Words>
  <Characters>4024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2022-08-12T09:03:00Z</dcterms:created>
  <dcterms:modified xsi:type="dcterms:W3CDTF">2025-01-10T15:11:00Z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2024-12-12T14:09:24Z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305f2f8d-50ae-420c-a0c8-1192b4947837</vt:lpwstr>
  </property>
  <property fmtid="{D5CDD505-2E9C-101B-9397-08002B2CF9AE}" pid="8" name="MSIP_Label_c69d85d5-6d9e-4305-a294-1f636ec0f2d6_ContentBits">
    <vt:lpwstr>0</vt:lpwstr>
  </property>
</Properties>
</file>