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3FF68F7C" w:rsidR="009B0E59" w:rsidRPr="009B0E59" w:rsidRDefault="009B0E59" w:rsidP="00192685">
      <w:pPr>
        <w:pStyle w:val="Heading1"/>
        <w:rPr>
          <w:lang w:eastAsia="en-GB"/>
        </w:rPr>
      </w:pPr>
      <w:r w:rsidRPr="009B0E59">
        <w:rPr>
          <w:lang w:eastAsia="en-GB"/>
        </w:rPr>
        <w:t xml:space="preserve">Indicator </w:t>
      </w:r>
      <w:r w:rsidR="003A0623">
        <w:rPr>
          <w:lang w:eastAsia="en-GB"/>
        </w:rPr>
        <w:t>IND27</w:t>
      </w:r>
      <w:r w:rsidR="003A0961">
        <w:rPr>
          <w:lang w:eastAsia="en-GB"/>
        </w:rPr>
        <w:t>6</w:t>
      </w:r>
    </w:p>
    <w:p w14:paraId="6BC34280" w14:textId="4A073F60" w:rsidR="003A0623" w:rsidRDefault="003A0961" w:rsidP="00192685">
      <w:pPr>
        <w:pStyle w:val="Heading1"/>
        <w:rPr>
          <w:b w:val="0"/>
          <w:bCs w:val="0"/>
          <w:kern w:val="0"/>
          <w:sz w:val="24"/>
          <w:szCs w:val="24"/>
          <w:lang w:eastAsia="en-GB"/>
        </w:rPr>
      </w:pPr>
      <w:r w:rsidRPr="003A0961">
        <w:rPr>
          <w:b w:val="0"/>
          <w:bCs w:val="0"/>
          <w:kern w:val="0"/>
          <w:sz w:val="24"/>
          <w:szCs w:val="24"/>
          <w:lang w:eastAsia="en-GB"/>
        </w:rPr>
        <w:t>The percentage of patients with diabetes and a history of cardiovascular disease (excluding a history of haemorrhagic stroke) who are currently treated with a lipid-lowering therapy.</w:t>
      </w:r>
    </w:p>
    <w:p w14:paraId="6CBA005E" w14:textId="7B1B922A" w:rsidR="00236060" w:rsidRDefault="00236060" w:rsidP="00192685">
      <w:pPr>
        <w:pStyle w:val="Heading1"/>
      </w:pPr>
      <w:r>
        <w:t xml:space="preserve">Indicator type </w:t>
      </w:r>
    </w:p>
    <w:p w14:paraId="753A72A5" w14:textId="4C792B4D" w:rsidR="00236060" w:rsidRDefault="00236060" w:rsidP="00236060">
      <w:pPr>
        <w:pStyle w:val="Paragraph"/>
      </w:pPr>
      <w:r w:rsidRPr="003A0623">
        <w:t>General practice indicator suitable for use in the Quality and Outcomes Framework.</w:t>
      </w:r>
      <w:r w:rsidR="003A0623">
        <w:t xml:space="preserve">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092A6715" w:rsidR="002338EB" w:rsidRPr="00A52CA6" w:rsidRDefault="008C3C03" w:rsidP="002338EB">
            <w:pPr>
              <w:pStyle w:val="Paragraph"/>
              <w:spacing w:before="120" w:after="120" w:line="240" w:lineRule="auto"/>
            </w:pPr>
            <w:r>
              <w:rPr>
                <w:rFonts w:cs="Arial"/>
                <w:sz w:val="22"/>
                <w:szCs w:val="22"/>
              </w:rPr>
              <w:t xml:space="preserve">People with diabetes have an increased risk of cardiovascular disease. </w:t>
            </w:r>
            <w:r w:rsidR="002338EB" w:rsidRPr="00A52CA6">
              <w:rPr>
                <w:rFonts w:cs="Arial"/>
                <w:sz w:val="22"/>
                <w:szCs w:val="22"/>
              </w:rPr>
              <w:t xml:space="preserve">The </w:t>
            </w:r>
            <w:hyperlink r:id="rId7" w:history="1">
              <w:r w:rsidR="002338EB" w:rsidRPr="00A52CA6">
                <w:rPr>
                  <w:rFonts w:cs="Arial"/>
                  <w:color w:val="0000FF"/>
                  <w:sz w:val="22"/>
                  <w:szCs w:val="22"/>
                  <w:u w:val="single"/>
                </w:rPr>
                <w:t>NHS Long Term Plan</w:t>
              </w:r>
            </w:hyperlink>
            <w:r w:rsidR="002338EB" w:rsidRPr="00A52CA6">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A52CA6" w:rsidRDefault="002338EB" w:rsidP="002338EB">
            <w:pPr>
              <w:spacing w:before="120" w:after="120"/>
              <w:rPr>
                <w:rFonts w:ascii="Arial" w:hAnsi="Arial" w:cs="Arial"/>
                <w:color w:val="000000"/>
                <w:kern w:val="24"/>
                <w:sz w:val="22"/>
                <w:szCs w:val="22"/>
                <w:lang w:val="en-US"/>
              </w:rPr>
            </w:pPr>
            <w:r w:rsidRPr="00A52CA6">
              <w:rPr>
                <w:rFonts w:ascii="Arial" w:hAnsi="Arial" w:cs="Arial"/>
                <w:color w:val="000000"/>
                <w:kern w:val="24"/>
                <w:sz w:val="22"/>
                <w:szCs w:val="22"/>
                <w:lang w:val="en-US"/>
              </w:rPr>
              <w:t>The indicator reflects a specific priority area identified by NHS England.</w:t>
            </w:r>
          </w:p>
          <w:p w14:paraId="272CA0EC" w14:textId="77777777" w:rsidR="002338EB" w:rsidRPr="00A52CA6" w:rsidRDefault="002338EB" w:rsidP="002338EB">
            <w:pPr>
              <w:pStyle w:val="Paragraph"/>
              <w:spacing w:before="120" w:after="120" w:line="240" w:lineRule="auto"/>
            </w:pPr>
          </w:p>
        </w:tc>
      </w:tr>
      <w:tr w:rsidR="00735337" w14:paraId="2E2CE1C4" w14:textId="77777777" w:rsidTr="002338EB">
        <w:tc>
          <w:tcPr>
            <w:tcW w:w="5949" w:type="dxa"/>
          </w:tcPr>
          <w:p w14:paraId="378D38FD" w14:textId="6D50544E" w:rsidR="00735337" w:rsidRPr="002338EB" w:rsidRDefault="003A0961" w:rsidP="00735337">
            <w:pPr>
              <w:pStyle w:val="Paragraph"/>
              <w:spacing w:before="120" w:after="120" w:line="240" w:lineRule="auto"/>
              <w:rPr>
                <w:highlight w:val="lightGray"/>
              </w:rPr>
            </w:pPr>
            <w:hyperlink r:id="rId8" w:history="1">
              <w:r w:rsidRPr="001927C0">
                <w:rPr>
                  <w:rStyle w:val="Hyperlink"/>
                  <w:rFonts w:cs="Arial"/>
                  <w:sz w:val="22"/>
                  <w:szCs w:val="22"/>
                </w:rPr>
                <w:t>NHS England’s Quality and Outcomes Framework 2023-4</w:t>
              </w:r>
            </w:hyperlink>
            <w:r w:rsidRPr="001927C0">
              <w:rPr>
                <w:rFonts w:cs="Arial"/>
                <w:sz w:val="22"/>
                <w:szCs w:val="22"/>
              </w:rPr>
              <w:t xml:space="preserve"> </w:t>
            </w:r>
            <w:r w:rsidR="009646D4">
              <w:rPr>
                <w:rFonts w:cs="Arial"/>
                <w:sz w:val="22"/>
                <w:szCs w:val="22"/>
              </w:rPr>
              <w:t>indicator DM023 reported an achievement rate of 95.06%</w:t>
            </w:r>
            <w:r w:rsidRPr="001927C0">
              <w:rPr>
                <w:rFonts w:cs="Arial"/>
                <w:sz w:val="22"/>
                <w:szCs w:val="22"/>
              </w:rPr>
              <w:t xml:space="preserve"> </w:t>
            </w:r>
            <w:r w:rsidR="009646D4">
              <w:rPr>
                <w:rFonts w:cs="Arial"/>
                <w:sz w:val="22"/>
                <w:szCs w:val="22"/>
              </w:rPr>
              <w:t xml:space="preserve">for </w:t>
            </w:r>
            <w:r w:rsidRPr="001927C0">
              <w:rPr>
                <w:rFonts w:cs="Arial"/>
                <w:sz w:val="22"/>
                <w:szCs w:val="22"/>
              </w:rPr>
              <w:t xml:space="preserve">people with diabetes on the register, </w:t>
            </w:r>
            <w:r w:rsidR="009646D4">
              <w:rPr>
                <w:rFonts w:cs="Arial"/>
                <w:sz w:val="22"/>
                <w:szCs w:val="22"/>
              </w:rPr>
              <w:t xml:space="preserve">with a history of CVD (excluding </w:t>
            </w:r>
            <w:r w:rsidR="009646D4" w:rsidRPr="00FD5E29">
              <w:rPr>
                <w:rFonts w:cs="Arial"/>
                <w:sz w:val="22"/>
                <w:szCs w:val="22"/>
              </w:rPr>
              <w:t>haemorrhagic stroke</w:t>
            </w:r>
            <w:r w:rsidR="009646D4">
              <w:t xml:space="preserve">) </w:t>
            </w:r>
            <w:r w:rsidR="009646D4">
              <w:rPr>
                <w:rFonts w:cs="Arial"/>
                <w:sz w:val="22"/>
                <w:szCs w:val="22"/>
              </w:rPr>
              <w:t>who</w:t>
            </w:r>
            <w:r w:rsidRPr="001927C0">
              <w:rPr>
                <w:rFonts w:cs="Arial"/>
                <w:sz w:val="22"/>
                <w:szCs w:val="22"/>
              </w:rPr>
              <w:t xml:space="preserve"> were treated with a statin in England.</w:t>
            </w:r>
            <w:r w:rsidR="009646D4">
              <w:rPr>
                <w:rFonts w:cs="Arial"/>
                <w:sz w:val="22"/>
                <w:szCs w:val="22"/>
              </w:rPr>
              <w:t xml:space="preserve"> This was an increase from 94.44% in 2022-3.</w:t>
            </w:r>
          </w:p>
        </w:tc>
        <w:tc>
          <w:tcPr>
            <w:tcW w:w="3118" w:type="dxa"/>
          </w:tcPr>
          <w:p w14:paraId="3C8B1CA2" w14:textId="77777777" w:rsidR="00735337" w:rsidRDefault="00735337" w:rsidP="00735337">
            <w:pPr>
              <w:spacing w:before="120" w:after="120"/>
              <w:rPr>
                <w:rFonts w:ascii="Arial" w:hAnsi="Arial" w:cs="Arial"/>
                <w:color w:val="000000"/>
                <w:kern w:val="24"/>
                <w:sz w:val="22"/>
                <w:szCs w:val="22"/>
                <w:lang w:val="en-US"/>
              </w:rPr>
            </w:pPr>
            <w:r w:rsidRPr="008E28EF">
              <w:rPr>
                <w:rFonts w:ascii="Arial" w:hAnsi="Arial" w:cs="Arial"/>
                <w:color w:val="000000"/>
                <w:kern w:val="24"/>
                <w:sz w:val="22"/>
                <w:szCs w:val="22"/>
                <w:lang w:val="en-US"/>
              </w:rPr>
              <w:t>The indicator relates to an area where there is known variation in practice.</w:t>
            </w:r>
          </w:p>
          <w:p w14:paraId="3FD01E72" w14:textId="3DBF3643" w:rsidR="00735337" w:rsidRPr="002338EB" w:rsidRDefault="009646D4" w:rsidP="009646D4">
            <w:pPr>
              <w:spacing w:before="120" w:after="120"/>
              <w:rPr>
                <w:highlight w:val="lightGray"/>
              </w:rPr>
            </w:pPr>
            <w:r w:rsidRPr="009646D4">
              <w:rPr>
                <w:rFonts w:ascii="Arial" w:hAnsi="Arial" w:cs="Arial"/>
                <w:color w:val="000000"/>
                <w:kern w:val="24"/>
                <w:sz w:val="22"/>
                <w:szCs w:val="22"/>
                <w:lang w:val="en-US"/>
              </w:rPr>
              <w:t>The indicator addresses</w:t>
            </w:r>
            <w:r>
              <w:rPr>
                <w:rFonts w:ascii="Arial" w:hAnsi="Arial" w:cs="Arial"/>
                <w:color w:val="000000"/>
                <w:kern w:val="24"/>
                <w:sz w:val="22"/>
                <w:szCs w:val="22"/>
                <w:lang w:val="en-US"/>
              </w:rPr>
              <w:t xml:space="preserve"> </w:t>
            </w:r>
            <w:r w:rsidRPr="009646D4">
              <w:rPr>
                <w:rFonts w:ascii="Arial" w:hAnsi="Arial" w:cs="Arial"/>
                <w:color w:val="000000"/>
                <w:kern w:val="24"/>
                <w:sz w:val="22"/>
                <w:szCs w:val="22"/>
                <w:lang w:val="en-US"/>
              </w:rPr>
              <w:t>under-treatment.</w:t>
            </w:r>
          </w:p>
        </w:tc>
      </w:tr>
      <w:tr w:rsidR="00735337" w14:paraId="373D8AA4" w14:textId="77777777" w:rsidTr="002338EB">
        <w:tc>
          <w:tcPr>
            <w:tcW w:w="5949" w:type="dxa"/>
          </w:tcPr>
          <w:p w14:paraId="40A2EA38" w14:textId="71F0C63F" w:rsidR="00735337" w:rsidRPr="00AB6032" w:rsidRDefault="00404610" w:rsidP="00404610">
            <w:pPr>
              <w:spacing w:before="120" w:after="120"/>
              <w:rPr>
                <w:rFonts w:ascii="Arial" w:hAnsi="Arial" w:cs="Arial"/>
                <w:sz w:val="22"/>
                <w:szCs w:val="22"/>
                <w:highlight w:val="cyan"/>
              </w:rPr>
            </w:pPr>
            <w:r w:rsidRPr="00404610">
              <w:rPr>
                <w:rFonts w:ascii="Arial" w:hAnsi="Arial" w:cs="Arial"/>
                <w:sz w:val="22"/>
                <w:szCs w:val="22"/>
              </w:rPr>
              <w:t>This indicator aims to reduce cardiovascular risk and</w:t>
            </w:r>
            <w:r>
              <w:rPr>
                <w:rFonts w:ascii="Arial" w:hAnsi="Arial" w:cs="Arial"/>
                <w:sz w:val="22"/>
                <w:szCs w:val="22"/>
              </w:rPr>
              <w:t xml:space="preserve"> </w:t>
            </w:r>
            <w:r w:rsidRPr="00404610">
              <w:rPr>
                <w:rFonts w:ascii="Arial" w:hAnsi="Arial" w:cs="Arial"/>
                <w:sz w:val="22"/>
                <w:szCs w:val="22"/>
              </w:rPr>
              <w:t>prevent future cardiovascular events.</w:t>
            </w:r>
          </w:p>
        </w:tc>
        <w:tc>
          <w:tcPr>
            <w:tcW w:w="3118" w:type="dxa"/>
          </w:tcPr>
          <w:p w14:paraId="45004AAC" w14:textId="38FA48CA" w:rsidR="00735337" w:rsidRPr="002338EB" w:rsidRDefault="00735337" w:rsidP="00404610">
            <w:pPr>
              <w:spacing w:before="120" w:after="120"/>
              <w:rPr>
                <w:rFonts w:ascii="Arial" w:hAnsi="Arial" w:cs="Arial"/>
                <w:color w:val="000000"/>
                <w:kern w:val="24"/>
                <w:sz w:val="22"/>
                <w:szCs w:val="22"/>
                <w:highlight w:val="lightGray"/>
                <w:lang w:val="en-US"/>
              </w:rPr>
            </w:pPr>
            <w:r w:rsidRPr="00404610">
              <w:rPr>
                <w:rFonts w:ascii="Arial" w:hAnsi="Arial" w:cs="Arial"/>
                <w:color w:val="000000"/>
                <w:kern w:val="24"/>
                <w:sz w:val="22"/>
                <w:szCs w:val="22"/>
                <w:lang w:val="en-US"/>
              </w:rPr>
              <w:t>The indicator will lead to a meaningful improvement in patient outcomes.</w:t>
            </w: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27845E56" w14:textId="7F444939" w:rsidR="00DE2D45" w:rsidRPr="00DE2D45" w:rsidRDefault="00DE2D45" w:rsidP="002F3BE7">
            <w:pPr>
              <w:pStyle w:val="Bulletleft1"/>
              <w:spacing w:line="240" w:lineRule="auto"/>
              <w:rPr>
                <w:sz w:val="22"/>
                <w:szCs w:val="22"/>
              </w:rPr>
            </w:pPr>
            <w:hyperlink r:id="rId9" w:history="1">
              <w:r w:rsidRPr="00DE2D45">
                <w:rPr>
                  <w:rStyle w:val="Hyperlink"/>
                  <w:sz w:val="22"/>
                  <w:szCs w:val="22"/>
                </w:rPr>
                <w:t>Cardiovascular disease: risk assessment and reduction, including lipid modification. NICE guideline NG238</w:t>
              </w:r>
            </w:hyperlink>
            <w:r w:rsidRPr="00DE2D45">
              <w:rPr>
                <w:sz w:val="22"/>
                <w:szCs w:val="22"/>
              </w:rPr>
              <w:t xml:space="preserve"> (2023), recommendations 1.7.2, 1.7.3, </w:t>
            </w:r>
            <w:r w:rsidR="00785706">
              <w:rPr>
                <w:sz w:val="22"/>
                <w:szCs w:val="22"/>
              </w:rPr>
              <w:t xml:space="preserve">1.7.9, </w:t>
            </w:r>
            <w:r w:rsidRPr="00DE2D45">
              <w:rPr>
                <w:sz w:val="22"/>
                <w:szCs w:val="22"/>
              </w:rPr>
              <w:t>1.7.10, 1.10.</w:t>
            </w:r>
            <w:r w:rsidR="00785706">
              <w:rPr>
                <w:sz w:val="22"/>
                <w:szCs w:val="22"/>
              </w:rPr>
              <w:t>3</w:t>
            </w:r>
            <w:r w:rsidRPr="00DE2D45">
              <w:rPr>
                <w:sz w:val="22"/>
                <w:szCs w:val="22"/>
              </w:rPr>
              <w:t xml:space="preserve"> and 1.10.</w:t>
            </w:r>
            <w:r w:rsidR="00785706">
              <w:rPr>
                <w:sz w:val="22"/>
                <w:szCs w:val="22"/>
              </w:rPr>
              <w:t>4</w:t>
            </w:r>
          </w:p>
          <w:p w14:paraId="1C23D586" w14:textId="77777777" w:rsidR="00DE2D45" w:rsidRPr="00DE2D45" w:rsidRDefault="00DE2D45" w:rsidP="002F3BE7">
            <w:pPr>
              <w:pStyle w:val="Bulletleft1"/>
              <w:spacing w:line="240" w:lineRule="auto"/>
              <w:rPr>
                <w:sz w:val="22"/>
                <w:szCs w:val="22"/>
              </w:rPr>
            </w:pPr>
            <w:hyperlink r:id="rId10" w:history="1">
              <w:proofErr w:type="spellStart"/>
              <w:r w:rsidRPr="00DE2D45">
                <w:rPr>
                  <w:rStyle w:val="Hyperlink"/>
                  <w:sz w:val="22"/>
                  <w:szCs w:val="22"/>
                </w:rPr>
                <w:t>Inclisiran</w:t>
              </w:r>
              <w:proofErr w:type="spellEnd"/>
              <w:r w:rsidRPr="00DE2D45">
                <w:rPr>
                  <w:rStyle w:val="Hyperlink"/>
                  <w:sz w:val="22"/>
                  <w:szCs w:val="22"/>
                </w:rPr>
                <w:t xml:space="preserve"> for treating primary </w:t>
              </w:r>
              <w:proofErr w:type="spellStart"/>
              <w:r w:rsidRPr="00DE2D45">
                <w:rPr>
                  <w:rStyle w:val="Hyperlink"/>
                  <w:sz w:val="22"/>
                  <w:szCs w:val="22"/>
                </w:rPr>
                <w:t>hypercholesterolaemia</w:t>
              </w:r>
              <w:proofErr w:type="spellEnd"/>
              <w:r w:rsidRPr="00DE2D45">
                <w:rPr>
                  <w:rStyle w:val="Hyperlink"/>
                  <w:sz w:val="22"/>
                  <w:szCs w:val="22"/>
                </w:rPr>
                <w:t xml:space="preserve"> or mixed </w:t>
              </w:r>
              <w:proofErr w:type="spellStart"/>
              <w:r w:rsidRPr="00DE2D45">
                <w:rPr>
                  <w:rStyle w:val="Hyperlink"/>
                  <w:sz w:val="22"/>
                  <w:szCs w:val="22"/>
                </w:rPr>
                <w:t>dyslipidaemia</w:t>
              </w:r>
              <w:proofErr w:type="spellEnd"/>
              <w:r w:rsidRPr="00DE2D45">
                <w:rPr>
                  <w:rStyle w:val="Hyperlink"/>
                  <w:sz w:val="22"/>
                  <w:szCs w:val="22"/>
                </w:rPr>
                <w:t>. NICE technology appraisal guidance 733</w:t>
              </w:r>
            </w:hyperlink>
            <w:r w:rsidRPr="00DE2D45">
              <w:rPr>
                <w:sz w:val="22"/>
                <w:szCs w:val="22"/>
              </w:rPr>
              <w:t xml:space="preserve"> (2021)</w:t>
            </w:r>
          </w:p>
          <w:p w14:paraId="25C325B6" w14:textId="77777777" w:rsidR="00DE2D45" w:rsidRPr="00DE2D45" w:rsidRDefault="00DE2D45" w:rsidP="002F3BE7">
            <w:pPr>
              <w:pStyle w:val="Bulletleft1"/>
              <w:spacing w:line="240" w:lineRule="auto"/>
              <w:rPr>
                <w:sz w:val="22"/>
                <w:szCs w:val="22"/>
              </w:rPr>
            </w:pPr>
            <w:hyperlink r:id="rId11" w:history="1">
              <w:proofErr w:type="spellStart"/>
              <w:r w:rsidRPr="00DE2D45">
                <w:rPr>
                  <w:rStyle w:val="Hyperlink"/>
                  <w:sz w:val="22"/>
                  <w:szCs w:val="22"/>
                </w:rPr>
                <w:t>Bempedoic</w:t>
              </w:r>
              <w:proofErr w:type="spellEnd"/>
              <w:r w:rsidRPr="00DE2D45">
                <w:rPr>
                  <w:rStyle w:val="Hyperlink"/>
                  <w:sz w:val="22"/>
                  <w:szCs w:val="22"/>
                </w:rPr>
                <w:t xml:space="preserve"> acid with ezetimibe for treating primary </w:t>
              </w:r>
              <w:proofErr w:type="spellStart"/>
              <w:r w:rsidRPr="00DE2D45">
                <w:rPr>
                  <w:rStyle w:val="Hyperlink"/>
                  <w:sz w:val="22"/>
                  <w:szCs w:val="22"/>
                </w:rPr>
                <w:t>hypercholesterolaemia</w:t>
              </w:r>
              <w:proofErr w:type="spellEnd"/>
              <w:r w:rsidRPr="00DE2D45">
                <w:rPr>
                  <w:rStyle w:val="Hyperlink"/>
                  <w:sz w:val="22"/>
                  <w:szCs w:val="22"/>
                </w:rPr>
                <w:t xml:space="preserve"> or mixed </w:t>
              </w:r>
              <w:proofErr w:type="spellStart"/>
              <w:r w:rsidRPr="00DE2D45">
                <w:rPr>
                  <w:rStyle w:val="Hyperlink"/>
                  <w:sz w:val="22"/>
                  <w:szCs w:val="22"/>
                </w:rPr>
                <w:t>dyslipidaemia</w:t>
              </w:r>
              <w:proofErr w:type="spellEnd"/>
              <w:r w:rsidRPr="00DE2D45">
                <w:rPr>
                  <w:rStyle w:val="Hyperlink"/>
                  <w:sz w:val="22"/>
                  <w:szCs w:val="22"/>
                </w:rPr>
                <w:t>. NICE technology appraisal guidance 694</w:t>
              </w:r>
            </w:hyperlink>
            <w:r w:rsidRPr="00DE2D45">
              <w:rPr>
                <w:sz w:val="22"/>
                <w:szCs w:val="22"/>
              </w:rPr>
              <w:t xml:space="preserve"> (2021)</w:t>
            </w:r>
          </w:p>
          <w:p w14:paraId="4A8A7B27" w14:textId="77777777" w:rsidR="00DE2D45" w:rsidRPr="00DE2D45" w:rsidRDefault="00DE2D45" w:rsidP="002F3BE7">
            <w:pPr>
              <w:pStyle w:val="Bulletleft1"/>
              <w:spacing w:line="240" w:lineRule="auto"/>
              <w:rPr>
                <w:sz w:val="22"/>
                <w:szCs w:val="22"/>
              </w:rPr>
            </w:pPr>
            <w:hyperlink r:id="rId12" w:history="1">
              <w:proofErr w:type="spellStart"/>
              <w:r w:rsidRPr="00DE2D45">
                <w:rPr>
                  <w:rStyle w:val="Hyperlink"/>
                  <w:sz w:val="22"/>
                  <w:szCs w:val="22"/>
                </w:rPr>
                <w:t>Evolocumab</w:t>
              </w:r>
              <w:proofErr w:type="spellEnd"/>
              <w:r w:rsidRPr="00DE2D45">
                <w:rPr>
                  <w:rStyle w:val="Hyperlink"/>
                  <w:sz w:val="22"/>
                  <w:szCs w:val="22"/>
                </w:rPr>
                <w:t xml:space="preserve"> for treating primary </w:t>
              </w:r>
              <w:proofErr w:type="spellStart"/>
              <w:r w:rsidRPr="00DE2D45">
                <w:rPr>
                  <w:rStyle w:val="Hyperlink"/>
                  <w:sz w:val="22"/>
                  <w:szCs w:val="22"/>
                </w:rPr>
                <w:t>hypercholesterolaemia</w:t>
              </w:r>
              <w:proofErr w:type="spellEnd"/>
              <w:r w:rsidRPr="00DE2D45">
                <w:rPr>
                  <w:rStyle w:val="Hyperlink"/>
                  <w:sz w:val="22"/>
                  <w:szCs w:val="22"/>
                </w:rPr>
                <w:t xml:space="preserve"> and mixed </w:t>
              </w:r>
              <w:proofErr w:type="spellStart"/>
              <w:r w:rsidRPr="00DE2D45">
                <w:rPr>
                  <w:rStyle w:val="Hyperlink"/>
                  <w:sz w:val="22"/>
                  <w:szCs w:val="22"/>
                </w:rPr>
                <w:t>dyslipidaemia</w:t>
              </w:r>
              <w:proofErr w:type="spellEnd"/>
              <w:r w:rsidRPr="00DE2D45">
                <w:rPr>
                  <w:rStyle w:val="Hyperlink"/>
                  <w:sz w:val="22"/>
                  <w:szCs w:val="22"/>
                </w:rPr>
                <w:t>. NICE technology appraisal guidance 394</w:t>
              </w:r>
            </w:hyperlink>
            <w:r w:rsidRPr="00DE2D45">
              <w:rPr>
                <w:sz w:val="22"/>
                <w:szCs w:val="22"/>
              </w:rPr>
              <w:t xml:space="preserve"> (2016)</w:t>
            </w:r>
          </w:p>
          <w:p w14:paraId="3DA35E4F" w14:textId="77777777" w:rsidR="00DE2D45" w:rsidRPr="00DE2D45" w:rsidRDefault="00DE2D45" w:rsidP="002F3BE7">
            <w:pPr>
              <w:pStyle w:val="Bulletleft1"/>
              <w:spacing w:line="240" w:lineRule="auto"/>
              <w:rPr>
                <w:sz w:val="22"/>
                <w:szCs w:val="22"/>
              </w:rPr>
            </w:pPr>
            <w:hyperlink r:id="rId13" w:history="1">
              <w:r w:rsidRPr="00DE2D45">
                <w:rPr>
                  <w:rStyle w:val="Hyperlink"/>
                  <w:sz w:val="22"/>
                  <w:szCs w:val="22"/>
                </w:rPr>
                <w:t xml:space="preserve">Alirocumab for treating primary </w:t>
              </w:r>
              <w:proofErr w:type="spellStart"/>
              <w:r w:rsidRPr="00DE2D45">
                <w:rPr>
                  <w:rStyle w:val="Hyperlink"/>
                  <w:sz w:val="22"/>
                  <w:szCs w:val="22"/>
                </w:rPr>
                <w:t>hypercholesterolaemia</w:t>
              </w:r>
              <w:proofErr w:type="spellEnd"/>
              <w:r w:rsidRPr="00DE2D45">
                <w:rPr>
                  <w:rStyle w:val="Hyperlink"/>
                  <w:sz w:val="22"/>
                  <w:szCs w:val="22"/>
                </w:rPr>
                <w:t xml:space="preserve"> and mixed </w:t>
              </w:r>
              <w:proofErr w:type="spellStart"/>
              <w:r w:rsidRPr="00DE2D45">
                <w:rPr>
                  <w:rStyle w:val="Hyperlink"/>
                  <w:sz w:val="22"/>
                  <w:szCs w:val="22"/>
                </w:rPr>
                <w:t>dyslipidaemia</w:t>
              </w:r>
              <w:proofErr w:type="spellEnd"/>
              <w:r w:rsidRPr="00DE2D45">
                <w:rPr>
                  <w:rStyle w:val="Hyperlink"/>
                  <w:sz w:val="22"/>
                  <w:szCs w:val="22"/>
                </w:rPr>
                <w:t>. NICE technology appraisal guidance 393</w:t>
              </w:r>
            </w:hyperlink>
            <w:r w:rsidRPr="00DE2D45">
              <w:rPr>
                <w:sz w:val="22"/>
                <w:szCs w:val="22"/>
              </w:rPr>
              <w:t xml:space="preserve"> (2016)</w:t>
            </w:r>
          </w:p>
          <w:p w14:paraId="1359C26D" w14:textId="7272CB33" w:rsidR="00DE2D45" w:rsidRPr="00DE2D45" w:rsidRDefault="00DE2D45" w:rsidP="002F3BE7">
            <w:pPr>
              <w:pStyle w:val="Bulletleft1last"/>
              <w:spacing w:line="240" w:lineRule="auto"/>
            </w:pPr>
            <w:hyperlink r:id="rId14" w:history="1">
              <w:r w:rsidRPr="00DE2D45">
                <w:rPr>
                  <w:rStyle w:val="Hyperlink"/>
                  <w:sz w:val="22"/>
                  <w:szCs w:val="22"/>
                </w:rPr>
                <w:t xml:space="preserve">Ezetimibe for treating primary heterozygous-familial and non-familial </w:t>
              </w:r>
              <w:proofErr w:type="spellStart"/>
              <w:r w:rsidRPr="00DE2D45">
                <w:rPr>
                  <w:rStyle w:val="Hyperlink"/>
                  <w:sz w:val="22"/>
                  <w:szCs w:val="22"/>
                </w:rPr>
                <w:t>hypercholesterolaemia</w:t>
              </w:r>
              <w:proofErr w:type="spellEnd"/>
              <w:r w:rsidRPr="00DE2D45">
                <w:rPr>
                  <w:rStyle w:val="Hyperlink"/>
                  <w:sz w:val="22"/>
                  <w:szCs w:val="22"/>
                </w:rPr>
                <w:t>. NICE technology appraisal guidance 385</w:t>
              </w:r>
            </w:hyperlink>
            <w:r w:rsidRPr="00DE2D45">
              <w:t xml:space="preserve"> (2016)</w:t>
            </w:r>
          </w:p>
        </w:tc>
        <w:tc>
          <w:tcPr>
            <w:tcW w:w="3118" w:type="dxa"/>
          </w:tcPr>
          <w:p w14:paraId="0D72329A" w14:textId="54F94FB4" w:rsidR="002338EB" w:rsidRPr="00DE2D45" w:rsidRDefault="002338EB" w:rsidP="002338EB">
            <w:pPr>
              <w:spacing w:before="120" w:after="120"/>
              <w:rPr>
                <w:rFonts w:ascii="Arial" w:hAnsi="Arial" w:cs="Arial"/>
                <w:color w:val="000000"/>
                <w:kern w:val="24"/>
                <w:sz w:val="22"/>
                <w:szCs w:val="22"/>
                <w:lang w:val="en-US"/>
              </w:rPr>
            </w:pPr>
            <w:r w:rsidRPr="00DE2D45">
              <w:rPr>
                <w:rFonts w:ascii="Arial" w:hAnsi="Arial" w:cs="Arial"/>
                <w:color w:val="000000"/>
                <w:kern w:val="24"/>
                <w:sz w:val="22"/>
                <w:szCs w:val="22"/>
                <w:lang w:val="en-US"/>
              </w:rPr>
              <w:lastRenderedPageBreak/>
              <w:t xml:space="preserve">The indicator is derived from a high-quality evidence base. </w:t>
            </w:r>
          </w:p>
          <w:p w14:paraId="75848804" w14:textId="1B0A3A1A" w:rsidR="002338EB" w:rsidRPr="002338EB" w:rsidRDefault="002338EB" w:rsidP="002338EB">
            <w:pPr>
              <w:pStyle w:val="Paragraph"/>
              <w:spacing w:before="120" w:after="120" w:line="240" w:lineRule="auto"/>
              <w:rPr>
                <w:highlight w:val="lightGray"/>
              </w:rPr>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79E6EE04" w:rsidR="00BE1F45" w:rsidRPr="00DE2D45" w:rsidRDefault="002338EB" w:rsidP="00BE1F45">
            <w:pPr>
              <w:spacing w:before="120" w:after="120"/>
              <w:rPr>
                <w:rFonts w:ascii="Arial" w:hAnsi="Arial" w:cs="Arial"/>
                <w:color w:val="000000"/>
                <w:kern w:val="24"/>
                <w:sz w:val="22"/>
                <w:szCs w:val="22"/>
              </w:rPr>
            </w:pPr>
            <w:r w:rsidRPr="00DE2D45">
              <w:rPr>
                <w:rFonts w:ascii="Arial" w:hAnsi="Arial" w:cs="Arial"/>
                <w:color w:val="000000"/>
                <w:kern w:val="24"/>
                <w:sz w:val="22"/>
                <w:szCs w:val="22"/>
              </w:rPr>
              <w:t xml:space="preserve">Numerator: </w:t>
            </w:r>
            <w:r w:rsidR="00313B4F" w:rsidRPr="00313B4F">
              <w:rPr>
                <w:rFonts w:ascii="Arial" w:hAnsi="Arial" w:cs="Arial"/>
                <w:color w:val="000000"/>
                <w:kern w:val="24"/>
                <w:sz w:val="22"/>
                <w:szCs w:val="22"/>
              </w:rPr>
              <w:t>The number of patients in the denominator who are currently treated with a lipid-lowering therapy.</w:t>
            </w:r>
          </w:p>
          <w:p w14:paraId="424261B6" w14:textId="7DEC0361" w:rsidR="002338EB" w:rsidRPr="00DE2D45" w:rsidRDefault="00BE1F45" w:rsidP="00BE1F45">
            <w:pPr>
              <w:spacing w:before="120" w:after="120"/>
              <w:rPr>
                <w:rFonts w:ascii="Arial" w:hAnsi="Arial" w:cs="Arial"/>
                <w:color w:val="000000"/>
                <w:kern w:val="24"/>
                <w:sz w:val="22"/>
                <w:szCs w:val="22"/>
              </w:rPr>
            </w:pPr>
            <w:r w:rsidRPr="00DE2D45">
              <w:rPr>
                <w:rFonts w:ascii="Arial" w:hAnsi="Arial" w:cs="Arial"/>
                <w:color w:val="000000"/>
                <w:kern w:val="24"/>
                <w:sz w:val="22"/>
                <w:szCs w:val="22"/>
              </w:rPr>
              <w:t xml:space="preserve">Denominator: </w:t>
            </w:r>
            <w:r w:rsidR="00313B4F" w:rsidRPr="00313B4F">
              <w:rPr>
                <w:rFonts w:ascii="Arial" w:hAnsi="Arial" w:cs="Arial"/>
                <w:color w:val="000000"/>
                <w:kern w:val="24"/>
                <w:sz w:val="22"/>
                <w:szCs w:val="22"/>
              </w:rPr>
              <w:t>The number of patients with diabetes and a history of cardiovascular disease</w:t>
            </w:r>
            <w:r w:rsidR="001F0647">
              <w:rPr>
                <w:rFonts w:ascii="Arial" w:hAnsi="Arial" w:cs="Arial"/>
                <w:color w:val="000000"/>
                <w:kern w:val="24"/>
                <w:sz w:val="22"/>
                <w:szCs w:val="22"/>
              </w:rPr>
              <w:t xml:space="preserve"> </w:t>
            </w:r>
            <w:r w:rsidR="001F0647" w:rsidRPr="001F0647">
              <w:rPr>
                <w:rFonts w:ascii="Arial" w:hAnsi="Arial" w:cs="Arial"/>
                <w:color w:val="000000"/>
                <w:kern w:val="24"/>
                <w:sz w:val="22"/>
                <w:szCs w:val="22"/>
              </w:rPr>
              <w:t>(excluding a history of haemorrhagic stroke)</w:t>
            </w:r>
            <w:r w:rsidR="00313B4F" w:rsidRPr="00313B4F">
              <w:rPr>
                <w:rFonts w:ascii="Arial" w:hAnsi="Arial" w:cs="Arial"/>
                <w:color w:val="000000"/>
                <w:kern w:val="24"/>
                <w:sz w:val="22"/>
                <w:szCs w:val="22"/>
              </w:rPr>
              <w:t>.</w:t>
            </w:r>
            <w:r w:rsidR="002338EB" w:rsidRPr="00DE2D45">
              <w:rPr>
                <w:rFonts w:ascii="Arial" w:hAnsi="Arial" w:cs="Arial"/>
                <w:color w:val="000000"/>
                <w:kern w:val="24"/>
                <w:sz w:val="22"/>
                <w:szCs w:val="22"/>
              </w:rPr>
              <w:t xml:space="preserve"> </w:t>
            </w:r>
          </w:p>
          <w:p w14:paraId="65AFDE55" w14:textId="78B766D9" w:rsidR="001A3CA6" w:rsidRPr="00DE2D45" w:rsidRDefault="001A3CA6" w:rsidP="00BE1F45">
            <w:pPr>
              <w:spacing w:before="120" w:after="120"/>
              <w:rPr>
                <w:rFonts w:ascii="Arial" w:hAnsi="Arial" w:cs="Arial"/>
                <w:color w:val="000000"/>
                <w:kern w:val="24"/>
                <w:sz w:val="22"/>
                <w:szCs w:val="22"/>
              </w:rPr>
            </w:pPr>
            <w:r w:rsidRPr="00DE2D45">
              <w:rPr>
                <w:rFonts w:ascii="Arial" w:hAnsi="Arial" w:cs="Arial"/>
                <w:color w:val="000000"/>
                <w:kern w:val="24"/>
                <w:sz w:val="22"/>
                <w:szCs w:val="22"/>
              </w:rPr>
              <w:t xml:space="preserve">Exclusions: </w:t>
            </w:r>
            <w:r w:rsidR="00313B4F" w:rsidRPr="00313B4F">
              <w:rPr>
                <w:rFonts w:ascii="Arial" w:hAnsi="Arial" w:cs="Arial"/>
                <w:color w:val="000000"/>
                <w:kern w:val="24"/>
                <w:sz w:val="22"/>
                <w:szCs w:val="22"/>
              </w:rPr>
              <w:t xml:space="preserve">People with a history of haemorrhagic stroke (as the risk of further haemorrhage may outweigh the risk of a vascular event).  </w:t>
            </w:r>
          </w:p>
          <w:p w14:paraId="618AAA7A" w14:textId="77777777" w:rsidR="00313B4F" w:rsidRDefault="00CE5520" w:rsidP="002338EB">
            <w:pPr>
              <w:pStyle w:val="Paragraph"/>
              <w:spacing w:before="120" w:after="120" w:line="240" w:lineRule="auto"/>
              <w:rPr>
                <w:rFonts w:cs="Arial"/>
                <w:color w:val="000000"/>
                <w:kern w:val="24"/>
                <w:sz w:val="22"/>
                <w:szCs w:val="22"/>
              </w:rPr>
            </w:pPr>
            <w:r w:rsidRPr="00DE2D45">
              <w:rPr>
                <w:rFonts w:cs="Arial"/>
                <w:color w:val="000000"/>
                <w:kern w:val="24"/>
                <w:sz w:val="22"/>
                <w:szCs w:val="22"/>
              </w:rPr>
              <w:t xml:space="preserve">Definitions: </w:t>
            </w:r>
          </w:p>
          <w:p w14:paraId="7362FFEC" w14:textId="77777777" w:rsidR="00313B4F" w:rsidRDefault="00313B4F" w:rsidP="002338EB">
            <w:pPr>
              <w:pStyle w:val="Paragraph"/>
              <w:spacing w:before="120" w:after="120" w:line="240" w:lineRule="auto"/>
              <w:rPr>
                <w:rFonts w:cs="Arial"/>
                <w:color w:val="000000"/>
                <w:kern w:val="24"/>
                <w:sz w:val="22"/>
                <w:szCs w:val="22"/>
              </w:rPr>
            </w:pPr>
            <w:r w:rsidRPr="00313B4F">
              <w:rPr>
                <w:rFonts w:cs="Arial"/>
                <w:color w:val="000000"/>
                <w:kern w:val="24"/>
                <w:sz w:val="22"/>
                <w:szCs w:val="22"/>
              </w:rPr>
              <w:t>For the purposes of this indicator, cardiovascular disease is defined as angina, previous myocardial infarction, revascularisation, ischaemic stroke or TIA or symptomatic peripheral arterial disease. Existing QOF registers could be used for coronary heart disease (CHD001), stroke or transient ischaemic attack (STIA001 excluding a history of haemorrhagic stroke) and symptomatic peripheral arterial disease (PAD001).</w:t>
            </w:r>
          </w:p>
          <w:p w14:paraId="368B859C" w14:textId="6A8CD812" w:rsidR="00313B4F" w:rsidRDefault="00313B4F" w:rsidP="002338EB">
            <w:pPr>
              <w:pStyle w:val="Paragraph"/>
              <w:spacing w:before="120" w:after="120" w:line="240" w:lineRule="auto"/>
              <w:rPr>
                <w:rFonts w:cs="Arial"/>
                <w:color w:val="000000"/>
                <w:kern w:val="24"/>
                <w:sz w:val="22"/>
                <w:szCs w:val="22"/>
              </w:rPr>
            </w:pPr>
            <w:r w:rsidRPr="00313B4F">
              <w:rPr>
                <w:rFonts w:cs="Arial"/>
                <w:color w:val="000000"/>
                <w:kern w:val="24"/>
                <w:sz w:val="22"/>
                <w:szCs w:val="22"/>
              </w:rPr>
              <w:t>Current treatment with a lipid-lowering therapy is defined as prescription of a statin or non-statin lipid-lowering therapy in the last 6 months of the reporting period</w:t>
            </w:r>
            <w:r>
              <w:rPr>
                <w:rFonts w:cs="Arial"/>
                <w:color w:val="000000"/>
                <w:kern w:val="24"/>
                <w:sz w:val="22"/>
                <w:szCs w:val="22"/>
              </w:rPr>
              <w:t>.</w:t>
            </w:r>
          </w:p>
          <w:p w14:paraId="1A8C1D16" w14:textId="3A18832A" w:rsidR="00735337" w:rsidRPr="002338EB" w:rsidRDefault="001A3CA6" w:rsidP="002338EB">
            <w:pPr>
              <w:pStyle w:val="Paragraph"/>
              <w:spacing w:before="120" w:after="120" w:line="240" w:lineRule="auto"/>
              <w:rPr>
                <w:highlight w:val="lightGray"/>
              </w:rPr>
            </w:pPr>
            <w:r w:rsidRPr="00DE2D45">
              <w:rPr>
                <w:rFonts w:cs="Arial"/>
                <w:color w:val="000000"/>
                <w:kern w:val="24"/>
                <w:sz w:val="22"/>
                <w:szCs w:val="22"/>
              </w:rPr>
              <w:t xml:space="preserve">Personalised care adjustments or exception reporting should be considered to account for situations where the patient declines, does not attend or if </w:t>
            </w:r>
            <w:r w:rsidR="00313B4F" w:rsidRPr="00313B4F">
              <w:rPr>
                <w:rFonts w:cs="Arial"/>
                <w:color w:val="000000"/>
                <w:kern w:val="24"/>
                <w:sz w:val="22"/>
                <w:szCs w:val="22"/>
              </w:rPr>
              <w:t>prescription of a lipid-lowering therapy is not appropriate (for example, non-atherosclerotic cardiovascular disease)</w:t>
            </w:r>
            <w:r w:rsidRPr="00DE2D45">
              <w:rPr>
                <w:rFonts w:cs="Arial"/>
                <w:color w:val="000000"/>
                <w:kern w:val="24"/>
                <w:sz w:val="22"/>
                <w:szCs w:val="22"/>
              </w:rPr>
              <w:t>.</w:t>
            </w:r>
          </w:p>
        </w:tc>
        <w:tc>
          <w:tcPr>
            <w:tcW w:w="3118" w:type="dxa"/>
          </w:tcPr>
          <w:p w14:paraId="1439227D" w14:textId="5A1A009F" w:rsidR="002338EB" w:rsidRPr="00DE2D45" w:rsidRDefault="002338EB" w:rsidP="002338EB">
            <w:pPr>
              <w:spacing w:before="120" w:after="120"/>
              <w:rPr>
                <w:rFonts w:ascii="Arial" w:hAnsi="Arial" w:cs="Arial"/>
                <w:color w:val="000000"/>
                <w:kern w:val="24"/>
                <w:sz w:val="22"/>
                <w:szCs w:val="22"/>
              </w:rPr>
            </w:pPr>
            <w:r w:rsidRPr="00DE2D45">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63BB4FC9" w:rsidR="002C1326" w:rsidRPr="002338EB" w:rsidRDefault="00F3442A" w:rsidP="002F3BE7">
            <w:pPr>
              <w:pStyle w:val="Paragraph"/>
              <w:spacing w:before="120" w:after="120" w:line="240" w:lineRule="auto"/>
              <w:rPr>
                <w:highlight w:val="lightGray"/>
              </w:rPr>
            </w:pPr>
            <w:r w:rsidRPr="00C803E1">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C803E1">
              <w:rPr>
                <w:rFonts w:cs="Arial"/>
                <w:color w:val="000000"/>
                <w:kern w:val="24"/>
                <w:sz w:val="22"/>
                <w:szCs w:val="22"/>
              </w:rPr>
              <w:t>QOF data for 2023 to 2024</w:t>
            </w:r>
            <w:r w:rsidRPr="00C803E1">
              <w:rPr>
                <w:rFonts w:cs="Arial"/>
                <w:color w:val="000000"/>
                <w:kern w:val="24"/>
                <w:sz w:val="22"/>
                <w:szCs w:val="22"/>
              </w:rPr>
              <w:t xml:space="preserve"> shows that an average practice with 10,000 patients would have around </w:t>
            </w:r>
            <w:r w:rsidR="00C803E1">
              <w:rPr>
                <w:rFonts w:cs="Arial"/>
                <w:color w:val="000000"/>
                <w:kern w:val="24"/>
                <w:sz w:val="22"/>
                <w:szCs w:val="22"/>
              </w:rPr>
              <w:t>2</w:t>
            </w:r>
            <w:r w:rsidRPr="00C803E1">
              <w:rPr>
                <w:rFonts w:cs="Arial"/>
                <w:color w:val="000000"/>
                <w:kern w:val="24"/>
                <w:sz w:val="22"/>
                <w:szCs w:val="22"/>
              </w:rPr>
              <w:t>02 eligible patients.</w:t>
            </w:r>
          </w:p>
        </w:tc>
        <w:tc>
          <w:tcPr>
            <w:tcW w:w="3118" w:type="dxa"/>
          </w:tcPr>
          <w:p w14:paraId="1567BE59" w14:textId="46AA979F" w:rsidR="002338EB" w:rsidRPr="00C803E1" w:rsidRDefault="002338EB" w:rsidP="002338EB">
            <w:pPr>
              <w:pStyle w:val="Paragraph"/>
              <w:spacing w:before="120" w:after="120" w:line="240" w:lineRule="auto"/>
              <w:rPr>
                <w:rFonts w:cs="Arial"/>
                <w:color w:val="000000"/>
                <w:kern w:val="24"/>
                <w:sz w:val="22"/>
                <w:szCs w:val="22"/>
              </w:rPr>
            </w:pPr>
            <w:r w:rsidRPr="00C803E1">
              <w:rPr>
                <w:rFonts w:cs="Arial"/>
                <w:color w:val="000000"/>
                <w:kern w:val="24"/>
                <w:sz w:val="22"/>
                <w:szCs w:val="22"/>
              </w:rPr>
              <w:t xml:space="preserve">The indicator </w:t>
            </w:r>
            <w:r w:rsidR="002C1326" w:rsidRPr="00C803E1">
              <w:rPr>
                <w:rFonts w:cs="Arial"/>
                <w:color w:val="000000"/>
                <w:kern w:val="24"/>
                <w:sz w:val="22"/>
                <w:szCs w:val="22"/>
              </w:rPr>
              <w:t>does</w:t>
            </w:r>
            <w:r w:rsidRPr="00C803E1">
              <w:rPr>
                <w:rFonts w:cs="Arial"/>
                <w:color w:val="000000"/>
                <w:kern w:val="24"/>
                <w:sz w:val="22"/>
                <w:szCs w:val="22"/>
              </w:rPr>
              <w:t xml:space="preserve"> outline minimum numbers of patients needed to be confident in the assessment of variation.</w:t>
            </w:r>
          </w:p>
          <w:p w14:paraId="38DE6D48" w14:textId="5019FBD4"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1A45FE28" w:rsidR="00735337" w:rsidRPr="00735337" w:rsidRDefault="00803C3D" w:rsidP="00735337">
            <w:pPr>
              <w:pStyle w:val="Paragraph"/>
              <w:spacing w:before="120" w:after="120" w:line="240" w:lineRule="auto"/>
              <w:rPr>
                <w:highlight w:val="lightGray"/>
              </w:rPr>
            </w:pPr>
            <w:r w:rsidRPr="00803C3D">
              <w:rPr>
                <w:rFonts w:cs="Arial"/>
                <w:sz w:val="22"/>
                <w:szCs w:val="22"/>
              </w:rPr>
              <w:t>Data can be collected from GP systems using SNOMED coding.</w:t>
            </w:r>
          </w:p>
        </w:tc>
        <w:tc>
          <w:tcPr>
            <w:tcW w:w="3118" w:type="dxa"/>
          </w:tcPr>
          <w:p w14:paraId="7E07F302" w14:textId="5F984164" w:rsidR="00735337" w:rsidRPr="00803C3D" w:rsidRDefault="00735337" w:rsidP="00735337">
            <w:pPr>
              <w:spacing w:before="120" w:after="120"/>
              <w:rPr>
                <w:rFonts w:ascii="Arial" w:hAnsi="Arial" w:cs="Arial"/>
                <w:color w:val="000000"/>
                <w:kern w:val="24"/>
                <w:sz w:val="22"/>
                <w:szCs w:val="22"/>
              </w:rPr>
            </w:pPr>
            <w:r w:rsidRPr="00803C3D">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6B3D2BF0" w14:textId="7D0C9A8F" w:rsidR="00CF32CF" w:rsidRPr="003C6A48" w:rsidRDefault="00B027A4" w:rsidP="00B027A4">
            <w:pPr>
              <w:pStyle w:val="Bulletleft1"/>
              <w:numPr>
                <w:ilvl w:val="0"/>
                <w:numId w:val="0"/>
              </w:numPr>
              <w:spacing w:line="240" w:lineRule="auto"/>
            </w:pPr>
            <w:r>
              <w:rPr>
                <w:sz w:val="22"/>
                <w:szCs w:val="22"/>
              </w:rPr>
              <w:t>Existing d</w:t>
            </w:r>
            <w:r w:rsidRPr="00194FD2">
              <w:rPr>
                <w:sz w:val="22"/>
                <w:szCs w:val="22"/>
              </w:rPr>
              <w:t xml:space="preserve">ata fields </w:t>
            </w:r>
            <w:r>
              <w:rPr>
                <w:sz w:val="22"/>
                <w:szCs w:val="22"/>
              </w:rPr>
              <w:t>and code clusters are used in diabetes and cholesterol indicators in the 2024/25 QOF.</w:t>
            </w:r>
          </w:p>
        </w:tc>
        <w:tc>
          <w:tcPr>
            <w:tcW w:w="3118" w:type="dxa"/>
          </w:tcPr>
          <w:p w14:paraId="501A7677" w14:textId="77777777" w:rsidR="00735337" w:rsidRPr="003C6A48" w:rsidRDefault="00735337" w:rsidP="00735337">
            <w:pPr>
              <w:spacing w:before="120" w:after="120"/>
              <w:rPr>
                <w:rFonts w:ascii="Arial" w:hAnsi="Arial" w:cs="Arial"/>
                <w:color w:val="000000"/>
                <w:kern w:val="24"/>
                <w:sz w:val="22"/>
                <w:szCs w:val="22"/>
              </w:rPr>
            </w:pPr>
            <w:r w:rsidRPr="003C6A48">
              <w:rPr>
                <w:rFonts w:ascii="Arial" w:hAnsi="Arial" w:cs="Arial"/>
                <w:color w:val="000000"/>
                <w:kern w:val="24"/>
                <w:sz w:val="22"/>
                <w:szCs w:val="22"/>
              </w:rPr>
              <w:t xml:space="preserve">The indicator is measuring what it is designed to measure. </w:t>
            </w:r>
          </w:p>
          <w:p w14:paraId="24CB8CBA" w14:textId="284E71C7" w:rsidR="00735337" w:rsidRPr="003C6A48" w:rsidRDefault="00735337" w:rsidP="00735337">
            <w:pPr>
              <w:spacing w:before="120" w:after="120"/>
              <w:rPr>
                <w:rFonts w:ascii="Arial" w:hAnsi="Arial" w:cs="Arial"/>
                <w:color w:val="000000"/>
                <w:kern w:val="24"/>
                <w:sz w:val="22"/>
                <w:szCs w:val="22"/>
              </w:rPr>
            </w:pPr>
            <w:r w:rsidRPr="003C6A48">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2586EE8B" w14:textId="77777777" w:rsidR="003B33FC" w:rsidRPr="003B33FC" w:rsidRDefault="003B33FC" w:rsidP="003B33FC">
            <w:pPr>
              <w:spacing w:before="120" w:after="120"/>
              <w:rPr>
                <w:rFonts w:ascii="Arial" w:hAnsi="Arial" w:cs="Arial"/>
                <w:sz w:val="22"/>
                <w:szCs w:val="22"/>
              </w:rPr>
            </w:pPr>
            <w:r w:rsidRPr="003B33FC">
              <w:rPr>
                <w:rFonts w:ascii="Arial" w:hAnsi="Arial" w:cs="Arial"/>
                <w:sz w:val="22"/>
                <w:szCs w:val="22"/>
              </w:rPr>
              <w:t>Patients refusing lipid modifying therapy could affect the ability of clinicians to perform against the indicator.</w:t>
            </w:r>
          </w:p>
          <w:p w14:paraId="009E37A6" w14:textId="447A1BF1" w:rsidR="00735337" w:rsidRPr="00A47852" w:rsidRDefault="003B33FC" w:rsidP="003B33FC">
            <w:pPr>
              <w:pStyle w:val="Paragraph"/>
              <w:spacing w:before="120" w:after="120" w:line="240" w:lineRule="auto"/>
              <w:rPr>
                <w:highlight w:val="lightGray"/>
              </w:rPr>
            </w:pPr>
            <w:r w:rsidRPr="003B33FC">
              <w:rPr>
                <w:rFonts w:cs="Arial"/>
                <w:sz w:val="22"/>
                <w:szCs w:val="22"/>
              </w:rPr>
              <w:t>Personalised care adjustments can be used if lipid modifying therapy is contra-indicated or declined.</w:t>
            </w:r>
          </w:p>
        </w:tc>
        <w:tc>
          <w:tcPr>
            <w:tcW w:w="3118" w:type="dxa"/>
          </w:tcPr>
          <w:p w14:paraId="50C98A36" w14:textId="72BB43D0" w:rsidR="00735337" w:rsidRPr="00A47852" w:rsidRDefault="00735337" w:rsidP="00735337">
            <w:pPr>
              <w:pStyle w:val="Paragraph"/>
              <w:spacing w:before="120" w:after="120" w:line="240" w:lineRule="auto"/>
              <w:rPr>
                <w:highlight w:val="lightGray"/>
              </w:rPr>
            </w:pPr>
            <w:r w:rsidRPr="003B33FC">
              <w:rPr>
                <w:rFonts w:cs="Arial"/>
                <w:color w:val="000000"/>
                <w:kern w:val="24"/>
                <w:sz w:val="22"/>
                <w:szCs w:val="22"/>
              </w:rPr>
              <w:t>The indicator assesses performance that is attributable to or within the control of the audience</w:t>
            </w:r>
            <w:r w:rsidR="003B33FC">
              <w:rPr>
                <w:rFonts w:cs="Arial"/>
                <w:color w:val="000000"/>
                <w:kern w:val="24"/>
                <w:sz w:val="22"/>
                <w:szCs w:val="22"/>
              </w:rPr>
              <w:t>.</w:t>
            </w:r>
          </w:p>
        </w:tc>
      </w:tr>
      <w:tr w:rsidR="00735337" w14:paraId="7E164FBD" w14:textId="77777777" w:rsidTr="001C517D">
        <w:tc>
          <w:tcPr>
            <w:tcW w:w="5949" w:type="dxa"/>
          </w:tcPr>
          <w:p w14:paraId="3AF0200A" w14:textId="5D2D2985" w:rsidR="00735337" w:rsidRPr="00A47852" w:rsidRDefault="003B33FC" w:rsidP="005A5C30">
            <w:pPr>
              <w:pStyle w:val="Paragraph"/>
              <w:spacing w:before="120" w:after="120" w:line="240" w:lineRule="auto"/>
              <w:rPr>
                <w:highlight w:val="lightGray"/>
              </w:rPr>
            </w:pPr>
            <w:r w:rsidRPr="003B33FC">
              <w:rPr>
                <w:rFonts w:cs="Arial"/>
                <w:sz w:val="22"/>
                <w:szCs w:val="22"/>
              </w:rPr>
              <w:t>Data can be extracted and used to compare practice within the GP practice or with other GP practices.</w:t>
            </w:r>
          </w:p>
        </w:tc>
        <w:tc>
          <w:tcPr>
            <w:tcW w:w="3118" w:type="dxa"/>
          </w:tcPr>
          <w:p w14:paraId="2909F55A" w14:textId="1153E4EB" w:rsidR="00735337" w:rsidRPr="00A47852" w:rsidRDefault="00735337" w:rsidP="00735337">
            <w:pPr>
              <w:pStyle w:val="Paragraph"/>
              <w:spacing w:before="120" w:after="120" w:line="240" w:lineRule="auto"/>
              <w:rPr>
                <w:highlight w:val="lightGray"/>
              </w:rPr>
            </w:pPr>
            <w:r w:rsidRPr="003B33FC">
              <w:rPr>
                <w:rFonts w:cs="Arial"/>
                <w:color w:val="000000"/>
                <w:kern w:val="24"/>
                <w:sz w:val="22"/>
                <w:szCs w:val="22"/>
              </w:rPr>
              <w:t>The results of the indicator can be used to improve practice</w:t>
            </w:r>
            <w:r w:rsidR="003B33FC">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62956F39" w14:textId="760A1CDA" w:rsidR="00767070" w:rsidRDefault="00E76491" w:rsidP="005A5C30">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The indicator was developed to exclude people with </w:t>
            </w:r>
            <w:r w:rsidRPr="00E76491">
              <w:rPr>
                <w:rFonts w:cs="Arial"/>
                <w:color w:val="000000"/>
                <w:kern w:val="24"/>
                <w:sz w:val="22"/>
                <w:szCs w:val="22"/>
                <w:lang w:eastAsia="en-GB"/>
              </w:rPr>
              <w:t xml:space="preserve">a history of haemorrhagic stroke </w:t>
            </w:r>
            <w:r w:rsidR="00767070" w:rsidRPr="00767070">
              <w:rPr>
                <w:rFonts w:cs="Arial"/>
                <w:color w:val="000000"/>
                <w:kern w:val="24"/>
                <w:sz w:val="22"/>
                <w:szCs w:val="22"/>
                <w:lang w:eastAsia="en-GB"/>
              </w:rPr>
              <w:t>as the risk of further haemorrhage may outweigh the risk of a vascular event</w:t>
            </w:r>
            <w:r>
              <w:rPr>
                <w:rFonts w:cs="Arial"/>
                <w:color w:val="000000"/>
                <w:kern w:val="24"/>
                <w:sz w:val="22"/>
                <w:szCs w:val="22"/>
                <w:lang w:eastAsia="en-GB"/>
              </w:rPr>
              <w:t>.</w:t>
            </w:r>
          </w:p>
          <w:p w14:paraId="5396C188" w14:textId="524DA825" w:rsidR="005A5C30" w:rsidRPr="005A5C30" w:rsidRDefault="005A5C30" w:rsidP="005A5C30">
            <w:pPr>
              <w:pStyle w:val="Paragraph"/>
              <w:spacing w:before="120" w:after="120" w:line="240" w:lineRule="auto"/>
              <w:rPr>
                <w:rFonts w:cs="Arial"/>
                <w:color w:val="000000"/>
                <w:kern w:val="24"/>
                <w:sz w:val="22"/>
                <w:szCs w:val="22"/>
                <w:lang w:eastAsia="en-GB"/>
              </w:rPr>
            </w:pPr>
            <w:r w:rsidRPr="005A5C30">
              <w:rPr>
                <w:rFonts w:cs="Arial"/>
                <w:color w:val="000000"/>
                <w:kern w:val="24"/>
                <w:sz w:val="22"/>
                <w:szCs w:val="22"/>
                <w:lang w:eastAsia="en-GB"/>
              </w:rPr>
              <w:t xml:space="preserve">At consultation it was highlighted that </w:t>
            </w:r>
            <w:r w:rsidR="003B6AE8">
              <w:rPr>
                <w:rFonts w:cs="Arial"/>
                <w:color w:val="000000"/>
                <w:kern w:val="24"/>
                <w:sz w:val="22"/>
                <w:szCs w:val="22"/>
                <w:lang w:eastAsia="en-GB"/>
              </w:rPr>
              <w:t xml:space="preserve">the indicator does not support a person-centred approach to lipid management. There was also concern that there was potential for </w:t>
            </w:r>
            <w:r w:rsidR="00D17AF4">
              <w:rPr>
                <w:rFonts w:cs="Arial"/>
                <w:color w:val="000000"/>
                <w:kern w:val="24"/>
                <w:sz w:val="22"/>
                <w:szCs w:val="22"/>
                <w:lang w:eastAsia="en-GB"/>
              </w:rPr>
              <w:t xml:space="preserve">over or </w:t>
            </w:r>
            <w:r w:rsidR="003B6AE8">
              <w:rPr>
                <w:rFonts w:cs="Arial"/>
                <w:color w:val="000000"/>
                <w:kern w:val="24"/>
                <w:sz w:val="22"/>
                <w:szCs w:val="22"/>
                <w:lang w:eastAsia="en-GB"/>
              </w:rPr>
              <w:t xml:space="preserve">under-treatment </w:t>
            </w:r>
            <w:r w:rsidR="00D17AF4">
              <w:rPr>
                <w:rFonts w:cs="Arial"/>
                <w:color w:val="000000"/>
                <w:kern w:val="24"/>
                <w:sz w:val="22"/>
                <w:szCs w:val="22"/>
                <w:lang w:eastAsia="en-GB"/>
              </w:rPr>
              <w:t>as an inappropriate dose of statin might be used. The committee agreed to add information to the rationale to clarify the recommended dose of statin and that a different dosage may be appropriate.</w:t>
            </w:r>
          </w:p>
          <w:p w14:paraId="5D0DDE27" w14:textId="6963AEC7" w:rsidR="00A47852" w:rsidRPr="00A47852" w:rsidRDefault="005A5C30" w:rsidP="003B6AE8">
            <w:pPr>
              <w:pStyle w:val="Paragraph"/>
              <w:spacing w:before="120" w:after="120" w:line="240" w:lineRule="auto"/>
              <w:rPr>
                <w:highlight w:val="lightGray"/>
              </w:rPr>
            </w:pPr>
            <w:r w:rsidRPr="005A5C30">
              <w:rPr>
                <w:rFonts w:cs="Arial"/>
                <w:color w:val="000000"/>
                <w:kern w:val="24"/>
                <w:sz w:val="22"/>
                <w:szCs w:val="22"/>
                <w:lang w:eastAsia="en-GB"/>
              </w:rPr>
              <w:t>Consultation comments for IND268 highlighted the need</w:t>
            </w:r>
            <w:r w:rsidR="003B6AE8">
              <w:rPr>
                <w:rFonts w:cs="Arial"/>
                <w:color w:val="000000"/>
                <w:kern w:val="24"/>
                <w:sz w:val="22"/>
                <w:szCs w:val="22"/>
                <w:lang w:eastAsia="en-GB"/>
              </w:rPr>
              <w:t xml:space="preserve"> </w:t>
            </w:r>
            <w:r w:rsidRPr="005A5C30">
              <w:rPr>
                <w:rFonts w:cs="Arial"/>
                <w:color w:val="000000"/>
                <w:kern w:val="24"/>
                <w:sz w:val="22"/>
                <w:szCs w:val="22"/>
                <w:lang w:eastAsia="en-GB"/>
              </w:rPr>
              <w:t>to exclude non-atherosclerotic CVD from indicators on</w:t>
            </w:r>
            <w:r w:rsidR="003B6AE8">
              <w:rPr>
                <w:rFonts w:cs="Arial"/>
                <w:color w:val="000000"/>
                <w:kern w:val="24"/>
                <w:sz w:val="22"/>
                <w:szCs w:val="22"/>
                <w:lang w:eastAsia="en-GB"/>
              </w:rPr>
              <w:t xml:space="preserve"> </w:t>
            </w:r>
            <w:r w:rsidRPr="005A5C30">
              <w:rPr>
                <w:rFonts w:cs="Arial"/>
                <w:color w:val="000000"/>
                <w:kern w:val="24"/>
                <w:sz w:val="22"/>
                <w:szCs w:val="22"/>
                <w:lang w:eastAsia="en-GB"/>
              </w:rPr>
              <w:t xml:space="preserve">lipid </w:t>
            </w:r>
            <w:r w:rsidRPr="005A5C30">
              <w:rPr>
                <w:rFonts w:cs="Arial"/>
                <w:color w:val="000000"/>
                <w:kern w:val="24"/>
                <w:sz w:val="22"/>
                <w:szCs w:val="22"/>
                <w:lang w:eastAsia="en-GB"/>
              </w:rPr>
              <w:lastRenderedPageBreak/>
              <w:t>lowering therapy for secondary prevention of CVD.</w:t>
            </w:r>
            <w:r w:rsidR="003B6AE8">
              <w:rPr>
                <w:rFonts w:cs="Arial"/>
                <w:color w:val="000000"/>
                <w:kern w:val="24"/>
                <w:sz w:val="22"/>
                <w:szCs w:val="22"/>
                <w:lang w:eastAsia="en-GB"/>
              </w:rPr>
              <w:t xml:space="preserve"> </w:t>
            </w:r>
            <w:r w:rsidRPr="005A5C30">
              <w:rPr>
                <w:rFonts w:cs="Arial"/>
                <w:color w:val="000000"/>
                <w:kern w:val="24"/>
                <w:sz w:val="22"/>
                <w:szCs w:val="22"/>
                <w:lang w:eastAsia="en-GB"/>
              </w:rPr>
              <w:t>The PCAs for IND2</w:t>
            </w:r>
            <w:r w:rsidR="003B6AE8">
              <w:rPr>
                <w:rFonts w:cs="Arial"/>
                <w:color w:val="000000"/>
                <w:kern w:val="24"/>
                <w:sz w:val="22"/>
                <w:szCs w:val="22"/>
                <w:lang w:eastAsia="en-GB"/>
              </w:rPr>
              <w:t>76</w:t>
            </w:r>
            <w:r w:rsidRPr="005A5C30">
              <w:rPr>
                <w:rFonts w:cs="Arial"/>
                <w:color w:val="000000"/>
                <w:kern w:val="24"/>
                <w:sz w:val="22"/>
                <w:szCs w:val="22"/>
                <w:lang w:eastAsia="en-GB"/>
              </w:rPr>
              <w:t xml:space="preserve"> reflect this.</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5A5C30">
              <w:rPr>
                <w:rFonts w:cs="Arial"/>
                <w:color w:val="000000"/>
                <w:kern w:val="24"/>
                <w:sz w:val="22"/>
                <w:szCs w:val="22"/>
              </w:rPr>
              <w:lastRenderedPageBreak/>
              <w:t>The indicator has an acceptable risk of unintended consequences.</w:t>
            </w:r>
          </w:p>
        </w:tc>
      </w:tr>
    </w:tbl>
    <w:p w14:paraId="017EA4B6" w14:textId="72819A2E" w:rsidR="002338EB" w:rsidRDefault="002338EB" w:rsidP="002338EB">
      <w:pPr>
        <w:pStyle w:val="Paragraph"/>
      </w:pPr>
    </w:p>
    <w:p w14:paraId="7104BC2A" w14:textId="5DB37A63" w:rsidR="002338EB" w:rsidRDefault="002338EB" w:rsidP="002338EB">
      <w:pPr>
        <w:pStyle w:val="Paragraph"/>
      </w:pPr>
    </w:p>
    <w:sectPr w:rsidR="002338EB" w:rsidSect="003E465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8F541FC"/>
    <w:multiLevelType w:val="hybridMultilevel"/>
    <w:tmpl w:val="4492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 w:numId="41" w16cid:durableId="143010797">
    <w:abstractNumId w:val="31"/>
  </w:num>
  <w:num w:numId="42" w16cid:durableId="1982268759">
    <w:abstractNumId w:val="5"/>
  </w:num>
  <w:num w:numId="43" w16cid:durableId="101202849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27D"/>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2B0"/>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0647"/>
    <w:rsid w:val="001F1315"/>
    <w:rsid w:val="001F1957"/>
    <w:rsid w:val="001F1D2D"/>
    <w:rsid w:val="001F288E"/>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BE7"/>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3B4F"/>
    <w:rsid w:val="00314933"/>
    <w:rsid w:val="0031497D"/>
    <w:rsid w:val="00316D48"/>
    <w:rsid w:val="00320EE5"/>
    <w:rsid w:val="003236DA"/>
    <w:rsid w:val="003244E5"/>
    <w:rsid w:val="00324C60"/>
    <w:rsid w:val="00326131"/>
    <w:rsid w:val="00326482"/>
    <w:rsid w:val="00326B61"/>
    <w:rsid w:val="00330EED"/>
    <w:rsid w:val="00331B26"/>
    <w:rsid w:val="003351B7"/>
    <w:rsid w:val="0033631A"/>
    <w:rsid w:val="00336946"/>
    <w:rsid w:val="00340D15"/>
    <w:rsid w:val="00341BA8"/>
    <w:rsid w:val="00343A77"/>
    <w:rsid w:val="00344166"/>
    <w:rsid w:val="00346B57"/>
    <w:rsid w:val="00347EDE"/>
    <w:rsid w:val="00351D92"/>
    <w:rsid w:val="00351FA4"/>
    <w:rsid w:val="00351FDE"/>
    <w:rsid w:val="003524BA"/>
    <w:rsid w:val="00352FD0"/>
    <w:rsid w:val="00354D09"/>
    <w:rsid w:val="0035599B"/>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0623"/>
    <w:rsid w:val="003A0961"/>
    <w:rsid w:val="003A1975"/>
    <w:rsid w:val="003A1DE1"/>
    <w:rsid w:val="003A36A8"/>
    <w:rsid w:val="003A39A0"/>
    <w:rsid w:val="003A3E2A"/>
    <w:rsid w:val="003A4BD9"/>
    <w:rsid w:val="003B0286"/>
    <w:rsid w:val="003B0466"/>
    <w:rsid w:val="003B091A"/>
    <w:rsid w:val="003B1C33"/>
    <w:rsid w:val="003B254D"/>
    <w:rsid w:val="003B298F"/>
    <w:rsid w:val="003B33FC"/>
    <w:rsid w:val="003B69AA"/>
    <w:rsid w:val="003B6AE8"/>
    <w:rsid w:val="003C3023"/>
    <w:rsid w:val="003C39D1"/>
    <w:rsid w:val="003C6A48"/>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4610"/>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4388"/>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6F89"/>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5C30"/>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371A"/>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0F3E"/>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635A"/>
    <w:rsid w:val="00767070"/>
    <w:rsid w:val="0076743A"/>
    <w:rsid w:val="00770B9A"/>
    <w:rsid w:val="007718E7"/>
    <w:rsid w:val="00774422"/>
    <w:rsid w:val="0077603D"/>
    <w:rsid w:val="007813D2"/>
    <w:rsid w:val="007825BE"/>
    <w:rsid w:val="007831FB"/>
    <w:rsid w:val="007839C3"/>
    <w:rsid w:val="00783E53"/>
    <w:rsid w:val="00785266"/>
    <w:rsid w:val="00785616"/>
    <w:rsid w:val="00785706"/>
    <w:rsid w:val="00785DD1"/>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3C3D"/>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B53AF"/>
    <w:rsid w:val="008C183F"/>
    <w:rsid w:val="008C1C95"/>
    <w:rsid w:val="008C3C03"/>
    <w:rsid w:val="008C3D9F"/>
    <w:rsid w:val="008C4122"/>
    <w:rsid w:val="008C669E"/>
    <w:rsid w:val="008D0D92"/>
    <w:rsid w:val="008D2A77"/>
    <w:rsid w:val="008D2EC9"/>
    <w:rsid w:val="008D62F8"/>
    <w:rsid w:val="008D652E"/>
    <w:rsid w:val="008D6A3E"/>
    <w:rsid w:val="008E1B3C"/>
    <w:rsid w:val="008E28EF"/>
    <w:rsid w:val="008E4419"/>
    <w:rsid w:val="008E4F02"/>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46D4"/>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969CC"/>
    <w:rsid w:val="009A23F7"/>
    <w:rsid w:val="009A2B2A"/>
    <w:rsid w:val="009A38DA"/>
    <w:rsid w:val="009A3F7F"/>
    <w:rsid w:val="009A4775"/>
    <w:rsid w:val="009A75C4"/>
    <w:rsid w:val="009B0897"/>
    <w:rsid w:val="009B0E59"/>
    <w:rsid w:val="009B12F6"/>
    <w:rsid w:val="009B276A"/>
    <w:rsid w:val="009B2F2F"/>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0E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2CA6"/>
    <w:rsid w:val="00A53E97"/>
    <w:rsid w:val="00A54F81"/>
    <w:rsid w:val="00A60794"/>
    <w:rsid w:val="00A611CE"/>
    <w:rsid w:val="00A614C6"/>
    <w:rsid w:val="00A7018B"/>
    <w:rsid w:val="00A70A7A"/>
    <w:rsid w:val="00A71410"/>
    <w:rsid w:val="00A73F7D"/>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4A94"/>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7A4"/>
    <w:rsid w:val="00B02E55"/>
    <w:rsid w:val="00B03527"/>
    <w:rsid w:val="00B0389A"/>
    <w:rsid w:val="00B0538C"/>
    <w:rsid w:val="00B06D4E"/>
    <w:rsid w:val="00B115C1"/>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6651"/>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E1"/>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5840"/>
    <w:rsid w:val="00CC6E2D"/>
    <w:rsid w:val="00CD24A8"/>
    <w:rsid w:val="00CD315A"/>
    <w:rsid w:val="00CD319A"/>
    <w:rsid w:val="00CD5502"/>
    <w:rsid w:val="00CD6A5D"/>
    <w:rsid w:val="00CE0526"/>
    <w:rsid w:val="00CE1ED9"/>
    <w:rsid w:val="00CE3665"/>
    <w:rsid w:val="00CE4F42"/>
    <w:rsid w:val="00CE5520"/>
    <w:rsid w:val="00CF0BB4"/>
    <w:rsid w:val="00CF1333"/>
    <w:rsid w:val="00CF1BB4"/>
    <w:rsid w:val="00CF2FF8"/>
    <w:rsid w:val="00CF32CF"/>
    <w:rsid w:val="00CF3D4D"/>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17AF4"/>
    <w:rsid w:val="00D224A1"/>
    <w:rsid w:val="00D2279D"/>
    <w:rsid w:val="00D2772A"/>
    <w:rsid w:val="00D33FC2"/>
    <w:rsid w:val="00D349ED"/>
    <w:rsid w:val="00D351C1"/>
    <w:rsid w:val="00D35E64"/>
    <w:rsid w:val="00D36CA3"/>
    <w:rsid w:val="00D4060C"/>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0D90"/>
    <w:rsid w:val="00DE165D"/>
    <w:rsid w:val="00DE2D45"/>
    <w:rsid w:val="00DE2FD7"/>
    <w:rsid w:val="00DE45A3"/>
    <w:rsid w:val="00DE466D"/>
    <w:rsid w:val="00DE5EE7"/>
    <w:rsid w:val="00DF1BE2"/>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76491"/>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625"/>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2981"/>
    <w:rsid w:val="00F15458"/>
    <w:rsid w:val="00F158C7"/>
    <w:rsid w:val="00F162F4"/>
    <w:rsid w:val="00F16C11"/>
    <w:rsid w:val="00F22278"/>
    <w:rsid w:val="00F23B83"/>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6DAF"/>
    <w:rsid w:val="00F7721E"/>
    <w:rsid w:val="00F77823"/>
    <w:rsid w:val="00F77F03"/>
    <w:rsid w:val="00F77FD4"/>
    <w:rsid w:val="00F81C15"/>
    <w:rsid w:val="00F82391"/>
    <w:rsid w:val="00F8333E"/>
    <w:rsid w:val="00F858CA"/>
    <w:rsid w:val="00F87E9D"/>
    <w:rsid w:val="00F9034E"/>
    <w:rsid w:val="00F90C2C"/>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153E"/>
    <w:rsid w:val="00FD2A0A"/>
    <w:rsid w:val="00FD3934"/>
    <w:rsid w:val="00FD40F7"/>
    <w:rsid w:val="00FD51C0"/>
    <w:rsid w:val="00FD5913"/>
    <w:rsid w:val="00FD5E29"/>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qFormat/>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link w:val="Bulletleft1lastChar"/>
    <w:qFormat/>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eft1lastChar">
    <w:name w:val="Bullet left 1 last Char"/>
    <w:link w:val="Bulletleft1last"/>
    <w:rsid w:val="00DE2D45"/>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quality-and-outcomes-framework-achievement-prevalence-and-exceptions-data" TargetMode="External"/><Relationship Id="rId13" Type="http://schemas.openxmlformats.org/officeDocument/2006/relationships/hyperlink" Target="https://www.nice.org.uk/guidance/ta393"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e.org.uk/guidance/ta3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69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ta733"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hyperlink" Target="https://www.nice.org.uk/guidance/ta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5563</Characters>
  <Application>Microsoft Office Word</Application>
  <DocSecurity>0</DocSecurity>
  <Lines>46</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2025-08-21T15:22:00Z</dcterms:created>
  <dcterms:modified xsi:type="dcterms:W3CDTF">2025-08-21T15:23:00Z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2025-08-21T15:23:21Z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1460f224-c788-4cd3-85bb-191f595750c7</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