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4C04CE8D" w:rsidR="009B0E59" w:rsidRPr="009B0E59" w:rsidRDefault="009B0E59" w:rsidP="00192685">
      <w:pPr>
        <w:pStyle w:val="Heading1"/>
        <w:rPr>
          <w:lang w:eastAsia="en-GB"/>
        </w:rPr>
      </w:pPr>
      <w:r w:rsidRPr="009B0E59">
        <w:rPr>
          <w:lang w:eastAsia="en-GB"/>
        </w:rPr>
        <w:t>Indicator</w:t>
      </w:r>
      <w:r w:rsidR="00A0646C">
        <w:rPr>
          <w:lang w:eastAsia="en-GB"/>
        </w:rPr>
        <w:t xml:space="preserve"> </w:t>
      </w:r>
      <w:r w:rsidR="00F945E7">
        <w:rPr>
          <w:lang w:eastAsia="en-GB"/>
        </w:rPr>
        <w:t>IND279</w:t>
      </w:r>
    </w:p>
    <w:p w14:paraId="70E96857" w14:textId="47242843" w:rsidR="00A0646C" w:rsidRDefault="00A0646C" w:rsidP="00192685">
      <w:pPr>
        <w:pStyle w:val="Heading1"/>
        <w:rPr>
          <w:b w:val="0"/>
          <w:bCs w:val="0"/>
          <w:kern w:val="0"/>
          <w:sz w:val="24"/>
          <w:szCs w:val="24"/>
          <w:lang w:eastAsia="en-GB"/>
        </w:rPr>
      </w:pPr>
      <w:r w:rsidRPr="00A0646C">
        <w:rPr>
          <w:b w:val="0"/>
          <w:bCs w:val="0"/>
          <w:kern w:val="0"/>
          <w:sz w:val="24"/>
          <w:szCs w:val="24"/>
          <w:lang w:eastAsia="en-GB"/>
        </w:rPr>
        <w:t>Life expectancy at 75</w:t>
      </w:r>
      <w:r w:rsidR="00563BD0">
        <w:rPr>
          <w:b w:val="0"/>
          <w:bCs w:val="0"/>
          <w:kern w:val="0"/>
          <w:sz w:val="24"/>
          <w:szCs w:val="24"/>
          <w:lang w:eastAsia="en-GB"/>
        </w:rPr>
        <w:t xml:space="preserve"> </w:t>
      </w:r>
    </w:p>
    <w:p w14:paraId="6CBA005E" w14:textId="054CDDE6" w:rsidR="00236060" w:rsidRDefault="00236060" w:rsidP="00192685">
      <w:pPr>
        <w:pStyle w:val="Heading1"/>
      </w:pPr>
      <w:r>
        <w:t xml:space="preserve">Indicator type </w:t>
      </w:r>
    </w:p>
    <w:p w14:paraId="6894C1D1" w14:textId="52E7370C" w:rsidR="00545D8A" w:rsidRDefault="00545D8A" w:rsidP="00192685">
      <w:pPr>
        <w:pStyle w:val="Heading1"/>
        <w:rPr>
          <w:b w:val="0"/>
          <w:bCs w:val="0"/>
          <w:kern w:val="0"/>
          <w:sz w:val="24"/>
          <w:szCs w:val="24"/>
          <w:lang w:val="en-US"/>
        </w:rPr>
      </w:pPr>
      <w:r w:rsidRPr="00545D8A">
        <w:rPr>
          <w:b w:val="0"/>
          <w:bCs w:val="0"/>
          <w:kern w:val="0"/>
          <w:sz w:val="24"/>
          <w:szCs w:val="24"/>
          <w:lang w:val="en-US"/>
        </w:rPr>
        <w:t xml:space="preserve">Network / system level indicator. </w:t>
      </w:r>
    </w:p>
    <w:p w14:paraId="375C8CD6" w14:textId="795C0E76" w:rsidR="00C21CB4" w:rsidRPr="00C21CB4" w:rsidRDefault="002338EB" w:rsidP="006775E1">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1479E458" w:rsidR="00D4401C" w:rsidRPr="00563BD0" w:rsidRDefault="002338EB" w:rsidP="00117750">
            <w:pPr>
              <w:pStyle w:val="Paragraph"/>
              <w:spacing w:before="120" w:after="120" w:line="240" w:lineRule="auto"/>
              <w:rPr>
                <w:rFonts w:cs="Arial"/>
                <w:sz w:val="22"/>
                <w:szCs w:val="22"/>
                <w:highlight w:val="yellow"/>
              </w:rPr>
            </w:pPr>
            <w:r w:rsidRPr="00117750">
              <w:rPr>
                <w:rFonts w:cs="Arial"/>
                <w:sz w:val="22"/>
                <w:szCs w:val="22"/>
              </w:rPr>
              <w:t xml:space="preserve">The </w:t>
            </w:r>
            <w:hyperlink r:id="rId7" w:history="1">
              <w:r w:rsidRPr="00117750">
                <w:rPr>
                  <w:rFonts w:cs="Arial"/>
                  <w:color w:val="0000FF"/>
                  <w:sz w:val="22"/>
                  <w:szCs w:val="22"/>
                  <w:u w:val="single"/>
                </w:rPr>
                <w:t>NHS Long Term Plan</w:t>
              </w:r>
            </w:hyperlink>
            <w:r w:rsidRPr="00117750">
              <w:rPr>
                <w:rFonts w:cs="Arial"/>
                <w:sz w:val="22"/>
                <w:szCs w:val="22"/>
              </w:rPr>
              <w:t xml:space="preserve"> </w:t>
            </w:r>
            <w:r w:rsidR="00A0646C" w:rsidRPr="00117750">
              <w:rPr>
                <w:rFonts w:cs="Arial"/>
                <w:sz w:val="22"/>
                <w:szCs w:val="22"/>
              </w:rPr>
              <w:t xml:space="preserve">highlights </w:t>
            </w:r>
            <w:r w:rsidR="00FE4D4D">
              <w:rPr>
                <w:rFonts w:cs="Arial"/>
                <w:sz w:val="22"/>
                <w:szCs w:val="22"/>
              </w:rPr>
              <w:t>the importance of</w:t>
            </w:r>
            <w:r w:rsidR="00A0646C" w:rsidRPr="00117750">
              <w:rPr>
                <w:rFonts w:cs="Arial"/>
                <w:sz w:val="22"/>
                <w:szCs w:val="22"/>
              </w:rPr>
              <w:t xml:space="preserve"> supporting people to age well, noting that extra yea</w:t>
            </w:r>
            <w:r w:rsidR="00172312">
              <w:rPr>
                <w:rFonts w:cs="Arial"/>
                <w:sz w:val="22"/>
                <w:szCs w:val="22"/>
              </w:rPr>
              <w:t>r</w:t>
            </w:r>
            <w:r w:rsidR="00A0646C" w:rsidRPr="00117750">
              <w:rPr>
                <w:rFonts w:cs="Arial"/>
                <w:sz w:val="22"/>
                <w:szCs w:val="22"/>
              </w:rPr>
              <w:t>s of life are not always spent in good health.</w:t>
            </w:r>
            <w:r w:rsidR="00FC4625" w:rsidRPr="00117750">
              <w:rPr>
                <w:rFonts w:cs="Arial"/>
                <w:sz w:val="22"/>
                <w:szCs w:val="22"/>
              </w:rPr>
              <w:t xml:space="preserve"> </w:t>
            </w:r>
            <w:r w:rsidR="002A6164" w:rsidRPr="00CE42A4">
              <w:rPr>
                <w:rFonts w:cs="Arial"/>
                <w:sz w:val="22"/>
                <w:szCs w:val="22"/>
              </w:rPr>
              <w:t>T</w:t>
            </w:r>
            <w:r w:rsidR="00FC4625" w:rsidRPr="00CE42A4">
              <w:rPr>
                <w:rFonts w:cs="Arial"/>
                <w:sz w:val="22"/>
                <w:szCs w:val="22"/>
              </w:rPr>
              <w:t xml:space="preserve">he </w:t>
            </w:r>
            <w:r w:rsidR="002A6164" w:rsidRPr="00CE42A4">
              <w:rPr>
                <w:sz w:val="22"/>
                <w:szCs w:val="22"/>
              </w:rPr>
              <w:t xml:space="preserve">plan, in general terms, also </w:t>
            </w:r>
            <w:r w:rsidR="00FC4625" w:rsidRPr="00CE42A4">
              <w:rPr>
                <w:rFonts w:cs="Arial"/>
                <w:sz w:val="22"/>
                <w:szCs w:val="22"/>
              </w:rPr>
              <w:t>notes the impact of deprivation on</w:t>
            </w:r>
            <w:r w:rsidR="00FC4625" w:rsidRPr="00CE42A4">
              <w:rPr>
                <w:rFonts w:cs="Arial"/>
                <w:color w:val="000000"/>
                <w:kern w:val="24"/>
                <w:sz w:val="22"/>
                <w:szCs w:val="22"/>
                <w:lang w:val="en-US"/>
              </w:rPr>
              <w:t xml:space="preserve"> life expectancy, stating that </w:t>
            </w:r>
            <w:r w:rsidR="00332B62" w:rsidRPr="00CE42A4">
              <w:rPr>
                <w:rFonts w:cs="Arial"/>
                <w:color w:val="000000"/>
                <w:kern w:val="24"/>
                <w:sz w:val="22"/>
                <w:szCs w:val="22"/>
                <w:lang w:val="en-US"/>
              </w:rPr>
              <w:t>‘</w:t>
            </w:r>
            <w:r w:rsidR="00FC4625" w:rsidRPr="00CE42A4">
              <w:rPr>
                <w:rFonts w:cs="Arial"/>
                <w:color w:val="000000"/>
                <w:kern w:val="24"/>
                <w:sz w:val="22"/>
                <w:szCs w:val="22"/>
                <w:lang w:val="en-US"/>
              </w:rPr>
              <w:t>while life expectancy continues to improve for the most affluent 10% of our population, it has either stalled or fallen for the most deprived 10%</w:t>
            </w:r>
            <w:r w:rsidR="00332B62" w:rsidRPr="00CE42A4">
              <w:rPr>
                <w:rFonts w:cs="Arial"/>
                <w:color w:val="000000"/>
                <w:kern w:val="24"/>
                <w:sz w:val="22"/>
                <w:szCs w:val="22"/>
                <w:lang w:val="en-US"/>
              </w:rPr>
              <w:t>’</w:t>
            </w:r>
            <w:r w:rsidR="00FC4625" w:rsidRPr="00CE42A4">
              <w:rPr>
                <w:rFonts w:cs="Arial"/>
                <w:color w:val="000000"/>
                <w:kern w:val="24"/>
                <w:sz w:val="22"/>
                <w:szCs w:val="22"/>
                <w:lang w:val="en-US"/>
              </w:rPr>
              <w:t>.</w:t>
            </w:r>
            <w:r w:rsidR="00FC4625" w:rsidRPr="008B43D6">
              <w:rPr>
                <w:rFonts w:cs="Arial"/>
                <w:strike/>
                <w:color w:val="000000"/>
                <w:kern w:val="24"/>
                <w:sz w:val="22"/>
                <w:szCs w:val="22"/>
                <w:lang w:val="en-US"/>
              </w:rPr>
              <w:t xml:space="preserve">  </w:t>
            </w:r>
          </w:p>
        </w:tc>
        <w:tc>
          <w:tcPr>
            <w:tcW w:w="3118" w:type="dxa"/>
          </w:tcPr>
          <w:p w14:paraId="062E903B" w14:textId="11F2556A" w:rsidR="002338EB" w:rsidRPr="00046BEA" w:rsidRDefault="002338EB" w:rsidP="002338EB">
            <w:pPr>
              <w:spacing w:before="120" w:after="120"/>
              <w:rPr>
                <w:rFonts w:ascii="Arial" w:hAnsi="Arial" w:cs="Arial"/>
                <w:color w:val="000000"/>
                <w:kern w:val="24"/>
                <w:sz w:val="22"/>
                <w:szCs w:val="22"/>
                <w:lang w:val="en-US"/>
              </w:rPr>
            </w:pPr>
            <w:r w:rsidRPr="00046BEA">
              <w:rPr>
                <w:rFonts w:ascii="Arial" w:hAnsi="Arial" w:cs="Arial"/>
                <w:color w:val="000000"/>
                <w:kern w:val="24"/>
                <w:sz w:val="22"/>
                <w:szCs w:val="22"/>
                <w:lang w:val="en-US"/>
              </w:rPr>
              <w:t>The indicator reflects specific priority area</w:t>
            </w:r>
            <w:r w:rsidR="003302E9" w:rsidRPr="00046BEA">
              <w:rPr>
                <w:rFonts w:ascii="Arial" w:hAnsi="Arial" w:cs="Arial"/>
                <w:color w:val="000000"/>
                <w:kern w:val="24"/>
                <w:sz w:val="22"/>
                <w:szCs w:val="22"/>
                <w:lang w:val="en-US"/>
              </w:rPr>
              <w:t>s</w:t>
            </w:r>
            <w:r w:rsidRPr="00046BEA">
              <w:rPr>
                <w:rFonts w:ascii="Arial" w:hAnsi="Arial" w:cs="Arial"/>
                <w:color w:val="000000"/>
                <w:kern w:val="24"/>
                <w:sz w:val="22"/>
                <w:szCs w:val="22"/>
                <w:lang w:val="en-US"/>
              </w:rPr>
              <w:t xml:space="preserve"> identified by NHS England.</w:t>
            </w:r>
          </w:p>
          <w:p w14:paraId="272CA0EC" w14:textId="77777777" w:rsidR="002338EB" w:rsidRPr="00C21CB4" w:rsidRDefault="002338EB" w:rsidP="002338EB">
            <w:pPr>
              <w:pStyle w:val="Paragraph"/>
              <w:spacing w:before="120" w:after="120" w:line="240" w:lineRule="auto"/>
              <w:rPr>
                <w:sz w:val="20"/>
                <w:szCs w:val="20"/>
                <w:highlight w:val="lightGray"/>
              </w:rPr>
            </w:pPr>
          </w:p>
        </w:tc>
      </w:tr>
      <w:tr w:rsidR="00735337" w14:paraId="2E2CE1C4" w14:textId="77777777" w:rsidTr="002338EB">
        <w:tc>
          <w:tcPr>
            <w:tcW w:w="5949" w:type="dxa"/>
          </w:tcPr>
          <w:p w14:paraId="0AA745FC" w14:textId="5248107D" w:rsidR="009F3942" w:rsidRPr="00A15651" w:rsidRDefault="00527C9A">
            <w:pPr>
              <w:spacing w:before="120" w:after="120"/>
              <w:rPr>
                <w:rFonts w:ascii="Arial" w:hAnsi="Arial" w:cs="Arial"/>
                <w:sz w:val="22"/>
                <w:szCs w:val="22"/>
              </w:rPr>
            </w:pPr>
            <w:r w:rsidRPr="00527C9A">
              <w:rPr>
                <w:rFonts w:ascii="Arial" w:hAnsi="Arial" w:cs="Arial"/>
                <w:sz w:val="22"/>
                <w:szCs w:val="22"/>
              </w:rPr>
              <w:t xml:space="preserve">At a national level the value of this indicator has improved over time. In 1990 the male life expectancy at 75 was 8.5 years and for females 11.1, increasing by </w:t>
            </w:r>
            <w:r>
              <w:rPr>
                <w:rFonts w:ascii="Arial" w:hAnsi="Arial" w:cs="Arial"/>
                <w:sz w:val="22"/>
                <w:szCs w:val="22"/>
              </w:rPr>
              <w:t>2020</w:t>
            </w:r>
            <w:r w:rsidRPr="00527C9A">
              <w:rPr>
                <w:rFonts w:ascii="Arial" w:hAnsi="Arial" w:cs="Arial"/>
                <w:sz w:val="22"/>
                <w:szCs w:val="22"/>
              </w:rPr>
              <w:t xml:space="preserve"> to </w:t>
            </w:r>
            <w:r>
              <w:rPr>
                <w:rFonts w:ascii="Arial" w:hAnsi="Arial" w:cs="Arial"/>
                <w:sz w:val="22"/>
                <w:szCs w:val="22"/>
              </w:rPr>
              <w:t>11.5</w:t>
            </w:r>
            <w:r w:rsidRPr="00527C9A">
              <w:rPr>
                <w:rFonts w:ascii="Arial" w:hAnsi="Arial" w:cs="Arial"/>
                <w:sz w:val="22"/>
                <w:szCs w:val="22"/>
              </w:rPr>
              <w:t xml:space="preserve"> and </w:t>
            </w:r>
            <w:r>
              <w:rPr>
                <w:rFonts w:ascii="Arial" w:hAnsi="Arial" w:cs="Arial"/>
                <w:sz w:val="22"/>
                <w:szCs w:val="22"/>
              </w:rPr>
              <w:t>13.2</w:t>
            </w:r>
            <w:r w:rsidRPr="00527C9A">
              <w:rPr>
                <w:rFonts w:ascii="Arial" w:hAnsi="Arial" w:cs="Arial"/>
                <w:sz w:val="22"/>
                <w:szCs w:val="22"/>
              </w:rPr>
              <w:t xml:space="preserve"> respectively. Life expectancies are higher in less deprived deciles for both genders, and there is substantial geographical variation.</w:t>
            </w:r>
            <w:r w:rsidR="009F3942">
              <w:rPr>
                <w:rFonts w:ascii="Arial" w:hAnsi="Arial" w:cs="Arial"/>
                <w:sz w:val="22"/>
                <w:szCs w:val="22"/>
              </w:rPr>
              <w:t xml:space="preserve"> </w:t>
            </w:r>
            <w:r w:rsidR="008B43D6">
              <w:rPr>
                <w:rFonts w:ascii="Arial" w:hAnsi="Arial" w:cs="Arial"/>
                <w:sz w:val="22"/>
                <w:szCs w:val="22"/>
              </w:rPr>
              <w:t>N</w:t>
            </w:r>
            <w:r w:rsidR="00CE42A4" w:rsidRPr="00A15651">
              <w:rPr>
                <w:rFonts w:ascii="Arial" w:hAnsi="Arial" w:cs="Arial"/>
                <w:sz w:val="22"/>
                <w:szCs w:val="22"/>
              </w:rPr>
              <w:t xml:space="preserve">ote: </w:t>
            </w:r>
            <w:r w:rsidR="009F3942">
              <w:rPr>
                <w:rFonts w:ascii="Arial" w:hAnsi="Arial" w:cs="Arial"/>
                <w:sz w:val="22"/>
                <w:szCs w:val="22"/>
              </w:rPr>
              <w:t xml:space="preserve">deprivation data is available from 2001 to 2003 (inclusive) to 2017 to 2019 (inclusive); data for </w:t>
            </w:r>
            <w:r w:rsidR="00CE42A4" w:rsidRPr="00A15651">
              <w:rPr>
                <w:rFonts w:ascii="Arial" w:hAnsi="Arial" w:cs="Arial"/>
                <w:sz w:val="22"/>
                <w:szCs w:val="22"/>
              </w:rPr>
              <w:t>2018</w:t>
            </w:r>
            <w:r w:rsidR="009F3942">
              <w:rPr>
                <w:rFonts w:ascii="Arial" w:hAnsi="Arial" w:cs="Arial"/>
                <w:sz w:val="22"/>
                <w:szCs w:val="22"/>
              </w:rPr>
              <w:t xml:space="preserve"> to 20</w:t>
            </w:r>
            <w:r w:rsidR="00CE42A4" w:rsidRPr="00A15651">
              <w:rPr>
                <w:rFonts w:ascii="Arial" w:hAnsi="Arial" w:cs="Arial"/>
                <w:sz w:val="22"/>
                <w:szCs w:val="22"/>
              </w:rPr>
              <w:t>20</w:t>
            </w:r>
            <w:r w:rsidR="009F3942">
              <w:rPr>
                <w:rFonts w:ascii="Arial" w:hAnsi="Arial" w:cs="Arial"/>
                <w:sz w:val="22"/>
                <w:szCs w:val="22"/>
              </w:rPr>
              <w:t xml:space="preserve"> (inclusive)</w:t>
            </w:r>
            <w:r w:rsidR="00CE42A4" w:rsidRPr="00A15651">
              <w:rPr>
                <w:rFonts w:ascii="Arial" w:hAnsi="Arial" w:cs="Arial"/>
                <w:sz w:val="22"/>
                <w:szCs w:val="22"/>
              </w:rPr>
              <w:t xml:space="preserve"> </w:t>
            </w:r>
            <w:r w:rsidR="009F3942">
              <w:rPr>
                <w:rFonts w:ascii="Arial" w:hAnsi="Arial" w:cs="Arial"/>
                <w:sz w:val="22"/>
                <w:szCs w:val="22"/>
              </w:rPr>
              <w:t xml:space="preserve">are </w:t>
            </w:r>
            <w:r w:rsidR="00CE42A4" w:rsidRPr="00A15651">
              <w:rPr>
                <w:rFonts w:ascii="Arial" w:hAnsi="Arial" w:cs="Arial"/>
                <w:sz w:val="22"/>
                <w:szCs w:val="22"/>
              </w:rPr>
              <w:t>unavailable as of March 2022</w:t>
            </w:r>
            <w:r w:rsidR="00CE42A4">
              <w:rPr>
                <w:rFonts w:ascii="Arial" w:hAnsi="Arial" w:cs="Arial"/>
                <w:sz w:val="22"/>
                <w:szCs w:val="22"/>
              </w:rPr>
              <w:t xml:space="preserve">. </w:t>
            </w:r>
          </w:p>
          <w:p w14:paraId="378D38FD" w14:textId="7B4F8894" w:rsidR="0011701E" w:rsidRPr="008B43D6" w:rsidRDefault="0011701E" w:rsidP="008B43D6">
            <w:pPr>
              <w:rPr>
                <w:rFonts w:ascii="Arial" w:hAnsi="Arial"/>
                <w:color w:val="FFC000"/>
                <w:sz w:val="22"/>
                <w:lang w:val="en-US"/>
              </w:rPr>
            </w:pPr>
            <w:r w:rsidRPr="008B43D6">
              <w:rPr>
                <w:rFonts w:ascii="Arial" w:hAnsi="Arial"/>
                <w:sz w:val="22"/>
                <w:lang w:val="en-US"/>
              </w:rPr>
              <w:t xml:space="preserve">Regional and local authority breakdowns are also available, with gender splits for all breakdowns </w:t>
            </w:r>
            <w:r w:rsidR="00A15651" w:rsidRPr="00A15651">
              <w:rPr>
                <w:rFonts w:ascii="Arial" w:hAnsi="Arial" w:cs="Arial"/>
                <w:sz w:val="22"/>
                <w:szCs w:val="22"/>
              </w:rPr>
              <w:t>(</w:t>
            </w:r>
            <w:hyperlink r:id="rId8" w:history="1">
              <w:r w:rsidR="00CE42A4">
                <w:rPr>
                  <w:rStyle w:val="Hyperlink"/>
                  <w:rFonts w:ascii="Arial" w:hAnsi="Arial" w:cs="Arial"/>
                  <w:sz w:val="22"/>
                  <w:szCs w:val="22"/>
                </w:rPr>
                <w:t>NHS Outcomes Framework (NHSOF) data for indicator 1b</w:t>
              </w:r>
            </w:hyperlink>
            <w:r w:rsidR="00A15651" w:rsidRPr="00A15651">
              <w:rPr>
                <w:rFonts w:ascii="Arial" w:hAnsi="Arial" w:cs="Arial"/>
                <w:sz w:val="22"/>
                <w:szCs w:val="22"/>
              </w:rPr>
              <w:t xml:space="preserve"> </w:t>
            </w:r>
            <w:r w:rsidR="00CE42A4">
              <w:rPr>
                <w:rFonts w:ascii="Arial" w:hAnsi="Arial" w:cs="Arial"/>
                <w:sz w:val="22"/>
                <w:szCs w:val="22"/>
              </w:rPr>
              <w:t>(</w:t>
            </w:r>
            <w:r w:rsidR="00A15651" w:rsidRPr="00A15651">
              <w:rPr>
                <w:rFonts w:ascii="Arial" w:hAnsi="Arial" w:cs="Arial"/>
                <w:sz w:val="22"/>
                <w:szCs w:val="22"/>
              </w:rPr>
              <w:t>March 2022).</w:t>
            </w:r>
          </w:p>
        </w:tc>
        <w:tc>
          <w:tcPr>
            <w:tcW w:w="3118" w:type="dxa"/>
          </w:tcPr>
          <w:p w14:paraId="3C8B1CA2" w14:textId="77777777" w:rsidR="00735337" w:rsidRPr="005924DA" w:rsidRDefault="00735337" w:rsidP="00735337">
            <w:pPr>
              <w:spacing w:before="120" w:after="120"/>
              <w:rPr>
                <w:rFonts w:ascii="Arial" w:hAnsi="Arial" w:cs="Arial"/>
                <w:color w:val="000000"/>
                <w:kern w:val="24"/>
                <w:sz w:val="22"/>
                <w:szCs w:val="22"/>
                <w:lang w:val="en-US"/>
              </w:rPr>
            </w:pPr>
            <w:r w:rsidRPr="005924DA">
              <w:rPr>
                <w:rFonts w:ascii="Arial" w:hAnsi="Arial" w:cs="Arial"/>
                <w:color w:val="000000"/>
                <w:kern w:val="24"/>
                <w:sz w:val="22"/>
                <w:szCs w:val="22"/>
                <w:lang w:val="en-US"/>
              </w:rPr>
              <w:t>The indicator relates to an area where there is known variation in practice.</w:t>
            </w:r>
          </w:p>
          <w:p w14:paraId="3FD01E72" w14:textId="43C8C36A" w:rsidR="00735337" w:rsidRPr="005924DA" w:rsidRDefault="00735337" w:rsidP="00735337">
            <w:pPr>
              <w:pStyle w:val="Paragraph"/>
              <w:spacing w:before="120" w:after="120" w:line="240" w:lineRule="auto"/>
            </w:pPr>
          </w:p>
        </w:tc>
      </w:tr>
      <w:tr w:rsidR="00735337" w14:paraId="373D8AA4" w14:textId="77777777" w:rsidTr="002338EB">
        <w:tc>
          <w:tcPr>
            <w:tcW w:w="5949" w:type="dxa"/>
          </w:tcPr>
          <w:p w14:paraId="1144F6B4" w14:textId="44BD5BB1" w:rsidR="00C22A89" w:rsidRDefault="00CC51D9" w:rsidP="00437008">
            <w:pPr>
              <w:spacing w:before="120" w:after="120"/>
              <w:rPr>
                <w:rFonts w:ascii="Arial" w:hAnsi="Arial" w:cs="Arial"/>
                <w:sz w:val="22"/>
                <w:szCs w:val="22"/>
              </w:rPr>
            </w:pPr>
            <w:bookmarkStart w:id="1" w:name="_Hlk177487900"/>
            <w:r w:rsidRPr="00CC51D9">
              <w:rPr>
                <w:rFonts w:ascii="Arial" w:hAnsi="Arial" w:cs="Arial"/>
                <w:sz w:val="22"/>
                <w:szCs w:val="22"/>
              </w:rPr>
              <w:t xml:space="preserve">Life expectancy </w:t>
            </w:r>
            <w:r w:rsidR="006E42AC">
              <w:rPr>
                <w:rFonts w:ascii="Arial" w:hAnsi="Arial" w:cs="Arial"/>
                <w:sz w:val="22"/>
                <w:szCs w:val="22"/>
              </w:rPr>
              <w:t xml:space="preserve">provides a useful measure of mortality </w:t>
            </w:r>
            <w:r w:rsidR="00CE42A4">
              <w:rPr>
                <w:rFonts w:ascii="Arial" w:hAnsi="Arial" w:cs="Arial"/>
                <w:sz w:val="22"/>
                <w:szCs w:val="22"/>
              </w:rPr>
              <w:t xml:space="preserve">rates </w:t>
            </w:r>
            <w:r w:rsidR="006E42AC">
              <w:rPr>
                <w:rFonts w:ascii="Arial" w:hAnsi="Arial" w:cs="Arial"/>
                <w:sz w:val="22"/>
                <w:szCs w:val="22"/>
              </w:rPr>
              <w:t>experienced over a given period</w:t>
            </w:r>
            <w:r w:rsidR="00CE42A4">
              <w:rPr>
                <w:rFonts w:ascii="Arial" w:hAnsi="Arial" w:cs="Arial"/>
                <w:sz w:val="22"/>
                <w:szCs w:val="22"/>
              </w:rPr>
              <w:t xml:space="preserve">.  For past years, life expectancy </w:t>
            </w:r>
            <w:r w:rsidRPr="00CC51D9">
              <w:rPr>
                <w:rFonts w:ascii="Arial" w:hAnsi="Arial" w:cs="Arial"/>
                <w:sz w:val="22"/>
                <w:szCs w:val="22"/>
              </w:rPr>
              <w:t xml:space="preserve">can be used to </w:t>
            </w:r>
            <w:r w:rsidR="00CE42A4">
              <w:rPr>
                <w:rFonts w:ascii="Arial" w:hAnsi="Arial" w:cs="Arial"/>
                <w:sz w:val="22"/>
                <w:szCs w:val="22"/>
              </w:rPr>
              <w:t xml:space="preserve">compare trends in mortality over time, between areas of a country and </w:t>
            </w:r>
            <w:r w:rsidR="00590687">
              <w:rPr>
                <w:rFonts w:ascii="Arial" w:hAnsi="Arial" w:cs="Arial"/>
                <w:sz w:val="22"/>
                <w:szCs w:val="22"/>
              </w:rPr>
              <w:t>with</w:t>
            </w:r>
            <w:r w:rsidR="00CE42A4">
              <w:rPr>
                <w:rFonts w:ascii="Arial" w:hAnsi="Arial" w:cs="Arial"/>
                <w:sz w:val="22"/>
                <w:szCs w:val="22"/>
              </w:rPr>
              <w:t xml:space="preserve"> other count</w:t>
            </w:r>
            <w:r w:rsidR="009F3942">
              <w:rPr>
                <w:rFonts w:ascii="Arial" w:hAnsi="Arial" w:cs="Arial"/>
                <w:sz w:val="22"/>
                <w:szCs w:val="22"/>
              </w:rPr>
              <w:t>r</w:t>
            </w:r>
            <w:r w:rsidR="00CE42A4">
              <w:rPr>
                <w:rFonts w:ascii="Arial" w:hAnsi="Arial" w:cs="Arial"/>
                <w:sz w:val="22"/>
                <w:szCs w:val="22"/>
              </w:rPr>
              <w:t xml:space="preserve">ies. </w:t>
            </w:r>
            <w:r>
              <w:rPr>
                <w:rFonts w:ascii="Arial" w:hAnsi="Arial" w:cs="Arial"/>
                <w:sz w:val="22"/>
                <w:szCs w:val="22"/>
              </w:rPr>
              <w:t xml:space="preserve"> </w:t>
            </w:r>
          </w:p>
          <w:bookmarkEnd w:id="1"/>
          <w:p w14:paraId="40A2EA38" w14:textId="152750DA" w:rsidR="006775E1" w:rsidRPr="003302E9" w:rsidRDefault="00CC51D9" w:rsidP="00735337">
            <w:pPr>
              <w:spacing w:before="120" w:after="120"/>
              <w:rPr>
                <w:rFonts w:ascii="Arial" w:hAnsi="Arial" w:cs="Arial"/>
                <w:sz w:val="22"/>
                <w:szCs w:val="22"/>
              </w:rPr>
            </w:pPr>
            <w:r>
              <w:rPr>
                <w:rFonts w:ascii="Arial" w:hAnsi="Arial" w:cs="Arial"/>
                <w:sz w:val="22"/>
                <w:szCs w:val="22"/>
              </w:rPr>
              <w:t xml:space="preserve">(adapted from </w:t>
            </w:r>
            <w:hyperlink r:id="rId9" w:history="1">
              <w:r w:rsidR="00CE42A4">
                <w:rPr>
                  <w:rStyle w:val="Hyperlink"/>
                  <w:rFonts w:ascii="Arial" w:hAnsi="Arial" w:cs="Arial"/>
                  <w:sz w:val="22"/>
                  <w:szCs w:val="22"/>
                </w:rPr>
                <w:t>NHSOF quality statement for indicator 1b</w:t>
              </w:r>
            </w:hyperlink>
            <w:r w:rsidR="00661EF7">
              <w:rPr>
                <w:rFonts w:ascii="Arial" w:hAnsi="Arial" w:cs="Arial"/>
                <w:sz w:val="22"/>
                <w:szCs w:val="22"/>
              </w:rPr>
              <w:t>,</w:t>
            </w:r>
            <w:r w:rsidR="00CE42A4">
              <w:rPr>
                <w:rFonts w:ascii="Arial" w:hAnsi="Arial" w:cs="Arial"/>
                <w:sz w:val="22"/>
                <w:szCs w:val="22"/>
              </w:rPr>
              <w:t xml:space="preserve"> </w:t>
            </w:r>
            <w:r w:rsidR="00CE42A4" w:rsidRPr="00CE42A4">
              <w:rPr>
                <w:rFonts w:ascii="Arial" w:hAnsi="Arial" w:cs="Arial"/>
                <w:sz w:val="22"/>
                <w:szCs w:val="22"/>
              </w:rPr>
              <w:t>version 1.11</w:t>
            </w:r>
            <w:r w:rsidR="00661EF7">
              <w:rPr>
                <w:rFonts w:ascii="Arial" w:hAnsi="Arial" w:cs="Arial"/>
                <w:sz w:val="22"/>
                <w:szCs w:val="22"/>
              </w:rPr>
              <w:t xml:space="preserve"> </w:t>
            </w:r>
            <w:r w:rsidR="00CE42A4">
              <w:rPr>
                <w:rFonts w:ascii="Arial" w:hAnsi="Arial" w:cs="Arial"/>
                <w:sz w:val="22"/>
                <w:szCs w:val="22"/>
              </w:rPr>
              <w:t>(</w:t>
            </w:r>
            <w:r w:rsidR="006775E1" w:rsidRPr="006775E1">
              <w:rPr>
                <w:rFonts w:ascii="Arial" w:hAnsi="Arial" w:cs="Arial"/>
                <w:sz w:val="22"/>
                <w:szCs w:val="22"/>
              </w:rPr>
              <w:t>May 2020</w:t>
            </w:r>
            <w:r w:rsidR="00CE42A4">
              <w:rPr>
                <w:rFonts w:ascii="Arial" w:hAnsi="Arial" w:cs="Arial"/>
                <w:sz w:val="22"/>
                <w:szCs w:val="22"/>
              </w:rPr>
              <w:t>)</w:t>
            </w:r>
            <w:r w:rsidR="000F54C6">
              <w:rPr>
                <w:rFonts w:ascii="Arial" w:hAnsi="Arial" w:cs="Arial"/>
                <w:sz w:val="22"/>
                <w:szCs w:val="22"/>
              </w:rPr>
              <w:t>).</w:t>
            </w:r>
          </w:p>
        </w:tc>
        <w:tc>
          <w:tcPr>
            <w:tcW w:w="3118" w:type="dxa"/>
          </w:tcPr>
          <w:p w14:paraId="380FC230" w14:textId="77777777" w:rsidR="00735337" w:rsidRPr="003302E9" w:rsidRDefault="00735337" w:rsidP="00735337">
            <w:pPr>
              <w:spacing w:before="120" w:after="120"/>
              <w:rPr>
                <w:rFonts w:ascii="Arial" w:hAnsi="Arial" w:cs="Arial"/>
                <w:color w:val="000000"/>
                <w:kern w:val="24"/>
                <w:sz w:val="22"/>
                <w:szCs w:val="22"/>
                <w:lang w:val="en-US"/>
              </w:rPr>
            </w:pPr>
            <w:r w:rsidRPr="003302E9">
              <w:rPr>
                <w:rFonts w:ascii="Arial" w:hAnsi="Arial" w:cs="Arial"/>
                <w:color w:val="000000"/>
                <w:kern w:val="24"/>
                <w:sz w:val="22"/>
                <w:szCs w:val="22"/>
                <w:lang w:val="en-US"/>
              </w:rPr>
              <w:t>The indicator will lead to a meaningful improvement in patient outcomes.</w:t>
            </w:r>
          </w:p>
          <w:p w14:paraId="45004AAC" w14:textId="77777777" w:rsidR="00735337" w:rsidRPr="003302E9" w:rsidRDefault="00735337" w:rsidP="00735337">
            <w:pPr>
              <w:spacing w:before="120" w:after="120"/>
              <w:rPr>
                <w:rFonts w:ascii="Arial" w:hAnsi="Arial" w:cs="Arial"/>
                <w:color w:val="000000"/>
                <w:kern w:val="24"/>
                <w:sz w:val="22"/>
                <w:szCs w:val="22"/>
                <w:lang w:val="en-US"/>
              </w:rPr>
            </w:pPr>
          </w:p>
        </w:tc>
      </w:tr>
    </w:tbl>
    <w:bookmarkEnd w:id="0"/>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43555E8B" w14:textId="27E0F78E" w:rsidR="00B65A71" w:rsidRPr="00D12272" w:rsidRDefault="00B65A71" w:rsidP="00B65A71">
            <w:pPr>
              <w:spacing w:before="120" w:after="120"/>
              <w:rPr>
                <w:rFonts w:ascii="Arial" w:hAnsi="Arial" w:cs="Arial"/>
                <w:color w:val="000000"/>
                <w:kern w:val="24"/>
                <w:sz w:val="22"/>
                <w:szCs w:val="22"/>
                <w:lang w:eastAsia="en-GB"/>
              </w:rPr>
            </w:pPr>
            <w:r w:rsidRPr="00D12272">
              <w:rPr>
                <w:rFonts w:ascii="Arial" w:hAnsi="Arial" w:cs="Arial"/>
                <w:color w:val="000000"/>
                <w:kern w:val="24"/>
                <w:sz w:val="22"/>
                <w:szCs w:val="22"/>
                <w:lang w:eastAsia="en-GB"/>
              </w:rPr>
              <w:t xml:space="preserve">This is an overarching indicator to review how successful the NHS has been in preventing people from dying prematurely, and in particular, preventing deaths from causes considered ‘amenable’ to healthcare. </w:t>
            </w:r>
            <w:r>
              <w:rPr>
                <w:rFonts w:ascii="Arial" w:hAnsi="Arial" w:cs="Arial"/>
                <w:color w:val="000000"/>
                <w:kern w:val="24"/>
                <w:sz w:val="22"/>
                <w:szCs w:val="22"/>
                <w:lang w:eastAsia="en-GB"/>
              </w:rPr>
              <w:t>‘</w:t>
            </w:r>
            <w:r w:rsidRPr="00D12272">
              <w:rPr>
                <w:rFonts w:ascii="Arial" w:hAnsi="Arial" w:cs="Arial"/>
                <w:color w:val="000000"/>
                <w:kern w:val="24"/>
                <w:sz w:val="22"/>
                <w:szCs w:val="22"/>
                <w:lang w:eastAsia="en-GB"/>
              </w:rPr>
              <w:t>Amenable</w:t>
            </w:r>
            <w:r>
              <w:rPr>
                <w:rFonts w:ascii="Arial" w:hAnsi="Arial" w:cs="Arial"/>
                <w:color w:val="000000"/>
                <w:kern w:val="24"/>
                <w:sz w:val="22"/>
                <w:szCs w:val="22"/>
                <w:lang w:eastAsia="en-GB"/>
              </w:rPr>
              <w:t>’</w:t>
            </w:r>
            <w:r w:rsidRPr="00D12272">
              <w:rPr>
                <w:rFonts w:ascii="Arial" w:hAnsi="Arial" w:cs="Arial"/>
                <w:color w:val="000000"/>
                <w:kern w:val="24"/>
                <w:sz w:val="22"/>
                <w:szCs w:val="22"/>
                <w:lang w:eastAsia="en-GB"/>
              </w:rPr>
              <w:t xml:space="preserve"> in this context relates to premature deaths that should not occur in most cases in the presence of timely and effective healthcare.</w:t>
            </w:r>
          </w:p>
          <w:p w14:paraId="78E23FA2" w14:textId="6E2A6639" w:rsidR="00B65A71" w:rsidRDefault="00B65A71" w:rsidP="00D12272">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w:t>
            </w:r>
            <w:r w:rsidRPr="00B65A71">
              <w:rPr>
                <w:rFonts w:ascii="Arial" w:hAnsi="Arial" w:cs="Arial"/>
                <w:color w:val="000000"/>
                <w:kern w:val="24"/>
                <w:sz w:val="22"/>
                <w:szCs w:val="22"/>
                <w:lang w:eastAsia="en-GB"/>
              </w:rPr>
              <w:t xml:space="preserve"> limited number of conditions for those aged 75 and over are included in the definition of </w:t>
            </w:r>
            <w:r>
              <w:rPr>
                <w:rFonts w:ascii="Arial" w:hAnsi="Arial" w:cs="Arial"/>
                <w:color w:val="000000"/>
                <w:kern w:val="24"/>
                <w:sz w:val="22"/>
                <w:szCs w:val="22"/>
                <w:lang w:eastAsia="en-GB"/>
              </w:rPr>
              <w:t>‘</w:t>
            </w:r>
            <w:r w:rsidRPr="00B65A71">
              <w:rPr>
                <w:rFonts w:ascii="Arial" w:hAnsi="Arial" w:cs="Arial"/>
                <w:color w:val="000000"/>
                <w:kern w:val="24"/>
                <w:sz w:val="22"/>
                <w:szCs w:val="22"/>
                <w:lang w:eastAsia="en-GB"/>
              </w:rPr>
              <w:t>amenable</w:t>
            </w:r>
            <w:r>
              <w:rPr>
                <w:rFonts w:ascii="Arial" w:hAnsi="Arial" w:cs="Arial"/>
                <w:color w:val="000000"/>
                <w:kern w:val="24"/>
                <w:sz w:val="22"/>
                <w:szCs w:val="22"/>
                <w:lang w:eastAsia="en-GB"/>
              </w:rPr>
              <w:t>’</w:t>
            </w:r>
            <w:r w:rsidRPr="00B65A71">
              <w:rPr>
                <w:rFonts w:ascii="Arial" w:hAnsi="Arial" w:cs="Arial"/>
                <w:color w:val="000000"/>
                <w:kern w:val="24"/>
                <w:sz w:val="22"/>
                <w:szCs w:val="22"/>
                <w:lang w:eastAsia="en-GB"/>
              </w:rPr>
              <w:t xml:space="preserve"> used in other indicators</w:t>
            </w:r>
            <w:r>
              <w:rPr>
                <w:rFonts w:ascii="Arial" w:hAnsi="Arial" w:cs="Arial"/>
                <w:color w:val="000000"/>
                <w:kern w:val="24"/>
                <w:sz w:val="22"/>
                <w:szCs w:val="22"/>
                <w:lang w:eastAsia="en-GB"/>
              </w:rPr>
              <w:t>.</w:t>
            </w:r>
            <w:r w:rsidRPr="00B65A71">
              <w:rPr>
                <w:rFonts w:ascii="Arial" w:hAnsi="Arial" w:cs="Arial"/>
                <w:color w:val="000000"/>
                <w:kern w:val="24"/>
                <w:sz w:val="22"/>
                <w:szCs w:val="22"/>
                <w:lang w:eastAsia="en-GB"/>
              </w:rPr>
              <w:t xml:space="preserve"> </w:t>
            </w:r>
            <w:r>
              <w:rPr>
                <w:rFonts w:ascii="Arial" w:hAnsi="Arial" w:cs="Arial"/>
                <w:color w:val="000000"/>
                <w:kern w:val="24"/>
                <w:sz w:val="22"/>
                <w:szCs w:val="22"/>
                <w:lang w:eastAsia="en-GB"/>
              </w:rPr>
              <w:t>T</w:t>
            </w:r>
            <w:r w:rsidRPr="00B65A71">
              <w:rPr>
                <w:rFonts w:ascii="Arial" w:hAnsi="Arial" w:cs="Arial"/>
                <w:color w:val="000000"/>
                <w:kern w:val="24"/>
                <w:sz w:val="22"/>
                <w:szCs w:val="22"/>
                <w:lang w:eastAsia="en-GB"/>
              </w:rPr>
              <w:t>hese focus on those aged under 75 for the most part</w:t>
            </w:r>
            <w:r>
              <w:rPr>
                <w:rFonts w:ascii="Arial" w:hAnsi="Arial" w:cs="Arial"/>
                <w:color w:val="000000"/>
                <w:kern w:val="24"/>
                <w:sz w:val="22"/>
                <w:szCs w:val="22"/>
                <w:lang w:eastAsia="en-GB"/>
              </w:rPr>
              <w:t xml:space="preserve">, </w:t>
            </w:r>
            <w:r w:rsidRPr="00B65A71">
              <w:rPr>
                <w:rFonts w:ascii="Arial" w:hAnsi="Arial" w:cs="Arial"/>
                <w:color w:val="000000"/>
                <w:kern w:val="24"/>
                <w:sz w:val="22"/>
                <w:szCs w:val="22"/>
                <w:lang w:eastAsia="en-GB"/>
              </w:rPr>
              <w:t>largely because of the difficulty of ascribing cause of death in 75</w:t>
            </w:r>
            <w:r>
              <w:rPr>
                <w:rFonts w:ascii="Arial" w:hAnsi="Arial" w:cs="Arial"/>
                <w:color w:val="000000"/>
                <w:kern w:val="24"/>
                <w:sz w:val="22"/>
                <w:szCs w:val="22"/>
                <w:lang w:eastAsia="en-GB"/>
              </w:rPr>
              <w:t xml:space="preserve"> and over</w:t>
            </w:r>
            <w:r w:rsidRPr="00B65A71">
              <w:rPr>
                <w:rFonts w:ascii="Arial" w:hAnsi="Arial" w:cs="Arial"/>
                <w:color w:val="000000"/>
                <w:kern w:val="24"/>
                <w:sz w:val="22"/>
                <w:szCs w:val="22"/>
                <w:lang w:eastAsia="en-GB"/>
              </w:rPr>
              <w:t xml:space="preserve"> age groups</w:t>
            </w:r>
            <w:r w:rsidR="00590687">
              <w:rPr>
                <w:rFonts w:ascii="Arial" w:hAnsi="Arial" w:cs="Arial"/>
                <w:color w:val="000000"/>
                <w:kern w:val="24"/>
                <w:sz w:val="22"/>
                <w:szCs w:val="22"/>
                <w:lang w:eastAsia="en-GB"/>
              </w:rPr>
              <w:t>,</w:t>
            </w:r>
            <w:r w:rsidRPr="00B65A71">
              <w:rPr>
                <w:rFonts w:ascii="Arial" w:hAnsi="Arial" w:cs="Arial"/>
                <w:color w:val="000000"/>
                <w:kern w:val="24"/>
                <w:sz w:val="22"/>
                <w:szCs w:val="22"/>
                <w:lang w:eastAsia="en-GB"/>
              </w:rPr>
              <w:t xml:space="preserve"> where there are often multiple morbidities. However many deaths at ages 75 and over could be considered premature</w:t>
            </w:r>
            <w:r>
              <w:rPr>
                <w:rFonts w:ascii="Arial" w:hAnsi="Arial" w:cs="Arial"/>
                <w:color w:val="000000"/>
                <w:kern w:val="24"/>
                <w:sz w:val="22"/>
                <w:szCs w:val="22"/>
                <w:lang w:eastAsia="en-GB"/>
              </w:rPr>
              <w:t>.</w:t>
            </w:r>
          </w:p>
          <w:p w14:paraId="1FBE1945" w14:textId="4785E0FA" w:rsidR="00DB48F0" w:rsidRPr="00DB48F0" w:rsidRDefault="008A6AF3" w:rsidP="008B43D6">
            <w:pPr>
              <w:spacing w:before="120" w:after="120"/>
              <w:rPr>
                <w:rFonts w:ascii="Arial" w:hAnsi="Arial"/>
                <w:sz w:val="22"/>
              </w:rPr>
            </w:pPr>
            <w:r>
              <w:rPr>
                <w:rFonts w:ascii="Arial" w:hAnsi="Arial" w:cs="Arial"/>
                <w:color w:val="000000"/>
                <w:kern w:val="24"/>
                <w:sz w:val="22"/>
                <w:szCs w:val="22"/>
                <w:lang w:eastAsia="en-GB"/>
              </w:rPr>
              <w:t>T</w:t>
            </w:r>
            <w:r w:rsidR="001A4F64" w:rsidRPr="001A4F64">
              <w:rPr>
                <w:rFonts w:ascii="Arial" w:hAnsi="Arial" w:cs="Arial"/>
                <w:color w:val="000000"/>
                <w:kern w:val="24"/>
                <w:sz w:val="22"/>
                <w:szCs w:val="22"/>
                <w:lang w:eastAsia="en-GB"/>
              </w:rPr>
              <w:t>he NHS contributes to improvements in this indicator through prompt diagnosis and effective management of conditions and treatments. The contribution also includes encouraging healthy behaviours and uptake of screening and vaccination options</w:t>
            </w:r>
            <w:r w:rsidR="001A4F64">
              <w:rPr>
                <w:rFonts w:ascii="Arial" w:hAnsi="Arial" w:cs="Arial"/>
                <w:color w:val="000000"/>
                <w:kern w:val="24"/>
                <w:sz w:val="22"/>
                <w:szCs w:val="22"/>
                <w:lang w:eastAsia="en-GB"/>
              </w:rPr>
              <w:t xml:space="preserve">, including </w:t>
            </w:r>
            <w:r w:rsidR="001F4C2C">
              <w:rPr>
                <w:rFonts w:ascii="Arial" w:hAnsi="Arial" w:cs="Arial"/>
                <w:color w:val="000000"/>
                <w:kern w:val="24"/>
                <w:sz w:val="22"/>
                <w:szCs w:val="22"/>
                <w:lang w:eastAsia="en-GB"/>
              </w:rPr>
              <w:t>vaccinations</w:t>
            </w:r>
            <w:r w:rsidR="001A4F64" w:rsidRPr="00B9204C">
              <w:rPr>
                <w:rFonts w:ascii="Arial" w:hAnsi="Arial" w:cs="Arial"/>
                <w:color w:val="000000"/>
                <w:kern w:val="24"/>
                <w:sz w:val="22"/>
                <w:szCs w:val="22"/>
                <w:lang w:eastAsia="en-GB"/>
              </w:rPr>
              <w:t xml:space="preserve"> </w:t>
            </w:r>
            <w:r w:rsidR="00590687">
              <w:rPr>
                <w:rFonts w:ascii="Arial" w:hAnsi="Arial" w:cs="Arial"/>
                <w:color w:val="000000"/>
                <w:kern w:val="24"/>
                <w:sz w:val="22"/>
                <w:szCs w:val="22"/>
                <w:lang w:eastAsia="en-GB"/>
              </w:rPr>
              <w:t xml:space="preserve">for </w:t>
            </w:r>
            <w:r w:rsidR="001A4F64" w:rsidRPr="00B9204C">
              <w:rPr>
                <w:rFonts w:ascii="Arial" w:hAnsi="Arial" w:cs="Arial"/>
                <w:color w:val="000000"/>
                <w:kern w:val="24"/>
                <w:sz w:val="22"/>
                <w:szCs w:val="22"/>
                <w:lang w:eastAsia="en-GB"/>
              </w:rPr>
              <w:t xml:space="preserve">people </w:t>
            </w:r>
            <w:r w:rsidR="00590687">
              <w:rPr>
                <w:rFonts w:ascii="Arial" w:hAnsi="Arial" w:cs="Arial"/>
                <w:color w:val="000000"/>
                <w:kern w:val="24"/>
                <w:sz w:val="22"/>
                <w:szCs w:val="22"/>
                <w:lang w:eastAsia="en-GB"/>
              </w:rPr>
              <w:t xml:space="preserve">in older age groups. </w:t>
            </w:r>
            <w:r w:rsidR="001A4F64" w:rsidRPr="00B9204C">
              <w:rPr>
                <w:rFonts w:ascii="Arial" w:hAnsi="Arial" w:cs="Arial"/>
                <w:color w:val="000000"/>
                <w:kern w:val="24"/>
                <w:sz w:val="22"/>
                <w:szCs w:val="22"/>
                <w:lang w:eastAsia="en-GB"/>
              </w:rPr>
              <w:t xml:space="preserve"> </w:t>
            </w:r>
            <w:r w:rsidR="00DB48F0" w:rsidRPr="00DB48F0">
              <w:rPr>
                <w:rFonts w:ascii="Arial" w:hAnsi="Arial"/>
                <w:sz w:val="22"/>
              </w:rPr>
              <w:t xml:space="preserve">Public health contributions include </w:t>
            </w:r>
            <w:r w:rsidR="00590687">
              <w:rPr>
                <w:rFonts w:ascii="Arial" w:hAnsi="Arial"/>
                <w:sz w:val="22"/>
              </w:rPr>
              <w:t>prevention</w:t>
            </w:r>
            <w:r w:rsidR="00DB48F0" w:rsidRPr="00DB48F0">
              <w:rPr>
                <w:rFonts w:ascii="Arial" w:hAnsi="Arial"/>
                <w:sz w:val="22"/>
              </w:rPr>
              <w:t xml:space="preserve">, early identification and management of </w:t>
            </w:r>
            <w:r w:rsidR="00590687">
              <w:rPr>
                <w:rFonts w:ascii="Arial" w:hAnsi="Arial"/>
                <w:sz w:val="22"/>
              </w:rPr>
              <w:t xml:space="preserve">a range of </w:t>
            </w:r>
            <w:r w:rsidR="00DB48F0" w:rsidRPr="00DB48F0">
              <w:rPr>
                <w:rFonts w:ascii="Arial" w:hAnsi="Arial"/>
                <w:sz w:val="22"/>
              </w:rPr>
              <w:t xml:space="preserve">risk factors. </w:t>
            </w:r>
            <w:r w:rsidR="00B65A71">
              <w:rPr>
                <w:rFonts w:ascii="Arial" w:hAnsi="Arial"/>
                <w:sz w:val="22"/>
              </w:rPr>
              <w:t xml:space="preserve"> </w:t>
            </w:r>
            <w:r w:rsidR="00F319E3">
              <w:rPr>
                <w:rFonts w:ascii="Arial" w:hAnsi="Arial"/>
                <w:sz w:val="22"/>
              </w:rPr>
              <w:t>S</w:t>
            </w:r>
            <w:r w:rsidR="00DB48F0" w:rsidRPr="00DB48F0">
              <w:rPr>
                <w:rFonts w:ascii="Arial" w:hAnsi="Arial"/>
                <w:sz w:val="22"/>
              </w:rPr>
              <w:t xml:space="preserve">ocial care is </w:t>
            </w:r>
            <w:r w:rsidR="00590687">
              <w:rPr>
                <w:rFonts w:ascii="Arial" w:hAnsi="Arial"/>
                <w:sz w:val="22"/>
              </w:rPr>
              <w:t xml:space="preserve">also </w:t>
            </w:r>
            <w:r w:rsidR="00DB48F0" w:rsidRPr="00DB48F0">
              <w:rPr>
                <w:rFonts w:ascii="Arial" w:hAnsi="Arial"/>
                <w:sz w:val="22"/>
              </w:rPr>
              <w:t xml:space="preserve">a likely contributor to achievement, as was hospitals and social care working in conjunction, such as patients remaining in hospital when social care capacity is stretched. </w:t>
            </w:r>
            <w:r w:rsidR="00B65A71">
              <w:rPr>
                <w:rFonts w:ascii="Arial" w:hAnsi="Arial"/>
                <w:sz w:val="22"/>
              </w:rPr>
              <w:t>Office of National S</w:t>
            </w:r>
            <w:r w:rsidR="00B65A71" w:rsidRPr="00DB48F0">
              <w:rPr>
                <w:rFonts w:ascii="Arial" w:hAnsi="Arial"/>
                <w:sz w:val="22"/>
              </w:rPr>
              <w:t xml:space="preserve">tatistics </w:t>
            </w:r>
            <w:r w:rsidR="00B65A71">
              <w:rPr>
                <w:rFonts w:ascii="Arial" w:hAnsi="Arial"/>
                <w:sz w:val="22"/>
              </w:rPr>
              <w:t xml:space="preserve">(ONS) data </w:t>
            </w:r>
            <w:r w:rsidR="00B65A71" w:rsidRPr="00DB48F0">
              <w:rPr>
                <w:rFonts w:ascii="Arial" w:hAnsi="Arial"/>
                <w:sz w:val="22"/>
              </w:rPr>
              <w:t xml:space="preserve">show that </w:t>
            </w:r>
            <w:r w:rsidR="00B65A71">
              <w:rPr>
                <w:rFonts w:ascii="Arial" w:hAnsi="Arial"/>
                <w:sz w:val="22"/>
              </w:rPr>
              <w:t>t</w:t>
            </w:r>
            <w:r w:rsidR="00B65A71" w:rsidRPr="00DB48F0">
              <w:rPr>
                <w:rFonts w:ascii="Arial" w:hAnsi="Arial"/>
                <w:sz w:val="22"/>
              </w:rPr>
              <w:t>here were 278,946 people aged 65 years and over living in a care home in England and Wales</w:t>
            </w:r>
            <w:r w:rsidR="00590687">
              <w:rPr>
                <w:rFonts w:ascii="Arial" w:hAnsi="Arial"/>
                <w:sz w:val="22"/>
              </w:rPr>
              <w:t xml:space="preserve"> in 2021</w:t>
            </w:r>
            <w:r w:rsidR="00B65A71" w:rsidRPr="00DB48F0">
              <w:rPr>
                <w:rFonts w:ascii="Arial" w:hAnsi="Arial"/>
                <w:sz w:val="22"/>
              </w:rPr>
              <w:t>, accounting for 2.5% of the resident population</w:t>
            </w:r>
            <w:r w:rsidR="00590687">
              <w:rPr>
                <w:rFonts w:ascii="Arial" w:hAnsi="Arial"/>
                <w:sz w:val="22"/>
              </w:rPr>
              <w:t xml:space="preserve"> age over 65</w:t>
            </w:r>
            <w:r w:rsidR="00B65A71" w:rsidRPr="00DB48F0">
              <w:rPr>
                <w:rFonts w:ascii="Arial" w:hAnsi="Arial"/>
                <w:sz w:val="22"/>
              </w:rPr>
              <w:t xml:space="preserve">. </w:t>
            </w:r>
            <w:r w:rsidR="00B65A71">
              <w:rPr>
                <w:rFonts w:ascii="Arial" w:hAnsi="Arial"/>
                <w:sz w:val="22"/>
              </w:rPr>
              <w:t>The</w:t>
            </w:r>
            <w:r w:rsidR="00B65A71" w:rsidRPr="00DB48F0">
              <w:rPr>
                <w:rFonts w:ascii="Arial" w:hAnsi="Arial"/>
                <w:sz w:val="22"/>
              </w:rPr>
              <w:t xml:space="preserve"> proportion living in care homes with nursing</w:t>
            </w:r>
            <w:r w:rsidR="00590687">
              <w:rPr>
                <w:rFonts w:ascii="Arial" w:hAnsi="Arial"/>
                <w:sz w:val="22"/>
              </w:rPr>
              <w:t xml:space="preserve"> has increased compared to 2011, a</w:t>
            </w:r>
            <w:r w:rsidR="00B65A71">
              <w:rPr>
                <w:rFonts w:ascii="Arial" w:hAnsi="Arial"/>
                <w:sz w:val="22"/>
              </w:rPr>
              <w:t xml:space="preserve">lthough the overall proportion </w:t>
            </w:r>
            <w:r w:rsidR="00590687">
              <w:rPr>
                <w:rFonts w:ascii="Arial" w:hAnsi="Arial"/>
                <w:sz w:val="22"/>
              </w:rPr>
              <w:t>is lower (compared to 2.3% in 2011)</w:t>
            </w:r>
            <w:r w:rsidR="00B65A71">
              <w:rPr>
                <w:rFonts w:ascii="Arial" w:hAnsi="Arial"/>
                <w:sz w:val="22"/>
              </w:rPr>
              <w:t>.</w:t>
            </w:r>
          </w:p>
          <w:p w14:paraId="581356AD" w14:textId="11E6DB17" w:rsidR="006775E1" w:rsidRDefault="00DB48F0">
            <w:pPr>
              <w:spacing w:before="60" w:after="80"/>
              <w:rPr>
                <w:rFonts w:ascii="Arial" w:hAnsi="Arial"/>
                <w:sz w:val="22"/>
              </w:rPr>
            </w:pPr>
            <w:r w:rsidRPr="00DB48F0">
              <w:rPr>
                <w:rFonts w:ascii="Arial" w:hAnsi="Arial"/>
                <w:sz w:val="22"/>
              </w:rPr>
              <w:t xml:space="preserve">(adapted from </w:t>
            </w:r>
            <w:hyperlink r:id="rId10" w:history="1">
              <w:r w:rsidR="0066375D">
                <w:rPr>
                  <w:rStyle w:val="Hyperlink"/>
                  <w:rFonts w:ascii="Arial" w:hAnsi="Arial" w:cs="Arial"/>
                  <w:sz w:val="22"/>
                  <w:szCs w:val="22"/>
                </w:rPr>
                <w:t>NHSOF quality statement for indicator 1b</w:t>
              </w:r>
            </w:hyperlink>
            <w:r w:rsidR="000D6EC2">
              <w:rPr>
                <w:rStyle w:val="Hyperlink"/>
                <w:rFonts w:ascii="Arial" w:hAnsi="Arial" w:cs="Arial"/>
                <w:sz w:val="22"/>
                <w:szCs w:val="22"/>
              </w:rPr>
              <w:t>,</w:t>
            </w:r>
            <w:r w:rsidR="000D6EC2">
              <w:rPr>
                <w:rFonts w:ascii="Arial" w:hAnsi="Arial" w:cs="Arial"/>
                <w:sz w:val="22"/>
                <w:szCs w:val="22"/>
              </w:rPr>
              <w:t xml:space="preserve"> </w:t>
            </w:r>
            <w:r w:rsidR="0066375D" w:rsidRPr="0066375D">
              <w:rPr>
                <w:rFonts w:ascii="Arial" w:hAnsi="Arial" w:cs="Arial"/>
                <w:sz w:val="22"/>
                <w:szCs w:val="22"/>
              </w:rPr>
              <w:t>version 1.11</w:t>
            </w:r>
            <w:r w:rsidR="0066375D">
              <w:rPr>
                <w:rFonts w:ascii="Arial" w:hAnsi="Arial" w:cs="Arial"/>
                <w:sz w:val="22"/>
                <w:szCs w:val="22"/>
              </w:rPr>
              <w:t xml:space="preserve"> (</w:t>
            </w:r>
            <w:r w:rsidR="006775E1" w:rsidRPr="006775E1">
              <w:rPr>
                <w:rFonts w:ascii="Arial" w:hAnsi="Arial" w:cs="Arial"/>
                <w:sz w:val="22"/>
                <w:szCs w:val="22"/>
              </w:rPr>
              <w:t>May 2020</w:t>
            </w:r>
            <w:r w:rsidR="0066375D">
              <w:rPr>
                <w:rFonts w:ascii="Arial" w:hAnsi="Arial" w:cs="Arial"/>
                <w:sz w:val="22"/>
                <w:szCs w:val="22"/>
              </w:rPr>
              <w:t>)</w:t>
            </w:r>
            <w:r>
              <w:rPr>
                <w:rFonts w:ascii="Arial" w:hAnsi="Arial" w:cs="Arial"/>
                <w:sz w:val="22"/>
                <w:szCs w:val="22"/>
              </w:rPr>
              <w:t xml:space="preserve"> and </w:t>
            </w:r>
            <w:r w:rsidRPr="00DB48F0">
              <w:rPr>
                <w:rFonts w:ascii="Arial" w:hAnsi="Arial"/>
                <w:sz w:val="22"/>
              </w:rPr>
              <w:t xml:space="preserve">ONS (October 2023), </w:t>
            </w:r>
            <w:hyperlink r:id="rId11" w:history="1">
              <w:r w:rsidRPr="00DB48F0">
                <w:rPr>
                  <w:rFonts w:ascii="Arial" w:hAnsi="Arial"/>
                  <w:color w:val="0000FF"/>
                  <w:sz w:val="22"/>
                  <w:u w:val="single"/>
                </w:rPr>
                <w:t>‘Census2021: older people living in care homes in 2021 and changes since 2011’</w:t>
              </w:r>
            </w:hyperlink>
            <w:r w:rsidRPr="00DB48F0">
              <w:rPr>
                <w:rFonts w:ascii="Arial" w:hAnsi="Arial"/>
                <w:sz w:val="22"/>
              </w:rPr>
              <w:t>).</w:t>
            </w:r>
          </w:p>
          <w:p w14:paraId="77F2C30D" w14:textId="606FB5BB" w:rsidR="006D6A61" w:rsidRDefault="006D6A61" w:rsidP="008B43D6">
            <w:pPr>
              <w:spacing w:before="60" w:after="80"/>
              <w:rPr>
                <w:rFonts w:ascii="Arial" w:hAnsi="Arial" w:cs="Arial"/>
                <w:color w:val="000000"/>
                <w:kern w:val="24"/>
                <w:sz w:val="22"/>
                <w:szCs w:val="22"/>
                <w:lang w:eastAsia="en-GB"/>
              </w:rPr>
            </w:pPr>
            <w:r w:rsidRPr="00B04D97">
              <w:rPr>
                <w:rFonts w:ascii="Arial" w:hAnsi="Arial" w:cs="Arial"/>
                <w:color w:val="000000"/>
                <w:kern w:val="24"/>
                <w:sz w:val="22"/>
                <w:szCs w:val="22"/>
                <w:lang w:eastAsia="en-GB"/>
              </w:rPr>
              <w:t xml:space="preserve">The </w:t>
            </w:r>
            <w:hyperlink r:id="rId12" w:history="1">
              <w:r w:rsidRPr="00B04D97">
                <w:rPr>
                  <w:rStyle w:val="Hyperlink"/>
                  <w:rFonts w:ascii="Arial" w:hAnsi="Arial" w:cs="Arial"/>
                  <w:kern w:val="24"/>
                  <w:sz w:val="22"/>
                  <w:szCs w:val="22"/>
                  <w:lang w:eastAsia="en-GB"/>
                </w:rPr>
                <w:t>NHS Long Term Plan</w:t>
              </w:r>
            </w:hyperlink>
            <w:r w:rsidRPr="00B04D97">
              <w:rPr>
                <w:rFonts w:ascii="Arial" w:hAnsi="Arial" w:cs="Arial"/>
                <w:color w:val="000000"/>
                <w:kern w:val="24"/>
                <w:sz w:val="22"/>
                <w:szCs w:val="22"/>
                <w:lang w:eastAsia="en-GB"/>
              </w:rPr>
              <w:t xml:space="preserve"> highlights the importance of supporting people to age well, noting that extra years of life are not always spent in good health</w:t>
            </w:r>
            <w:r>
              <w:rPr>
                <w:rFonts w:ascii="Arial" w:hAnsi="Arial" w:cs="Arial"/>
                <w:color w:val="000000"/>
                <w:kern w:val="24"/>
                <w:sz w:val="22"/>
                <w:szCs w:val="22"/>
                <w:lang w:eastAsia="en-GB"/>
              </w:rPr>
              <w:t>.</w:t>
            </w:r>
          </w:p>
          <w:p w14:paraId="1359C26D" w14:textId="3CD38EAC" w:rsidR="00195786" w:rsidRPr="00026EC1" w:rsidRDefault="00D145F5" w:rsidP="00D145F5">
            <w:pPr>
              <w:spacing w:before="120" w:after="120"/>
              <w:rPr>
                <w:rFonts w:ascii="Arial" w:hAnsi="Arial" w:cs="Arial"/>
                <w:color w:val="000000"/>
                <w:kern w:val="24"/>
                <w:sz w:val="22"/>
                <w:szCs w:val="22"/>
                <w:lang w:eastAsia="en-GB"/>
              </w:rPr>
            </w:pPr>
            <w:r w:rsidRPr="00D145F5">
              <w:rPr>
                <w:rFonts w:ascii="Arial" w:hAnsi="Arial" w:cs="Arial"/>
                <w:color w:val="000000"/>
                <w:kern w:val="24"/>
                <w:sz w:val="22"/>
                <w:szCs w:val="22"/>
                <w:lang w:eastAsia="en-GB"/>
              </w:rPr>
              <w:t xml:space="preserve">This indicator </w:t>
            </w:r>
            <w:r w:rsidR="00DA2D99">
              <w:rPr>
                <w:rFonts w:ascii="Arial" w:hAnsi="Arial" w:cs="Arial"/>
                <w:color w:val="000000"/>
                <w:kern w:val="24"/>
                <w:sz w:val="22"/>
                <w:szCs w:val="22"/>
                <w:lang w:eastAsia="en-GB"/>
              </w:rPr>
              <w:t>i</w:t>
            </w:r>
            <w:r w:rsidRPr="00D145F5">
              <w:rPr>
                <w:rFonts w:ascii="Arial" w:hAnsi="Arial" w:cs="Arial"/>
                <w:color w:val="000000"/>
                <w:kern w:val="24"/>
                <w:sz w:val="22"/>
                <w:szCs w:val="22"/>
                <w:lang w:eastAsia="en-GB"/>
              </w:rPr>
              <w:t xml:space="preserve">s an overarching outcome and </w:t>
            </w:r>
            <w:r w:rsidR="005529CB">
              <w:rPr>
                <w:rFonts w:ascii="Arial" w:hAnsi="Arial" w:cs="Arial"/>
                <w:color w:val="000000"/>
                <w:kern w:val="24"/>
                <w:sz w:val="22"/>
                <w:szCs w:val="22"/>
                <w:lang w:eastAsia="en-GB"/>
              </w:rPr>
              <w:t>is</w:t>
            </w:r>
            <w:r w:rsidRPr="00D145F5">
              <w:rPr>
                <w:rFonts w:ascii="Arial" w:hAnsi="Arial" w:cs="Arial"/>
                <w:color w:val="000000"/>
                <w:kern w:val="24"/>
                <w:sz w:val="22"/>
                <w:szCs w:val="22"/>
                <w:lang w:eastAsia="en-GB"/>
              </w:rPr>
              <w:t xml:space="preserve"> supported by a number of NICE guidelines. </w:t>
            </w:r>
            <w:r w:rsidR="00026EC1">
              <w:rPr>
                <w:rFonts w:ascii="Arial" w:hAnsi="Arial" w:cs="Arial"/>
                <w:color w:val="000000"/>
                <w:kern w:val="24"/>
                <w:sz w:val="22"/>
                <w:szCs w:val="22"/>
                <w:lang w:eastAsia="en-GB"/>
              </w:rPr>
              <w:t xml:space="preserve"> </w:t>
            </w:r>
          </w:p>
        </w:tc>
        <w:tc>
          <w:tcPr>
            <w:tcW w:w="3118" w:type="dxa"/>
          </w:tcPr>
          <w:p w14:paraId="0D72329A" w14:textId="2F322968" w:rsidR="002338EB" w:rsidRPr="00A2190D" w:rsidRDefault="002338EB" w:rsidP="002338EB">
            <w:pPr>
              <w:spacing w:before="120" w:after="120"/>
              <w:rPr>
                <w:rFonts w:ascii="Arial" w:hAnsi="Arial" w:cs="Arial"/>
                <w:color w:val="000000"/>
                <w:kern w:val="24"/>
                <w:sz w:val="22"/>
                <w:szCs w:val="22"/>
                <w:lang w:val="en-US"/>
              </w:rPr>
            </w:pPr>
            <w:r w:rsidRPr="00A2190D">
              <w:rPr>
                <w:rFonts w:ascii="Arial" w:hAnsi="Arial" w:cs="Arial"/>
                <w:color w:val="000000"/>
                <w:kern w:val="24"/>
                <w:sz w:val="22"/>
                <w:szCs w:val="22"/>
                <w:lang w:val="en-US"/>
              </w:rPr>
              <w:t xml:space="preserve">The indicator is derived from a high-quality evidence base. </w:t>
            </w:r>
          </w:p>
          <w:p w14:paraId="75848804" w14:textId="6303C77E" w:rsidR="002338EB" w:rsidRPr="002338EB" w:rsidRDefault="002338EB" w:rsidP="002338EB">
            <w:pPr>
              <w:pStyle w:val="Paragraph"/>
              <w:spacing w:before="120" w:after="120" w:line="240" w:lineRule="auto"/>
              <w:rPr>
                <w:highlight w:val="lightGray"/>
              </w:rPr>
            </w:pPr>
            <w:r w:rsidRPr="00A2190D">
              <w:rPr>
                <w:rFonts w:cs="Arial"/>
                <w:color w:val="000000"/>
                <w:kern w:val="24"/>
                <w:sz w:val="22"/>
                <w:szCs w:val="22"/>
                <w:lang w:val="en-US"/>
              </w:rPr>
              <w:t xml:space="preserve">The indicator aligns with </w:t>
            </w:r>
            <w:r w:rsidR="00195786">
              <w:rPr>
                <w:rFonts w:cs="Arial"/>
                <w:color w:val="000000"/>
                <w:kern w:val="24"/>
                <w:sz w:val="22"/>
                <w:szCs w:val="22"/>
                <w:lang w:val="en-US"/>
              </w:rPr>
              <w:t xml:space="preserve">NICE guidance. </w:t>
            </w:r>
          </w:p>
        </w:tc>
      </w:tr>
    </w:tbl>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DBBF4DB" w14:textId="77777777" w:rsidR="00A2190D" w:rsidRPr="00A2190D" w:rsidRDefault="00A2190D" w:rsidP="00A2190D">
            <w:pPr>
              <w:spacing w:before="120" w:after="120"/>
              <w:rPr>
                <w:rFonts w:ascii="Arial" w:hAnsi="Arial" w:cs="Arial"/>
                <w:color w:val="000000"/>
                <w:kern w:val="24"/>
                <w:sz w:val="22"/>
                <w:szCs w:val="22"/>
                <w:lang w:eastAsia="en-GB"/>
              </w:rPr>
            </w:pPr>
            <w:r w:rsidRPr="00A2190D">
              <w:rPr>
                <w:rFonts w:ascii="Arial" w:hAnsi="Arial" w:cs="Arial"/>
                <w:color w:val="000000"/>
                <w:kern w:val="24"/>
                <w:sz w:val="22"/>
                <w:szCs w:val="22"/>
                <w:lang w:eastAsia="en-GB"/>
              </w:rPr>
              <w:lastRenderedPageBreak/>
              <w:t>Numerator: Number of deaths aged 75 and over recorded in a year (or group of years for pooled data).</w:t>
            </w:r>
          </w:p>
          <w:p w14:paraId="1EAD4A3B" w14:textId="05D70FAD" w:rsidR="00A2190D" w:rsidRPr="00A2190D" w:rsidRDefault="00A2190D" w:rsidP="00A2190D">
            <w:pPr>
              <w:spacing w:before="120" w:after="120"/>
              <w:rPr>
                <w:rFonts w:ascii="Arial" w:hAnsi="Arial" w:cs="Arial"/>
                <w:color w:val="000000"/>
                <w:kern w:val="24"/>
                <w:sz w:val="22"/>
                <w:szCs w:val="22"/>
                <w:lang w:eastAsia="en-GB"/>
              </w:rPr>
            </w:pPr>
            <w:r w:rsidRPr="00A2190D">
              <w:rPr>
                <w:rFonts w:ascii="Arial" w:hAnsi="Arial" w:cs="Arial"/>
                <w:color w:val="000000"/>
                <w:kern w:val="24"/>
                <w:sz w:val="22"/>
                <w:szCs w:val="22"/>
                <w:lang w:eastAsia="en-GB"/>
              </w:rPr>
              <w:t>Denominator: Population of people aged 75 and over</w:t>
            </w:r>
            <w:r w:rsidR="002A2198">
              <w:rPr>
                <w:rFonts w:ascii="Arial" w:hAnsi="Arial" w:cs="Arial"/>
                <w:color w:val="000000"/>
                <w:kern w:val="24"/>
                <w:sz w:val="22"/>
                <w:szCs w:val="22"/>
                <w:lang w:eastAsia="en-GB"/>
              </w:rPr>
              <w:t>.</w:t>
            </w:r>
          </w:p>
          <w:p w14:paraId="790576A6" w14:textId="08C9D5AF" w:rsidR="00A2190D" w:rsidRPr="00A2190D" w:rsidRDefault="00A2190D" w:rsidP="00A2190D">
            <w:pPr>
              <w:spacing w:before="120" w:after="120"/>
              <w:rPr>
                <w:rFonts w:ascii="Arial" w:hAnsi="Arial" w:cs="Arial"/>
                <w:color w:val="000000"/>
                <w:kern w:val="24"/>
                <w:sz w:val="22"/>
                <w:szCs w:val="22"/>
                <w:lang w:eastAsia="en-GB"/>
              </w:rPr>
            </w:pPr>
            <w:r w:rsidRPr="00A2190D">
              <w:rPr>
                <w:rFonts w:ascii="Arial" w:hAnsi="Arial" w:cs="Arial"/>
                <w:color w:val="000000"/>
                <w:kern w:val="24"/>
                <w:sz w:val="22"/>
                <w:szCs w:val="22"/>
                <w:lang w:eastAsia="en-GB"/>
              </w:rPr>
              <w:t>Exclusions: None</w:t>
            </w:r>
            <w:r w:rsidR="00AC2744">
              <w:rPr>
                <w:rFonts w:ascii="Arial" w:hAnsi="Arial" w:cs="Arial"/>
                <w:color w:val="000000"/>
                <w:kern w:val="24"/>
                <w:sz w:val="22"/>
                <w:szCs w:val="22"/>
                <w:lang w:eastAsia="en-GB"/>
              </w:rPr>
              <w:t>.</w:t>
            </w:r>
          </w:p>
          <w:p w14:paraId="403D153E" w14:textId="1BE5394E" w:rsidR="001F4C2C" w:rsidRDefault="00F945E7" w:rsidP="00A2190D">
            <w:pPr>
              <w:spacing w:before="120" w:after="120"/>
            </w:pPr>
            <w:r>
              <w:rPr>
                <w:rFonts w:ascii="Arial" w:hAnsi="Arial" w:cs="Arial"/>
                <w:color w:val="000000"/>
                <w:kern w:val="24"/>
                <w:sz w:val="22"/>
                <w:szCs w:val="22"/>
                <w:lang w:eastAsia="en-GB"/>
              </w:rPr>
              <w:t>Calculation</w:t>
            </w:r>
            <w:r w:rsidR="00A2190D" w:rsidRPr="00A2190D">
              <w:rPr>
                <w:rFonts w:ascii="Arial" w:hAnsi="Arial" w:cs="Arial"/>
                <w:color w:val="000000"/>
                <w:kern w:val="24"/>
                <w:sz w:val="22"/>
                <w:szCs w:val="22"/>
                <w:lang w:eastAsia="en-GB"/>
              </w:rPr>
              <w:t>: Death rates from a single year (or group of years for pooled data) are applied to estimate life expectancy assuming that those rates apply throughout the remainder of a person’s life.</w:t>
            </w:r>
            <w:r w:rsidR="001F4C2C">
              <w:t xml:space="preserve"> </w:t>
            </w:r>
          </w:p>
          <w:p w14:paraId="7530619A" w14:textId="2A50EF70" w:rsidR="00735337" w:rsidRDefault="00A2190D" w:rsidP="002A2198">
            <w:pPr>
              <w:spacing w:before="120" w:after="120"/>
              <w:rPr>
                <w:rFonts w:ascii="Arial" w:hAnsi="Arial" w:cs="Arial"/>
                <w:color w:val="000000"/>
                <w:kern w:val="24"/>
                <w:sz w:val="22"/>
                <w:szCs w:val="22"/>
                <w:lang w:eastAsia="en-GB"/>
              </w:rPr>
            </w:pPr>
            <w:r w:rsidRPr="00A2190D">
              <w:rPr>
                <w:rFonts w:ascii="Arial" w:hAnsi="Arial" w:cs="Arial"/>
                <w:color w:val="000000"/>
                <w:kern w:val="24"/>
                <w:sz w:val="22"/>
                <w:szCs w:val="22"/>
                <w:lang w:eastAsia="en-GB"/>
              </w:rPr>
              <w:t xml:space="preserve">Geography: England, </w:t>
            </w:r>
            <w:r w:rsidR="004325AB">
              <w:rPr>
                <w:rFonts w:ascii="Arial" w:hAnsi="Arial" w:cs="Arial"/>
                <w:color w:val="000000"/>
                <w:kern w:val="24"/>
                <w:sz w:val="22"/>
                <w:szCs w:val="22"/>
                <w:lang w:eastAsia="en-GB"/>
              </w:rPr>
              <w:t>l</w:t>
            </w:r>
            <w:r w:rsidRPr="00A2190D">
              <w:rPr>
                <w:rFonts w:ascii="Arial" w:hAnsi="Arial" w:cs="Arial"/>
                <w:color w:val="000000"/>
                <w:kern w:val="24"/>
                <w:sz w:val="22"/>
                <w:szCs w:val="22"/>
                <w:lang w:eastAsia="en-GB"/>
              </w:rPr>
              <w:t>ocal authority, region, deprivation decile. Gender splits available for</w:t>
            </w:r>
            <w:r w:rsidR="008A6FC8">
              <w:rPr>
                <w:rFonts w:ascii="Arial" w:hAnsi="Arial" w:cs="Arial"/>
                <w:color w:val="000000"/>
                <w:kern w:val="24"/>
                <w:sz w:val="22"/>
                <w:szCs w:val="22"/>
                <w:lang w:eastAsia="en-GB"/>
              </w:rPr>
              <w:t xml:space="preserve"> these</w:t>
            </w:r>
            <w:r w:rsidR="008A6AF3">
              <w:rPr>
                <w:rFonts w:ascii="Arial" w:hAnsi="Arial" w:cs="Arial"/>
                <w:color w:val="000000"/>
                <w:kern w:val="24"/>
                <w:sz w:val="22"/>
                <w:szCs w:val="22"/>
                <w:lang w:eastAsia="en-GB"/>
              </w:rPr>
              <w:t>. S</w:t>
            </w:r>
            <w:r w:rsidR="004325AB">
              <w:rPr>
                <w:rFonts w:ascii="Arial" w:hAnsi="Arial" w:cs="Arial"/>
                <w:color w:val="000000"/>
                <w:kern w:val="24"/>
                <w:sz w:val="22"/>
                <w:szCs w:val="22"/>
                <w:lang w:eastAsia="en-GB"/>
              </w:rPr>
              <w:t>ingle-year data is for England only</w:t>
            </w:r>
            <w:r w:rsidR="00F945E7">
              <w:rPr>
                <w:rFonts w:ascii="Arial" w:hAnsi="Arial" w:cs="Arial"/>
                <w:color w:val="000000"/>
                <w:kern w:val="24"/>
                <w:sz w:val="22"/>
                <w:szCs w:val="22"/>
                <w:lang w:eastAsia="en-GB"/>
              </w:rPr>
              <w:t>.</w:t>
            </w:r>
          </w:p>
          <w:p w14:paraId="073A48F7" w14:textId="3A0AF306" w:rsidR="0066375D" w:rsidRDefault="0066375D" w:rsidP="002A219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Data source: </w:t>
            </w:r>
            <w:r w:rsidRPr="0066375D">
              <w:rPr>
                <w:rFonts w:ascii="Arial" w:hAnsi="Arial" w:cs="Arial"/>
                <w:color w:val="000000"/>
                <w:kern w:val="24"/>
                <w:sz w:val="22"/>
                <w:szCs w:val="22"/>
                <w:lang w:eastAsia="en-GB"/>
              </w:rPr>
              <w:t>Office for National Statistics (ONS) mortality data and mid-year population estimates.</w:t>
            </w:r>
          </w:p>
          <w:p w14:paraId="1A8C1D16" w14:textId="1C00100F" w:rsidR="00D0633E" w:rsidRPr="002A2198" w:rsidRDefault="007947C5" w:rsidP="002A2198">
            <w:pPr>
              <w:spacing w:before="120" w:after="120"/>
              <w:rPr>
                <w:rFonts w:ascii="Arial" w:hAnsi="Arial" w:cs="Arial"/>
                <w:color w:val="000000"/>
                <w:kern w:val="24"/>
                <w:sz w:val="22"/>
                <w:szCs w:val="22"/>
                <w:lang w:eastAsia="en-GB"/>
              </w:rPr>
            </w:pPr>
            <w:r w:rsidRPr="006E0ED7">
              <w:rPr>
                <w:rFonts w:ascii="Arial" w:hAnsi="Arial" w:cs="Arial"/>
                <w:color w:val="000000"/>
                <w:kern w:val="24"/>
                <w:sz w:val="22"/>
                <w:szCs w:val="22"/>
                <w:lang w:eastAsia="en-GB"/>
              </w:rPr>
              <w:t>Consideration should be given to whether the majority of results would require suppression because of small numbers; areas with small numbers of deaths may need to be merged.</w:t>
            </w:r>
          </w:p>
        </w:tc>
        <w:tc>
          <w:tcPr>
            <w:tcW w:w="3118" w:type="dxa"/>
          </w:tcPr>
          <w:p w14:paraId="1439227D" w14:textId="5A1A009F" w:rsidR="002338EB" w:rsidRPr="008B43D6" w:rsidRDefault="002338EB" w:rsidP="002338EB">
            <w:pPr>
              <w:spacing w:before="120" w:after="120"/>
              <w:rPr>
                <w:rFonts w:ascii="Arial" w:hAnsi="Arial" w:cs="Arial"/>
                <w:color w:val="000000"/>
                <w:kern w:val="24"/>
                <w:sz w:val="22"/>
                <w:szCs w:val="22"/>
              </w:rPr>
            </w:pPr>
            <w:r w:rsidRPr="008B43D6">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A2190D" w:rsidRDefault="002338EB" w:rsidP="002338EB">
            <w:pPr>
              <w:pStyle w:val="Paragraph"/>
              <w:spacing w:before="120" w:after="120" w:line="240" w:lineRule="auto"/>
            </w:pPr>
          </w:p>
        </w:tc>
      </w:tr>
      <w:tr w:rsidR="002338EB" w14:paraId="48133640" w14:textId="77777777" w:rsidTr="001C517D">
        <w:tc>
          <w:tcPr>
            <w:tcW w:w="5949" w:type="dxa"/>
          </w:tcPr>
          <w:p w14:paraId="4B4889E2" w14:textId="275EB840" w:rsidR="002C1326" w:rsidRPr="006E0ED7" w:rsidRDefault="005705B2" w:rsidP="009024BF">
            <w:pPr>
              <w:spacing w:before="120" w:after="120"/>
              <w:contextualSpacing/>
              <w:rPr>
                <w:rFonts w:ascii="Arial" w:hAnsi="Arial" w:cs="Arial"/>
                <w:strike/>
                <w:sz w:val="22"/>
                <w:szCs w:val="22"/>
                <w:highlight w:val="lightGray"/>
              </w:rPr>
            </w:pPr>
            <w:hyperlink r:id="rId13" w:history="1">
              <w:r w:rsidRPr="005705B2">
                <w:rPr>
                  <w:rStyle w:val="Hyperlink"/>
                  <w:rFonts w:ascii="Arial" w:hAnsi="Arial"/>
                  <w:sz w:val="22"/>
                  <w:szCs w:val="22"/>
                </w:rPr>
                <w:t>ONS (2024)'s Estimates of the population for the UK, England, Wales, Scotland, and Northern Ireland, mid-202</w:t>
              </w:r>
              <w:r w:rsidR="008D64B7">
                <w:rPr>
                  <w:rStyle w:val="Hyperlink"/>
                  <w:rFonts w:ascii="Arial" w:hAnsi="Arial"/>
                  <w:sz w:val="22"/>
                  <w:szCs w:val="22"/>
                </w:rPr>
                <w:t>3</w:t>
              </w:r>
              <w:r w:rsidRPr="005705B2">
                <w:rPr>
                  <w:rStyle w:val="Hyperlink"/>
                  <w:rFonts w:ascii="Arial" w:hAnsi="Arial"/>
                  <w:sz w:val="22"/>
                  <w:szCs w:val="22"/>
                </w:rPr>
                <w:t xml:space="preserve"> edition, MYE1</w:t>
              </w:r>
            </w:hyperlink>
            <w:r w:rsidRPr="005705B2">
              <w:rPr>
                <w:rFonts w:ascii="Arial" w:hAnsi="Arial"/>
                <w:sz w:val="22"/>
                <w:szCs w:val="22"/>
              </w:rPr>
              <w:t xml:space="preserve"> show</w:t>
            </w:r>
            <w:r w:rsidR="003F7222">
              <w:rPr>
                <w:rFonts w:ascii="Arial" w:hAnsi="Arial"/>
                <w:sz w:val="22"/>
                <w:szCs w:val="22"/>
              </w:rPr>
              <w:t xml:space="preserve"> that for England (2023),</w:t>
            </w:r>
            <w:r w:rsidRPr="005705B2">
              <w:rPr>
                <w:rFonts w:ascii="Arial" w:hAnsi="Arial"/>
                <w:sz w:val="22"/>
                <w:szCs w:val="22"/>
              </w:rPr>
              <w:t xml:space="preserve"> 9.2% (5,310,222</w:t>
            </w:r>
            <w:r w:rsidRPr="005705B2" w:rsidDel="00BF14C0">
              <w:rPr>
                <w:rFonts w:ascii="Arial" w:hAnsi="Arial"/>
                <w:sz w:val="22"/>
                <w:szCs w:val="22"/>
              </w:rPr>
              <w:t xml:space="preserve"> </w:t>
            </w:r>
            <w:r w:rsidRPr="005705B2">
              <w:rPr>
                <w:rFonts w:ascii="Arial" w:hAnsi="Arial"/>
                <w:sz w:val="22"/>
                <w:szCs w:val="22"/>
              </w:rPr>
              <w:t>divided by 57,690,323) of people resident in England are 75 and over: 920 per 10,000 patients served by a network. There is no minimum number of patients required for network level indicators. However, consideration should be given to whether the majority of results would require suppression because of small numbers</w:t>
            </w:r>
            <w:r w:rsidR="006E0ED7">
              <w:rPr>
                <w:rFonts w:ascii="Arial" w:hAnsi="Arial"/>
                <w:sz w:val="22"/>
                <w:szCs w:val="22"/>
              </w:rPr>
              <w:t>.</w:t>
            </w:r>
          </w:p>
        </w:tc>
        <w:tc>
          <w:tcPr>
            <w:tcW w:w="3118" w:type="dxa"/>
          </w:tcPr>
          <w:p w14:paraId="1567BE59" w14:textId="6DD489B7" w:rsidR="002338EB" w:rsidRPr="00C21CB4" w:rsidRDefault="002338EB" w:rsidP="002338EB">
            <w:pPr>
              <w:pStyle w:val="Paragraph"/>
              <w:spacing w:before="120" w:after="120" w:line="240" w:lineRule="auto"/>
              <w:rPr>
                <w:rFonts w:cs="Arial"/>
                <w:color w:val="000000"/>
                <w:kern w:val="24"/>
                <w:sz w:val="22"/>
                <w:szCs w:val="22"/>
              </w:rPr>
            </w:pPr>
            <w:r w:rsidRPr="00C21CB4">
              <w:rPr>
                <w:rFonts w:cs="Arial"/>
                <w:color w:val="000000"/>
                <w:kern w:val="24"/>
                <w:sz w:val="22"/>
                <w:szCs w:val="22"/>
              </w:rPr>
              <w:t>The indicator does not outline minimum numbers of patients needed to be confident in the assessment of variation.</w:t>
            </w:r>
          </w:p>
          <w:p w14:paraId="38DE6D48" w14:textId="671C6C57" w:rsidR="009024BF" w:rsidRPr="004B3145" w:rsidRDefault="009024BF" w:rsidP="002338EB">
            <w:pPr>
              <w:pStyle w:val="Paragraph"/>
              <w:spacing w:before="120" w:after="120" w:line="240" w:lineRule="auto"/>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3326CD8C" w:rsidR="00DC0004" w:rsidRPr="00C21CB4" w:rsidRDefault="008A6AF3" w:rsidP="008B43D6">
            <w:r w:rsidRPr="008A6AF3">
              <w:rPr>
                <w:rFonts w:ascii="Arial" w:hAnsi="Arial" w:cs="Arial"/>
                <w:color w:val="000000"/>
                <w:kern w:val="24"/>
                <w:sz w:val="22"/>
                <w:szCs w:val="22"/>
                <w:lang w:eastAsia="en-GB"/>
              </w:rPr>
              <w:t>Both numerator and denominator come from reliable sources which will continue.</w:t>
            </w:r>
          </w:p>
        </w:tc>
        <w:tc>
          <w:tcPr>
            <w:tcW w:w="3118" w:type="dxa"/>
          </w:tcPr>
          <w:p w14:paraId="7E07F302" w14:textId="3F0FE3F6" w:rsidR="00735337" w:rsidRPr="00735337" w:rsidRDefault="00735337" w:rsidP="00735337">
            <w:pPr>
              <w:spacing w:before="120" w:after="120"/>
              <w:rPr>
                <w:rFonts w:ascii="Arial" w:hAnsi="Arial" w:cs="Arial"/>
                <w:color w:val="000000"/>
                <w:kern w:val="24"/>
                <w:sz w:val="22"/>
                <w:szCs w:val="22"/>
                <w:highlight w:val="lightGray"/>
              </w:rPr>
            </w:pPr>
            <w:r w:rsidRPr="002A2198">
              <w:rPr>
                <w:rFonts w:ascii="Arial" w:hAnsi="Arial" w:cs="Arial"/>
                <w:color w:val="000000"/>
                <w:kern w:val="24"/>
                <w:sz w:val="22"/>
                <w:szCs w:val="22"/>
              </w:rPr>
              <w:t>The indicator is repeatable</w:t>
            </w:r>
            <w:r w:rsidR="00F945E7">
              <w:rPr>
                <w:rFonts w:ascii="Arial" w:hAnsi="Arial" w:cs="Arial"/>
                <w:color w:val="000000"/>
                <w:kern w:val="24"/>
                <w:sz w:val="22"/>
                <w:szCs w:val="22"/>
              </w:rPr>
              <w:t>.</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57B3FE40" w14:textId="465D5AF0" w:rsidR="008A6AF3" w:rsidRPr="008A6AF3" w:rsidRDefault="008A6AF3" w:rsidP="008A6AF3">
            <w:pPr>
              <w:spacing w:before="120" w:after="120"/>
              <w:rPr>
                <w:rFonts w:ascii="Arial" w:hAnsi="Arial"/>
                <w:color w:val="000000"/>
                <w:kern w:val="24"/>
                <w:sz w:val="22"/>
                <w:szCs w:val="22"/>
              </w:rPr>
            </w:pPr>
            <w:r w:rsidRPr="008A6AF3">
              <w:rPr>
                <w:rFonts w:ascii="Arial" w:hAnsi="Arial"/>
                <w:color w:val="000000"/>
                <w:kern w:val="24"/>
                <w:sz w:val="22"/>
                <w:szCs w:val="22"/>
              </w:rPr>
              <w:t>Data is available from ONS:</w:t>
            </w:r>
          </w:p>
          <w:p w14:paraId="696820A3" w14:textId="77777777" w:rsidR="008B43D6" w:rsidRDefault="008A6AF3" w:rsidP="008B43D6">
            <w:pPr>
              <w:pStyle w:val="ListParagraph"/>
              <w:numPr>
                <w:ilvl w:val="0"/>
                <w:numId w:val="50"/>
              </w:numPr>
              <w:spacing w:before="120" w:after="120"/>
              <w:rPr>
                <w:rFonts w:ascii="Arial" w:hAnsi="Arial"/>
                <w:color w:val="000000"/>
                <w:kern w:val="24"/>
                <w:sz w:val="22"/>
                <w:szCs w:val="22"/>
              </w:rPr>
            </w:pPr>
            <w:r>
              <w:rPr>
                <w:rFonts w:ascii="Arial" w:hAnsi="Arial"/>
                <w:color w:val="000000"/>
                <w:kern w:val="24"/>
                <w:sz w:val="22"/>
                <w:szCs w:val="22"/>
              </w:rPr>
              <w:t>Mid-year population estimates</w:t>
            </w:r>
          </w:p>
          <w:p w14:paraId="118883FA" w14:textId="77777777" w:rsidR="00A2292E" w:rsidRDefault="008B43D6" w:rsidP="008B43D6">
            <w:pPr>
              <w:pStyle w:val="ListParagraph"/>
              <w:numPr>
                <w:ilvl w:val="0"/>
                <w:numId w:val="50"/>
              </w:numPr>
              <w:spacing w:before="120" w:after="120"/>
              <w:rPr>
                <w:rFonts w:ascii="Arial" w:hAnsi="Arial"/>
                <w:color w:val="000000"/>
                <w:kern w:val="24"/>
                <w:sz w:val="22"/>
                <w:szCs w:val="22"/>
              </w:rPr>
            </w:pPr>
            <w:r>
              <w:rPr>
                <w:rFonts w:ascii="Arial" w:hAnsi="Arial"/>
                <w:color w:val="000000"/>
                <w:kern w:val="24"/>
                <w:sz w:val="22"/>
                <w:szCs w:val="22"/>
              </w:rPr>
              <w:t>Mortality data</w:t>
            </w:r>
            <w:r w:rsidR="008A6AF3">
              <w:rPr>
                <w:rFonts w:ascii="Arial" w:hAnsi="Arial"/>
                <w:color w:val="000000"/>
                <w:kern w:val="24"/>
                <w:sz w:val="22"/>
                <w:szCs w:val="22"/>
              </w:rPr>
              <w:t>.</w:t>
            </w:r>
          </w:p>
          <w:p w14:paraId="6B3D2BF0" w14:textId="50540D8D" w:rsidR="00596F7C" w:rsidRPr="00596F7C" w:rsidRDefault="009E45A4" w:rsidP="00393947">
            <w:pPr>
              <w:spacing w:before="120" w:after="120"/>
              <w:rPr>
                <w:rFonts w:ascii="Arial" w:hAnsi="Arial"/>
                <w:color w:val="000000"/>
                <w:kern w:val="24"/>
                <w:sz w:val="22"/>
                <w:szCs w:val="22"/>
              </w:rPr>
            </w:pPr>
            <w:r>
              <w:rPr>
                <w:rFonts w:ascii="Arial" w:hAnsi="Arial" w:cs="Arial"/>
                <w:sz w:val="22"/>
                <w:szCs w:val="22"/>
              </w:rPr>
              <w:t xml:space="preserve">(adapted from </w:t>
            </w:r>
            <w:hyperlink r:id="rId14" w:history="1">
              <w:r w:rsidR="0066375D">
                <w:rPr>
                  <w:rStyle w:val="Hyperlink"/>
                  <w:rFonts w:ascii="Arial" w:hAnsi="Arial" w:cs="Arial"/>
                  <w:sz w:val="22"/>
                  <w:szCs w:val="22"/>
                </w:rPr>
                <w:t>NHSOF quality statement for indicator 1b</w:t>
              </w:r>
            </w:hyperlink>
            <w:r w:rsidR="000D6EC2">
              <w:rPr>
                <w:rStyle w:val="Hyperlink"/>
                <w:rFonts w:ascii="Arial" w:hAnsi="Arial" w:cs="Arial"/>
                <w:sz w:val="22"/>
                <w:szCs w:val="22"/>
              </w:rPr>
              <w:t>,</w:t>
            </w:r>
            <w:r w:rsidR="000D6EC2">
              <w:rPr>
                <w:rFonts w:ascii="Arial" w:hAnsi="Arial" w:cs="Arial"/>
                <w:sz w:val="22"/>
                <w:szCs w:val="22"/>
              </w:rPr>
              <w:t xml:space="preserve"> </w:t>
            </w:r>
            <w:r w:rsidR="0066375D" w:rsidRPr="0066375D">
              <w:rPr>
                <w:rFonts w:ascii="Arial" w:hAnsi="Arial" w:cs="Arial"/>
                <w:sz w:val="22"/>
                <w:szCs w:val="22"/>
              </w:rPr>
              <w:t>version 1.11</w:t>
            </w:r>
            <w:r w:rsidR="0066375D">
              <w:rPr>
                <w:rFonts w:ascii="Arial" w:hAnsi="Arial" w:cs="Arial"/>
                <w:sz w:val="22"/>
                <w:szCs w:val="22"/>
              </w:rPr>
              <w:t xml:space="preserve"> (</w:t>
            </w:r>
            <w:r w:rsidRPr="006775E1">
              <w:rPr>
                <w:rFonts w:ascii="Arial" w:hAnsi="Arial" w:cs="Arial"/>
                <w:sz w:val="22"/>
                <w:szCs w:val="22"/>
              </w:rPr>
              <w:t>May 2020</w:t>
            </w:r>
            <w:r>
              <w:rPr>
                <w:rFonts w:ascii="Arial" w:hAnsi="Arial" w:cs="Arial"/>
                <w:sz w:val="22"/>
                <w:szCs w:val="22"/>
              </w:rPr>
              <w:t>)</w:t>
            </w:r>
            <w:r w:rsidR="0066375D">
              <w:rPr>
                <w:rFonts w:ascii="Arial" w:hAnsi="Arial" w:cs="Arial"/>
                <w:sz w:val="22"/>
                <w:szCs w:val="22"/>
              </w:rPr>
              <w:t>)</w:t>
            </w:r>
            <w:r>
              <w:rPr>
                <w:rFonts w:ascii="Arial" w:hAnsi="Arial" w:cs="Arial"/>
                <w:sz w:val="22"/>
                <w:szCs w:val="22"/>
              </w:rPr>
              <w:t>.</w:t>
            </w:r>
          </w:p>
        </w:tc>
        <w:tc>
          <w:tcPr>
            <w:tcW w:w="3118" w:type="dxa"/>
          </w:tcPr>
          <w:p w14:paraId="501A7677" w14:textId="77777777" w:rsidR="00735337" w:rsidRPr="002A2198" w:rsidRDefault="00735337" w:rsidP="00735337">
            <w:pPr>
              <w:spacing w:before="120" w:after="120"/>
              <w:rPr>
                <w:rFonts w:ascii="Arial" w:hAnsi="Arial" w:cs="Arial"/>
                <w:color w:val="000000"/>
                <w:kern w:val="24"/>
                <w:sz w:val="22"/>
                <w:szCs w:val="22"/>
              </w:rPr>
            </w:pPr>
            <w:r w:rsidRPr="002A2198">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2A2198">
              <w:rPr>
                <w:rFonts w:ascii="Arial" w:hAnsi="Arial" w:cs="Arial"/>
                <w:color w:val="000000"/>
                <w:kern w:val="24"/>
                <w:sz w:val="22"/>
                <w:szCs w:val="22"/>
              </w:rPr>
              <w:t>The indicator uses existing data fields.</w:t>
            </w:r>
          </w:p>
        </w:tc>
      </w:tr>
    </w:tbl>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0FEF300B" w:rsidR="00B11E02" w:rsidRPr="00393947" w:rsidRDefault="006775E1" w:rsidP="00B11E02">
            <w:pPr>
              <w:pStyle w:val="Paragraph"/>
              <w:spacing w:before="120" w:after="120" w:line="240" w:lineRule="auto"/>
              <w:rPr>
                <w:rFonts w:cs="Arial"/>
                <w:color w:val="000000"/>
                <w:kern w:val="24"/>
                <w:sz w:val="22"/>
                <w:szCs w:val="22"/>
                <w:lang w:eastAsia="en-GB"/>
              </w:rPr>
            </w:pPr>
            <w:r w:rsidRPr="00B11E02">
              <w:rPr>
                <w:sz w:val="22"/>
                <w:szCs w:val="22"/>
              </w:rPr>
              <w:lastRenderedPageBreak/>
              <w:t xml:space="preserve">The </w:t>
            </w:r>
            <w:hyperlink r:id="rId15" w:history="1">
              <w:r w:rsidR="0066375D">
                <w:rPr>
                  <w:rStyle w:val="Hyperlink"/>
                  <w:sz w:val="22"/>
                  <w:szCs w:val="22"/>
                </w:rPr>
                <w:t>NHSOF quality statement for indicator 1b</w:t>
              </w:r>
            </w:hyperlink>
            <w:r w:rsidR="007A515A">
              <w:rPr>
                <w:rStyle w:val="Hyperlink"/>
                <w:sz w:val="22"/>
                <w:szCs w:val="22"/>
              </w:rPr>
              <w:t>,</w:t>
            </w:r>
            <w:r w:rsidR="0066375D">
              <w:t xml:space="preserve"> </w:t>
            </w:r>
            <w:r w:rsidR="0066375D" w:rsidRPr="0066375D">
              <w:t>version 1.11</w:t>
            </w:r>
            <w:r w:rsidR="0066375D">
              <w:t xml:space="preserve"> (</w:t>
            </w:r>
            <w:r w:rsidRPr="00B11E02">
              <w:rPr>
                <w:sz w:val="22"/>
                <w:szCs w:val="22"/>
              </w:rPr>
              <w:t>May 2020</w:t>
            </w:r>
            <w:r w:rsidR="0066375D">
              <w:rPr>
                <w:sz w:val="22"/>
                <w:szCs w:val="22"/>
              </w:rPr>
              <w:t>)</w:t>
            </w:r>
            <w:r w:rsidRPr="00B11E02">
              <w:rPr>
                <w:sz w:val="22"/>
                <w:szCs w:val="22"/>
              </w:rPr>
              <w:t xml:space="preserve"> </w:t>
            </w:r>
            <w:r>
              <w:rPr>
                <w:rFonts w:cs="Arial"/>
                <w:color w:val="000000"/>
                <w:kern w:val="24"/>
                <w:sz w:val="22"/>
                <w:szCs w:val="22"/>
                <w:lang w:eastAsia="en-GB"/>
              </w:rPr>
              <w:t>notes</w:t>
            </w:r>
            <w:r w:rsidR="00BE550C">
              <w:rPr>
                <w:rFonts w:cs="Arial"/>
                <w:color w:val="000000"/>
                <w:kern w:val="24"/>
                <w:sz w:val="22"/>
                <w:szCs w:val="22"/>
                <w:lang w:eastAsia="en-GB"/>
              </w:rPr>
              <w:t xml:space="preserve"> </w:t>
            </w:r>
            <w:r w:rsidR="0066375D" w:rsidRPr="00026EC1">
              <w:rPr>
                <w:rFonts w:cs="Arial"/>
                <w:color w:val="000000"/>
                <w:kern w:val="24"/>
                <w:sz w:val="22"/>
                <w:szCs w:val="22"/>
                <w:lang w:eastAsia="en-GB"/>
              </w:rPr>
              <w:t>that</w:t>
            </w:r>
            <w:r w:rsidR="0066375D">
              <w:rPr>
                <w:rFonts w:cs="Arial"/>
                <w:color w:val="000000"/>
                <w:kern w:val="24"/>
                <w:sz w:val="22"/>
                <w:szCs w:val="22"/>
                <w:lang w:eastAsia="en-GB"/>
              </w:rPr>
              <w:t xml:space="preserve"> </w:t>
            </w:r>
            <w:r w:rsidR="0081726B" w:rsidRPr="0081726B">
              <w:rPr>
                <w:rFonts w:cs="Arial"/>
                <w:color w:val="000000"/>
                <w:kern w:val="24"/>
                <w:sz w:val="22"/>
                <w:szCs w:val="22"/>
                <w:lang w:eastAsia="en-GB"/>
              </w:rPr>
              <w:t>healthcare, public health and social care contribution to improvements in this indicator but also highlights that incidence of disease is greatly affected by demographic and cohort effects. Consideration therefore should be given to external factors when reviewing the progress of this indicator.</w:t>
            </w:r>
          </w:p>
        </w:tc>
        <w:tc>
          <w:tcPr>
            <w:tcW w:w="3118" w:type="dxa"/>
          </w:tcPr>
          <w:p w14:paraId="50C98A36" w14:textId="14C32902" w:rsidR="00735337" w:rsidRPr="004B3145" w:rsidRDefault="00735337" w:rsidP="00735337">
            <w:pPr>
              <w:pStyle w:val="Paragraph"/>
              <w:spacing w:before="120" w:after="120" w:line="240" w:lineRule="auto"/>
            </w:pPr>
            <w:r w:rsidRPr="004B3145">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0108B0C9" w14:textId="7CBED67C" w:rsidR="00E572B9" w:rsidRDefault="00607A9C" w:rsidP="008B43D6">
            <w:pPr>
              <w:pStyle w:val="Paragraph"/>
              <w:spacing w:before="120" w:after="120" w:line="240" w:lineRule="auto"/>
              <w:rPr>
                <w:rFonts w:cs="Arial"/>
                <w:sz w:val="22"/>
                <w:szCs w:val="22"/>
              </w:rPr>
            </w:pPr>
            <w:r w:rsidRPr="00607A9C">
              <w:rPr>
                <w:rFonts w:cs="Arial"/>
                <w:sz w:val="22"/>
                <w:szCs w:val="22"/>
              </w:rPr>
              <w:t xml:space="preserve">Data is available from NHS England as part of the </w:t>
            </w:r>
            <w:hyperlink r:id="rId16" w:history="1">
              <w:r w:rsidR="00E572B9" w:rsidRPr="00E572B9">
                <w:rPr>
                  <w:rStyle w:val="Hyperlink"/>
                  <w:rFonts w:cs="Arial"/>
                  <w:sz w:val="22"/>
                  <w:szCs w:val="22"/>
                </w:rPr>
                <w:t>NHSOF indicator 1b</w:t>
              </w:r>
            </w:hyperlink>
            <w:r w:rsidR="00E572B9">
              <w:rPr>
                <w:rFonts w:cs="Arial"/>
                <w:sz w:val="22"/>
                <w:szCs w:val="22"/>
              </w:rPr>
              <w:t xml:space="preserve"> (</w:t>
            </w:r>
            <w:r>
              <w:rPr>
                <w:rFonts w:cs="Arial"/>
                <w:sz w:val="22"/>
                <w:szCs w:val="22"/>
              </w:rPr>
              <w:t xml:space="preserve">last </w:t>
            </w:r>
            <w:r w:rsidR="00E572B9">
              <w:rPr>
                <w:rFonts w:cs="Arial"/>
                <w:sz w:val="22"/>
                <w:szCs w:val="22"/>
              </w:rPr>
              <w:t>published March 2022).</w:t>
            </w:r>
          </w:p>
          <w:p w14:paraId="3AF0200A" w14:textId="73A61CC6" w:rsidR="00640C1F" w:rsidRPr="0066375D" w:rsidRDefault="00CB10FB" w:rsidP="007A515A">
            <w:pPr>
              <w:pStyle w:val="Paragraph"/>
              <w:spacing w:before="120" w:after="120" w:line="240" w:lineRule="auto"/>
              <w:rPr>
                <w:rFonts w:cs="Arial"/>
                <w:sz w:val="22"/>
                <w:szCs w:val="22"/>
              </w:rPr>
            </w:pPr>
            <w:r w:rsidRPr="0066375D">
              <w:rPr>
                <w:rFonts w:cs="Arial"/>
                <w:sz w:val="22"/>
                <w:szCs w:val="22"/>
              </w:rPr>
              <w:t xml:space="preserve">Overall </w:t>
            </w:r>
            <w:r w:rsidR="00E572B9">
              <w:rPr>
                <w:rFonts w:cs="Arial"/>
                <w:sz w:val="22"/>
                <w:szCs w:val="22"/>
              </w:rPr>
              <w:t xml:space="preserve">life expectancy has improved over time, however in the most deprived deciles improvement seems to have stalled in recent years. </w:t>
            </w:r>
            <w:r w:rsidRPr="0066375D">
              <w:rPr>
                <w:rFonts w:cs="Arial"/>
                <w:sz w:val="22"/>
                <w:szCs w:val="22"/>
              </w:rPr>
              <w:t xml:space="preserve"> </w:t>
            </w:r>
          </w:p>
        </w:tc>
        <w:tc>
          <w:tcPr>
            <w:tcW w:w="3118" w:type="dxa"/>
          </w:tcPr>
          <w:p w14:paraId="2909F55A" w14:textId="550EBBEB" w:rsidR="00735337" w:rsidRPr="0066375D" w:rsidRDefault="00735337" w:rsidP="00735337">
            <w:pPr>
              <w:pStyle w:val="Paragraph"/>
              <w:spacing w:before="120" w:after="120" w:line="240" w:lineRule="auto"/>
            </w:pPr>
            <w:r w:rsidRPr="008B43D6">
              <w:rPr>
                <w:rFonts w:cs="Arial"/>
                <w:kern w:val="24"/>
                <w:sz w:val="22"/>
                <w:szCs w:val="22"/>
              </w:rPr>
              <w:t>The results of the indicator can be used to improve practice</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4B3145" w14:paraId="2BC93029" w14:textId="77777777" w:rsidTr="001C517D">
        <w:tc>
          <w:tcPr>
            <w:tcW w:w="5949" w:type="dxa"/>
          </w:tcPr>
          <w:p w14:paraId="4B354F24" w14:textId="46AAD968" w:rsidR="00026EC1" w:rsidRDefault="007859FC" w:rsidP="00833A70">
            <w:pPr>
              <w:pStyle w:val="Paragraph"/>
              <w:spacing w:before="120" w:after="120" w:line="240" w:lineRule="auto"/>
              <w:rPr>
                <w:sz w:val="22"/>
                <w:szCs w:val="22"/>
              </w:rPr>
            </w:pPr>
            <w:r w:rsidRPr="007859FC">
              <w:rPr>
                <w:sz w:val="22"/>
                <w:szCs w:val="22"/>
              </w:rPr>
              <w:t>Changes in methods for the underlying data</w:t>
            </w:r>
            <w:r>
              <w:rPr>
                <w:sz w:val="22"/>
                <w:szCs w:val="22"/>
              </w:rPr>
              <w:t xml:space="preserve"> may impact comparability of data over time.</w:t>
            </w:r>
            <w:r w:rsidRPr="007859FC">
              <w:rPr>
                <w:sz w:val="22"/>
                <w:szCs w:val="22"/>
              </w:rPr>
              <w:t xml:space="preserve"> </w:t>
            </w:r>
          </w:p>
          <w:p w14:paraId="316830ED" w14:textId="7E6939D1" w:rsidR="00833A70" w:rsidRPr="00AD252E" w:rsidRDefault="00026EC1" w:rsidP="00833A70">
            <w:pPr>
              <w:pStyle w:val="Paragraph"/>
              <w:spacing w:before="120" w:after="120" w:line="240" w:lineRule="auto"/>
              <w:rPr>
                <w:rFonts w:cs="Arial"/>
                <w:color w:val="000000"/>
                <w:kern w:val="24"/>
                <w:sz w:val="22"/>
                <w:szCs w:val="22"/>
                <w:lang w:eastAsia="en-GB"/>
              </w:rPr>
            </w:pPr>
            <w:r w:rsidRPr="00026EC1">
              <w:rPr>
                <w:sz w:val="22"/>
                <w:szCs w:val="22"/>
              </w:rPr>
              <w:t>Underlying data do not account for future changes in mortality and so should not be regarded as the number of remaining years a person can expect to live for. It is also assumed that a person will experience area-specific mortality rates for the rest of their life; however, people may have moved in the past and may move in the future</w:t>
            </w:r>
            <w:r>
              <w:rPr>
                <w:sz w:val="22"/>
                <w:szCs w:val="22"/>
              </w:rPr>
              <w:t xml:space="preserve"> (</w:t>
            </w:r>
            <w:hyperlink r:id="rId17" w:history="1">
              <w:r>
                <w:rPr>
                  <w:rStyle w:val="Hyperlink"/>
                  <w:sz w:val="22"/>
                  <w:szCs w:val="22"/>
                </w:rPr>
                <w:t>NHSOF quality statement for indicator 1b</w:t>
              </w:r>
            </w:hyperlink>
            <w:r>
              <w:rPr>
                <w:rStyle w:val="Hyperlink"/>
                <w:sz w:val="22"/>
                <w:szCs w:val="22"/>
              </w:rPr>
              <w:t>,</w:t>
            </w:r>
            <w:r>
              <w:t xml:space="preserve"> </w:t>
            </w:r>
            <w:r w:rsidRPr="0066375D">
              <w:t>version 1.11</w:t>
            </w:r>
            <w:r>
              <w:t xml:space="preserve"> (</w:t>
            </w:r>
            <w:r w:rsidRPr="00B11E02">
              <w:rPr>
                <w:sz w:val="22"/>
                <w:szCs w:val="22"/>
              </w:rPr>
              <w:t>May 2020</w:t>
            </w:r>
            <w:r>
              <w:rPr>
                <w:sz w:val="22"/>
                <w:szCs w:val="22"/>
              </w:rPr>
              <w:t>))</w:t>
            </w:r>
            <w:r w:rsidRPr="00026EC1">
              <w:rPr>
                <w:sz w:val="22"/>
                <w:szCs w:val="22"/>
              </w:rPr>
              <w:t>.</w:t>
            </w:r>
          </w:p>
        </w:tc>
        <w:tc>
          <w:tcPr>
            <w:tcW w:w="3118" w:type="dxa"/>
          </w:tcPr>
          <w:p w14:paraId="0529B31E" w14:textId="131B38AF" w:rsidR="004B3145" w:rsidRPr="00A47852" w:rsidRDefault="002A75D5" w:rsidP="004B3145">
            <w:pPr>
              <w:pStyle w:val="Paragraph"/>
              <w:spacing w:before="120" w:after="120" w:line="240" w:lineRule="auto"/>
              <w:rPr>
                <w:highlight w:val="lightGray"/>
              </w:rPr>
            </w:pPr>
            <w:r w:rsidRPr="004C1945">
              <w:rPr>
                <w:sz w:val="22"/>
                <w:szCs w:val="22"/>
              </w:rPr>
              <w:t>The indicator has an acceptable risk of unintended consequences.</w:t>
            </w:r>
          </w:p>
        </w:tc>
      </w:tr>
    </w:tbl>
    <w:p w14:paraId="123085F8" w14:textId="46F76CC2" w:rsidR="00D73835" w:rsidRDefault="00D73835" w:rsidP="00C21CB4">
      <w:pPr>
        <w:pStyle w:val="Heading1"/>
      </w:pPr>
    </w:p>
    <w:sectPr w:rsidR="00D73835" w:rsidSect="003E4657">
      <w:headerReference w:type="default" r:id="rId18"/>
      <w:footerReference w:type="default" r:id="rId19"/>
      <w:headerReference w:type="first" r:id="rId2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65769C8E" w:rsidR="00BB14CA" w:rsidRPr="008C1C95" w:rsidRDefault="00F945E7" w:rsidP="00F945E7">
    <w:pPr>
      <w:pStyle w:val="Footer"/>
      <w:jc w:val="center"/>
    </w:pPr>
    <w:r>
      <w:t>IND269</w:t>
    </w:r>
    <w:r w:rsidR="009B0E59">
      <w:t xml:space="preserve">: Validity assessment </w:t>
    </w:r>
    <w:r w:rsidR="005705B2">
      <w:t xml:space="preserve">September </w:t>
    </w:r>
    <w:r w:rsidR="002A75D5">
      <w:t>2024</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AB4216"/>
    <w:multiLevelType w:val="hybridMultilevel"/>
    <w:tmpl w:val="EABA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2E7BC1"/>
    <w:multiLevelType w:val="hybridMultilevel"/>
    <w:tmpl w:val="F86C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99A6951"/>
    <w:multiLevelType w:val="hybridMultilevel"/>
    <w:tmpl w:val="3AA4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E44456A"/>
    <w:multiLevelType w:val="hybridMultilevel"/>
    <w:tmpl w:val="7182EC98"/>
    <w:lvl w:ilvl="0" w:tplc="2C0E931C">
      <w:start w:val="1"/>
      <w:numFmt w:val="decimal"/>
      <w:lvlText w:val="%1)"/>
      <w:lvlJc w:val="left"/>
      <w:pPr>
        <w:ind w:left="1020" w:hanging="360"/>
      </w:pPr>
    </w:lvl>
    <w:lvl w:ilvl="1" w:tplc="1486B85E">
      <w:start w:val="1"/>
      <w:numFmt w:val="decimal"/>
      <w:lvlText w:val="%2)"/>
      <w:lvlJc w:val="left"/>
      <w:pPr>
        <w:ind w:left="1020" w:hanging="360"/>
      </w:pPr>
    </w:lvl>
    <w:lvl w:ilvl="2" w:tplc="77160BD4">
      <w:start w:val="1"/>
      <w:numFmt w:val="decimal"/>
      <w:lvlText w:val="%3)"/>
      <w:lvlJc w:val="left"/>
      <w:pPr>
        <w:ind w:left="1020" w:hanging="360"/>
      </w:pPr>
    </w:lvl>
    <w:lvl w:ilvl="3" w:tplc="1F94DBBE">
      <w:start w:val="1"/>
      <w:numFmt w:val="decimal"/>
      <w:lvlText w:val="%4)"/>
      <w:lvlJc w:val="left"/>
      <w:pPr>
        <w:ind w:left="1020" w:hanging="360"/>
      </w:pPr>
    </w:lvl>
    <w:lvl w:ilvl="4" w:tplc="A9965B56">
      <w:start w:val="1"/>
      <w:numFmt w:val="decimal"/>
      <w:lvlText w:val="%5)"/>
      <w:lvlJc w:val="left"/>
      <w:pPr>
        <w:ind w:left="1020" w:hanging="360"/>
      </w:pPr>
    </w:lvl>
    <w:lvl w:ilvl="5" w:tplc="69CE9476">
      <w:start w:val="1"/>
      <w:numFmt w:val="decimal"/>
      <w:lvlText w:val="%6)"/>
      <w:lvlJc w:val="left"/>
      <w:pPr>
        <w:ind w:left="1020" w:hanging="360"/>
      </w:pPr>
    </w:lvl>
    <w:lvl w:ilvl="6" w:tplc="FC54C278">
      <w:start w:val="1"/>
      <w:numFmt w:val="decimal"/>
      <w:lvlText w:val="%7)"/>
      <w:lvlJc w:val="left"/>
      <w:pPr>
        <w:ind w:left="1020" w:hanging="360"/>
      </w:pPr>
    </w:lvl>
    <w:lvl w:ilvl="7" w:tplc="0A90905A">
      <w:start w:val="1"/>
      <w:numFmt w:val="decimal"/>
      <w:lvlText w:val="%8)"/>
      <w:lvlJc w:val="left"/>
      <w:pPr>
        <w:ind w:left="1020" w:hanging="360"/>
      </w:pPr>
    </w:lvl>
    <w:lvl w:ilvl="8" w:tplc="52D40704">
      <w:start w:val="1"/>
      <w:numFmt w:val="decimal"/>
      <w:lvlText w:val="%9)"/>
      <w:lvlJc w:val="left"/>
      <w:pPr>
        <w:ind w:left="1020" w:hanging="360"/>
      </w:pPr>
    </w:lvl>
  </w:abstractNum>
  <w:abstractNum w:abstractNumId="29" w15:restartNumberingAfterBreak="0">
    <w:nsid w:val="4FE96BD8"/>
    <w:multiLevelType w:val="hybridMultilevel"/>
    <w:tmpl w:val="2C74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5B43BF"/>
    <w:multiLevelType w:val="hybridMultilevel"/>
    <w:tmpl w:val="84FC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2242B5"/>
    <w:multiLevelType w:val="hybridMultilevel"/>
    <w:tmpl w:val="C054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3027B"/>
    <w:multiLevelType w:val="hybridMultilevel"/>
    <w:tmpl w:val="9B76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3E76CD"/>
    <w:multiLevelType w:val="hybridMultilevel"/>
    <w:tmpl w:val="BB7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92A95"/>
    <w:multiLevelType w:val="hybridMultilevel"/>
    <w:tmpl w:val="BEC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07899"/>
    <w:multiLevelType w:val="hybridMultilevel"/>
    <w:tmpl w:val="CE3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40"/>
  </w:num>
  <w:num w:numId="2" w16cid:durableId="233853175">
    <w:abstractNumId w:val="13"/>
  </w:num>
  <w:num w:numId="3" w16cid:durableId="1529370562">
    <w:abstractNumId w:val="34"/>
  </w:num>
  <w:num w:numId="4" w16cid:durableId="657612754">
    <w:abstractNumId w:val="14"/>
  </w:num>
  <w:num w:numId="5" w16cid:durableId="1193808871">
    <w:abstractNumId w:val="27"/>
  </w:num>
  <w:num w:numId="6" w16cid:durableId="781268177">
    <w:abstractNumId w:val="1"/>
  </w:num>
  <w:num w:numId="7" w16cid:durableId="201872007">
    <w:abstractNumId w:val="12"/>
  </w:num>
  <w:num w:numId="8" w16cid:durableId="1295333019">
    <w:abstractNumId w:val="24"/>
  </w:num>
  <w:num w:numId="9" w16cid:durableId="513112173">
    <w:abstractNumId w:val="25"/>
  </w:num>
  <w:num w:numId="10" w16cid:durableId="2049523386">
    <w:abstractNumId w:val="6"/>
  </w:num>
  <w:num w:numId="11" w16cid:durableId="1370840847">
    <w:abstractNumId w:val="9"/>
  </w:num>
  <w:num w:numId="12" w16cid:durableId="1021859395">
    <w:abstractNumId w:val="2"/>
  </w:num>
  <w:num w:numId="13" w16cid:durableId="1167093030">
    <w:abstractNumId w:val="39"/>
  </w:num>
  <w:num w:numId="14" w16cid:durableId="1771392860">
    <w:abstractNumId w:val="16"/>
  </w:num>
  <w:num w:numId="15" w16cid:durableId="1260019971">
    <w:abstractNumId w:val="11"/>
  </w:num>
  <w:num w:numId="16" w16cid:durableId="546987736">
    <w:abstractNumId w:val="21"/>
  </w:num>
  <w:num w:numId="17" w16cid:durableId="2137412053">
    <w:abstractNumId w:val="18"/>
  </w:num>
  <w:num w:numId="18" w16cid:durableId="2039037637">
    <w:abstractNumId w:val="23"/>
  </w:num>
  <w:num w:numId="19" w16cid:durableId="1939945119">
    <w:abstractNumId w:val="30"/>
  </w:num>
  <w:num w:numId="20" w16cid:durableId="1057584041">
    <w:abstractNumId w:val="7"/>
  </w:num>
  <w:num w:numId="21" w16cid:durableId="1439716324">
    <w:abstractNumId w:val="36"/>
  </w:num>
  <w:num w:numId="22" w16cid:durableId="321355733">
    <w:abstractNumId w:val="0"/>
  </w:num>
  <w:num w:numId="23" w16cid:durableId="317730129">
    <w:abstractNumId w:val="5"/>
  </w:num>
  <w:num w:numId="24" w16cid:durableId="480850916">
    <w:abstractNumId w:val="33"/>
  </w:num>
  <w:num w:numId="25" w16cid:durableId="130027160">
    <w:abstractNumId w:val="20"/>
  </w:num>
  <w:num w:numId="26" w16cid:durableId="58794158">
    <w:abstractNumId w:val="19"/>
  </w:num>
  <w:num w:numId="27" w16cid:durableId="2144544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6"/>
  </w:num>
  <w:num w:numId="30" w16cid:durableId="1681851572">
    <w:abstractNumId w:val="15"/>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7"/>
  </w:num>
  <w:num w:numId="39" w16cid:durableId="1357119577">
    <w:abstractNumId w:val="22"/>
  </w:num>
  <w:num w:numId="40" w16cid:durableId="1472091102">
    <w:abstractNumId w:val="4"/>
  </w:num>
  <w:num w:numId="41" w16cid:durableId="841044573">
    <w:abstractNumId w:val="42"/>
  </w:num>
  <w:num w:numId="42" w16cid:durableId="215625018">
    <w:abstractNumId w:val="31"/>
  </w:num>
  <w:num w:numId="43" w16cid:durableId="699548622">
    <w:abstractNumId w:val="41"/>
  </w:num>
  <w:num w:numId="44" w16cid:durableId="2089382304">
    <w:abstractNumId w:val="29"/>
  </w:num>
  <w:num w:numId="45" w16cid:durableId="368072487">
    <w:abstractNumId w:val="26"/>
  </w:num>
  <w:num w:numId="46" w16cid:durableId="202326859">
    <w:abstractNumId w:val="35"/>
  </w:num>
  <w:num w:numId="47" w16cid:durableId="1014265977">
    <w:abstractNumId w:val="3"/>
  </w:num>
  <w:num w:numId="48" w16cid:durableId="1264413431">
    <w:abstractNumId w:val="28"/>
  </w:num>
  <w:num w:numId="49" w16cid:durableId="961615117">
    <w:abstractNumId w:val="32"/>
  </w:num>
  <w:num w:numId="50" w16cid:durableId="315109566">
    <w:abstractNumId w:val="8"/>
  </w:num>
  <w:num w:numId="51" w16cid:durableId="690883910">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50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2DC2"/>
    <w:rsid w:val="00011FC6"/>
    <w:rsid w:val="0001222B"/>
    <w:rsid w:val="00015441"/>
    <w:rsid w:val="00016234"/>
    <w:rsid w:val="00017F45"/>
    <w:rsid w:val="000200AB"/>
    <w:rsid w:val="00020637"/>
    <w:rsid w:val="0002076F"/>
    <w:rsid w:val="0002231A"/>
    <w:rsid w:val="00023CA5"/>
    <w:rsid w:val="00024D0A"/>
    <w:rsid w:val="00025A5C"/>
    <w:rsid w:val="0002655B"/>
    <w:rsid w:val="00026EC1"/>
    <w:rsid w:val="00027B76"/>
    <w:rsid w:val="000300AE"/>
    <w:rsid w:val="00030385"/>
    <w:rsid w:val="00030C76"/>
    <w:rsid w:val="0003213D"/>
    <w:rsid w:val="00035D96"/>
    <w:rsid w:val="00036EE4"/>
    <w:rsid w:val="00037552"/>
    <w:rsid w:val="00037C9E"/>
    <w:rsid w:val="000414CD"/>
    <w:rsid w:val="000453F8"/>
    <w:rsid w:val="00046BEA"/>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3E95"/>
    <w:rsid w:val="00094BC2"/>
    <w:rsid w:val="00094C1B"/>
    <w:rsid w:val="000963D1"/>
    <w:rsid w:val="000A16C2"/>
    <w:rsid w:val="000A19A9"/>
    <w:rsid w:val="000A638C"/>
    <w:rsid w:val="000A7163"/>
    <w:rsid w:val="000B1301"/>
    <w:rsid w:val="000B1CBF"/>
    <w:rsid w:val="000B33BD"/>
    <w:rsid w:val="000B34B8"/>
    <w:rsid w:val="000B5939"/>
    <w:rsid w:val="000B5EBE"/>
    <w:rsid w:val="000B7228"/>
    <w:rsid w:val="000C0476"/>
    <w:rsid w:val="000C22B9"/>
    <w:rsid w:val="000C4A97"/>
    <w:rsid w:val="000C4D57"/>
    <w:rsid w:val="000C4EE8"/>
    <w:rsid w:val="000C6D36"/>
    <w:rsid w:val="000C7A5D"/>
    <w:rsid w:val="000D04B0"/>
    <w:rsid w:val="000D0610"/>
    <w:rsid w:val="000D1487"/>
    <w:rsid w:val="000D3776"/>
    <w:rsid w:val="000D6EC2"/>
    <w:rsid w:val="000E0E0D"/>
    <w:rsid w:val="000E4899"/>
    <w:rsid w:val="000E7E3C"/>
    <w:rsid w:val="000F020F"/>
    <w:rsid w:val="000F3B49"/>
    <w:rsid w:val="000F54C6"/>
    <w:rsid w:val="000F6502"/>
    <w:rsid w:val="001043B0"/>
    <w:rsid w:val="00110A94"/>
    <w:rsid w:val="00110AD8"/>
    <w:rsid w:val="00112FAE"/>
    <w:rsid w:val="001131E2"/>
    <w:rsid w:val="001134E7"/>
    <w:rsid w:val="0011701E"/>
    <w:rsid w:val="00117750"/>
    <w:rsid w:val="00117DF1"/>
    <w:rsid w:val="00121C0F"/>
    <w:rsid w:val="00122B23"/>
    <w:rsid w:val="00124CBD"/>
    <w:rsid w:val="001252AE"/>
    <w:rsid w:val="00125557"/>
    <w:rsid w:val="001306F4"/>
    <w:rsid w:val="00130EC7"/>
    <w:rsid w:val="00133582"/>
    <w:rsid w:val="00134FDA"/>
    <w:rsid w:val="00135081"/>
    <w:rsid w:val="001352C4"/>
    <w:rsid w:val="00135596"/>
    <w:rsid w:val="00136466"/>
    <w:rsid w:val="001368F7"/>
    <w:rsid w:val="00140B46"/>
    <w:rsid w:val="001413FC"/>
    <w:rsid w:val="00145D3C"/>
    <w:rsid w:val="001503E8"/>
    <w:rsid w:val="00154516"/>
    <w:rsid w:val="00155887"/>
    <w:rsid w:val="00155A83"/>
    <w:rsid w:val="00156264"/>
    <w:rsid w:val="00156529"/>
    <w:rsid w:val="00157502"/>
    <w:rsid w:val="001579DA"/>
    <w:rsid w:val="00161EBC"/>
    <w:rsid w:val="00165770"/>
    <w:rsid w:val="00165B01"/>
    <w:rsid w:val="00166C1A"/>
    <w:rsid w:val="0017169E"/>
    <w:rsid w:val="00172312"/>
    <w:rsid w:val="0017396B"/>
    <w:rsid w:val="00174EF0"/>
    <w:rsid w:val="00175BE8"/>
    <w:rsid w:val="00175F5D"/>
    <w:rsid w:val="00177200"/>
    <w:rsid w:val="00177254"/>
    <w:rsid w:val="001779E5"/>
    <w:rsid w:val="00182263"/>
    <w:rsid w:val="0018281C"/>
    <w:rsid w:val="001846D1"/>
    <w:rsid w:val="00184739"/>
    <w:rsid w:val="001858BB"/>
    <w:rsid w:val="00185F6B"/>
    <w:rsid w:val="00187570"/>
    <w:rsid w:val="00192188"/>
    <w:rsid w:val="00192685"/>
    <w:rsid w:val="00192B09"/>
    <w:rsid w:val="001936A7"/>
    <w:rsid w:val="00193D4B"/>
    <w:rsid w:val="00194E6C"/>
    <w:rsid w:val="00195786"/>
    <w:rsid w:val="00196653"/>
    <w:rsid w:val="00196E29"/>
    <w:rsid w:val="001973A7"/>
    <w:rsid w:val="001976DA"/>
    <w:rsid w:val="001A056C"/>
    <w:rsid w:val="001A23E4"/>
    <w:rsid w:val="001A281B"/>
    <w:rsid w:val="001A3011"/>
    <w:rsid w:val="001A38E4"/>
    <w:rsid w:val="001A3CA6"/>
    <w:rsid w:val="001A48E7"/>
    <w:rsid w:val="001A4F64"/>
    <w:rsid w:val="001A73CD"/>
    <w:rsid w:val="001B06E1"/>
    <w:rsid w:val="001B0E54"/>
    <w:rsid w:val="001B1619"/>
    <w:rsid w:val="001B187B"/>
    <w:rsid w:val="001B3C11"/>
    <w:rsid w:val="001B3DA1"/>
    <w:rsid w:val="001B3FEC"/>
    <w:rsid w:val="001B5300"/>
    <w:rsid w:val="001B65B3"/>
    <w:rsid w:val="001B6878"/>
    <w:rsid w:val="001B6DC2"/>
    <w:rsid w:val="001C0AB8"/>
    <w:rsid w:val="001C1198"/>
    <w:rsid w:val="001C187F"/>
    <w:rsid w:val="001C27F3"/>
    <w:rsid w:val="001C3567"/>
    <w:rsid w:val="001C360A"/>
    <w:rsid w:val="001C576C"/>
    <w:rsid w:val="001C74F4"/>
    <w:rsid w:val="001D0D90"/>
    <w:rsid w:val="001D24D0"/>
    <w:rsid w:val="001D298F"/>
    <w:rsid w:val="001D3D36"/>
    <w:rsid w:val="001D6DFD"/>
    <w:rsid w:val="001D6E16"/>
    <w:rsid w:val="001E08E9"/>
    <w:rsid w:val="001E0B63"/>
    <w:rsid w:val="001E0E8C"/>
    <w:rsid w:val="001E4CA2"/>
    <w:rsid w:val="001E586B"/>
    <w:rsid w:val="001E6F20"/>
    <w:rsid w:val="001F1315"/>
    <w:rsid w:val="001F1957"/>
    <w:rsid w:val="001F1D2D"/>
    <w:rsid w:val="001F3C47"/>
    <w:rsid w:val="001F4802"/>
    <w:rsid w:val="001F4BFB"/>
    <w:rsid w:val="001F4C2C"/>
    <w:rsid w:val="001F6AB0"/>
    <w:rsid w:val="00201090"/>
    <w:rsid w:val="00201D69"/>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3778E"/>
    <w:rsid w:val="002408EA"/>
    <w:rsid w:val="00241410"/>
    <w:rsid w:val="00242803"/>
    <w:rsid w:val="00243980"/>
    <w:rsid w:val="00244A30"/>
    <w:rsid w:val="00250D61"/>
    <w:rsid w:val="002549B2"/>
    <w:rsid w:val="002557F8"/>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5EE8"/>
    <w:rsid w:val="00296E2E"/>
    <w:rsid w:val="002A2198"/>
    <w:rsid w:val="002A5503"/>
    <w:rsid w:val="002A6164"/>
    <w:rsid w:val="002A6812"/>
    <w:rsid w:val="002A7339"/>
    <w:rsid w:val="002A75D5"/>
    <w:rsid w:val="002A7A24"/>
    <w:rsid w:val="002B0BBF"/>
    <w:rsid w:val="002B10F1"/>
    <w:rsid w:val="002B4762"/>
    <w:rsid w:val="002B565A"/>
    <w:rsid w:val="002B71D2"/>
    <w:rsid w:val="002C1326"/>
    <w:rsid w:val="002C1A7E"/>
    <w:rsid w:val="002C2893"/>
    <w:rsid w:val="002C292E"/>
    <w:rsid w:val="002C3718"/>
    <w:rsid w:val="002C4126"/>
    <w:rsid w:val="002C5534"/>
    <w:rsid w:val="002C5955"/>
    <w:rsid w:val="002C5BFD"/>
    <w:rsid w:val="002C67A8"/>
    <w:rsid w:val="002C7316"/>
    <w:rsid w:val="002C73DF"/>
    <w:rsid w:val="002D028E"/>
    <w:rsid w:val="002D12BB"/>
    <w:rsid w:val="002D20E7"/>
    <w:rsid w:val="002D2178"/>
    <w:rsid w:val="002D2C7E"/>
    <w:rsid w:val="002D2CC4"/>
    <w:rsid w:val="002D2D5C"/>
    <w:rsid w:val="002D2FD2"/>
    <w:rsid w:val="002D4563"/>
    <w:rsid w:val="002D58EA"/>
    <w:rsid w:val="002D7242"/>
    <w:rsid w:val="002E13A4"/>
    <w:rsid w:val="002E24AA"/>
    <w:rsid w:val="002E3C39"/>
    <w:rsid w:val="002E525D"/>
    <w:rsid w:val="002F13B0"/>
    <w:rsid w:val="002F2EEF"/>
    <w:rsid w:val="002F3E31"/>
    <w:rsid w:val="002F58D0"/>
    <w:rsid w:val="002F67D9"/>
    <w:rsid w:val="002F69F1"/>
    <w:rsid w:val="002F70E7"/>
    <w:rsid w:val="003015B5"/>
    <w:rsid w:val="0030244C"/>
    <w:rsid w:val="003030A7"/>
    <w:rsid w:val="00304581"/>
    <w:rsid w:val="00305030"/>
    <w:rsid w:val="003052E9"/>
    <w:rsid w:val="00310E3D"/>
    <w:rsid w:val="00311ED0"/>
    <w:rsid w:val="00311FE4"/>
    <w:rsid w:val="003132FA"/>
    <w:rsid w:val="00314933"/>
    <w:rsid w:val="0031497D"/>
    <w:rsid w:val="00316296"/>
    <w:rsid w:val="00316D48"/>
    <w:rsid w:val="00320EE5"/>
    <w:rsid w:val="003236DA"/>
    <w:rsid w:val="003244E5"/>
    <w:rsid w:val="00324C60"/>
    <w:rsid w:val="00326131"/>
    <w:rsid w:val="00326482"/>
    <w:rsid w:val="003302E9"/>
    <w:rsid w:val="00330EED"/>
    <w:rsid w:val="00331B26"/>
    <w:rsid w:val="00332B62"/>
    <w:rsid w:val="003351B7"/>
    <w:rsid w:val="0033631A"/>
    <w:rsid w:val="00336946"/>
    <w:rsid w:val="00337A53"/>
    <w:rsid w:val="00340D15"/>
    <w:rsid w:val="00341BA8"/>
    <w:rsid w:val="00343117"/>
    <w:rsid w:val="00343A77"/>
    <w:rsid w:val="00344166"/>
    <w:rsid w:val="00346B57"/>
    <w:rsid w:val="00347EDE"/>
    <w:rsid w:val="00351FA4"/>
    <w:rsid w:val="00351FDE"/>
    <w:rsid w:val="003524BA"/>
    <w:rsid w:val="00352FD0"/>
    <w:rsid w:val="00354D09"/>
    <w:rsid w:val="00355BED"/>
    <w:rsid w:val="0035645A"/>
    <w:rsid w:val="00357C1E"/>
    <w:rsid w:val="00357D46"/>
    <w:rsid w:val="003604C3"/>
    <w:rsid w:val="003605D5"/>
    <w:rsid w:val="00361432"/>
    <w:rsid w:val="00362EE3"/>
    <w:rsid w:val="00362EFB"/>
    <w:rsid w:val="00363276"/>
    <w:rsid w:val="00364F10"/>
    <w:rsid w:val="00365698"/>
    <w:rsid w:val="00367685"/>
    <w:rsid w:val="00367A82"/>
    <w:rsid w:val="003702EB"/>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366E"/>
    <w:rsid w:val="00384141"/>
    <w:rsid w:val="003856AA"/>
    <w:rsid w:val="00386007"/>
    <w:rsid w:val="003861AC"/>
    <w:rsid w:val="003862A5"/>
    <w:rsid w:val="00390249"/>
    <w:rsid w:val="00391F56"/>
    <w:rsid w:val="00393543"/>
    <w:rsid w:val="00393947"/>
    <w:rsid w:val="003953C7"/>
    <w:rsid w:val="003A03DC"/>
    <w:rsid w:val="003A1975"/>
    <w:rsid w:val="003A1DE1"/>
    <w:rsid w:val="003A39A0"/>
    <w:rsid w:val="003A3E2A"/>
    <w:rsid w:val="003B0286"/>
    <w:rsid w:val="003B0466"/>
    <w:rsid w:val="003B091A"/>
    <w:rsid w:val="003B1C33"/>
    <w:rsid w:val="003B254D"/>
    <w:rsid w:val="003B298F"/>
    <w:rsid w:val="003B69AA"/>
    <w:rsid w:val="003C2C2F"/>
    <w:rsid w:val="003C3023"/>
    <w:rsid w:val="003C39D1"/>
    <w:rsid w:val="003C7AAF"/>
    <w:rsid w:val="003C7B7D"/>
    <w:rsid w:val="003D2D5E"/>
    <w:rsid w:val="003D497C"/>
    <w:rsid w:val="003D52EA"/>
    <w:rsid w:val="003D566D"/>
    <w:rsid w:val="003D58F7"/>
    <w:rsid w:val="003D5BF8"/>
    <w:rsid w:val="003D5D5A"/>
    <w:rsid w:val="003D5F35"/>
    <w:rsid w:val="003D6018"/>
    <w:rsid w:val="003E0602"/>
    <w:rsid w:val="003E0915"/>
    <w:rsid w:val="003E0BD4"/>
    <w:rsid w:val="003E12B1"/>
    <w:rsid w:val="003E1787"/>
    <w:rsid w:val="003E22FC"/>
    <w:rsid w:val="003E4657"/>
    <w:rsid w:val="003F0EB9"/>
    <w:rsid w:val="003F2EC0"/>
    <w:rsid w:val="003F40D1"/>
    <w:rsid w:val="003F42F7"/>
    <w:rsid w:val="003F4970"/>
    <w:rsid w:val="003F540E"/>
    <w:rsid w:val="003F694A"/>
    <w:rsid w:val="003F7222"/>
    <w:rsid w:val="003F7564"/>
    <w:rsid w:val="003F7CE6"/>
    <w:rsid w:val="003F7D78"/>
    <w:rsid w:val="00402B08"/>
    <w:rsid w:val="00405B03"/>
    <w:rsid w:val="00405FDF"/>
    <w:rsid w:val="004068EA"/>
    <w:rsid w:val="004075B6"/>
    <w:rsid w:val="00407F14"/>
    <w:rsid w:val="00410E4D"/>
    <w:rsid w:val="00411C38"/>
    <w:rsid w:val="0041238E"/>
    <w:rsid w:val="004150FB"/>
    <w:rsid w:val="00415BE4"/>
    <w:rsid w:val="00420952"/>
    <w:rsid w:val="00422E2D"/>
    <w:rsid w:val="00423C0E"/>
    <w:rsid w:val="00423DB4"/>
    <w:rsid w:val="0042425C"/>
    <w:rsid w:val="004247FB"/>
    <w:rsid w:val="004271A0"/>
    <w:rsid w:val="0042742A"/>
    <w:rsid w:val="004306C0"/>
    <w:rsid w:val="00431F8B"/>
    <w:rsid w:val="004325AB"/>
    <w:rsid w:val="00437008"/>
    <w:rsid w:val="00440CCA"/>
    <w:rsid w:val="00442D76"/>
    <w:rsid w:val="004440AF"/>
    <w:rsid w:val="00446BEE"/>
    <w:rsid w:val="00450E6D"/>
    <w:rsid w:val="004518F7"/>
    <w:rsid w:val="0045334C"/>
    <w:rsid w:val="004539A8"/>
    <w:rsid w:val="004539D9"/>
    <w:rsid w:val="00454993"/>
    <w:rsid w:val="00454CCA"/>
    <w:rsid w:val="00455B14"/>
    <w:rsid w:val="00456B1D"/>
    <w:rsid w:val="00461C01"/>
    <w:rsid w:val="00462507"/>
    <w:rsid w:val="00462AFA"/>
    <w:rsid w:val="0046325E"/>
    <w:rsid w:val="0046445C"/>
    <w:rsid w:val="0046709A"/>
    <w:rsid w:val="00470A53"/>
    <w:rsid w:val="00472CEC"/>
    <w:rsid w:val="00474FE4"/>
    <w:rsid w:val="00475C7C"/>
    <w:rsid w:val="00475D8E"/>
    <w:rsid w:val="00476940"/>
    <w:rsid w:val="0047731B"/>
    <w:rsid w:val="004824B6"/>
    <w:rsid w:val="00482C01"/>
    <w:rsid w:val="00483498"/>
    <w:rsid w:val="0048353B"/>
    <w:rsid w:val="00485AA1"/>
    <w:rsid w:val="00486953"/>
    <w:rsid w:val="00486D81"/>
    <w:rsid w:val="004907E0"/>
    <w:rsid w:val="00490D48"/>
    <w:rsid w:val="0049285D"/>
    <w:rsid w:val="00492AC8"/>
    <w:rsid w:val="00492CB6"/>
    <w:rsid w:val="00496B1E"/>
    <w:rsid w:val="00497AD3"/>
    <w:rsid w:val="004A0BF8"/>
    <w:rsid w:val="004A13E2"/>
    <w:rsid w:val="004A1FB6"/>
    <w:rsid w:val="004A237B"/>
    <w:rsid w:val="004A517E"/>
    <w:rsid w:val="004A664D"/>
    <w:rsid w:val="004B12F9"/>
    <w:rsid w:val="004B1325"/>
    <w:rsid w:val="004B2700"/>
    <w:rsid w:val="004B3145"/>
    <w:rsid w:val="004B4360"/>
    <w:rsid w:val="004B5F89"/>
    <w:rsid w:val="004B686A"/>
    <w:rsid w:val="004B688D"/>
    <w:rsid w:val="004B7792"/>
    <w:rsid w:val="004C101D"/>
    <w:rsid w:val="004C1945"/>
    <w:rsid w:val="004C3670"/>
    <w:rsid w:val="004C3BFD"/>
    <w:rsid w:val="004C5C89"/>
    <w:rsid w:val="004D1267"/>
    <w:rsid w:val="004D26AD"/>
    <w:rsid w:val="004D2897"/>
    <w:rsid w:val="004D39E2"/>
    <w:rsid w:val="004D756F"/>
    <w:rsid w:val="004E0E78"/>
    <w:rsid w:val="004E4C4B"/>
    <w:rsid w:val="004E54B6"/>
    <w:rsid w:val="004F242D"/>
    <w:rsid w:val="004F2A79"/>
    <w:rsid w:val="004F3269"/>
    <w:rsid w:val="004F7D3A"/>
    <w:rsid w:val="005001FC"/>
    <w:rsid w:val="00500B02"/>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27C9A"/>
    <w:rsid w:val="005343E1"/>
    <w:rsid w:val="005353CB"/>
    <w:rsid w:val="00535CCD"/>
    <w:rsid w:val="005409CD"/>
    <w:rsid w:val="00545970"/>
    <w:rsid w:val="00545D8A"/>
    <w:rsid w:val="00546BC5"/>
    <w:rsid w:val="00550783"/>
    <w:rsid w:val="005508EE"/>
    <w:rsid w:val="00550EDE"/>
    <w:rsid w:val="00550F6A"/>
    <w:rsid w:val="005529CB"/>
    <w:rsid w:val="005536FB"/>
    <w:rsid w:val="00555CC8"/>
    <w:rsid w:val="00556B58"/>
    <w:rsid w:val="005577FA"/>
    <w:rsid w:val="00563BD0"/>
    <w:rsid w:val="0056425E"/>
    <w:rsid w:val="00565745"/>
    <w:rsid w:val="00566FFF"/>
    <w:rsid w:val="0056705D"/>
    <w:rsid w:val="005705B2"/>
    <w:rsid w:val="00571370"/>
    <w:rsid w:val="00575207"/>
    <w:rsid w:val="00577C83"/>
    <w:rsid w:val="00580FF4"/>
    <w:rsid w:val="00583913"/>
    <w:rsid w:val="005842A7"/>
    <w:rsid w:val="00584C95"/>
    <w:rsid w:val="00584CC9"/>
    <w:rsid w:val="00585C10"/>
    <w:rsid w:val="00585FCF"/>
    <w:rsid w:val="00586210"/>
    <w:rsid w:val="00586316"/>
    <w:rsid w:val="00590687"/>
    <w:rsid w:val="00590E29"/>
    <w:rsid w:val="005924DA"/>
    <w:rsid w:val="005935C0"/>
    <w:rsid w:val="0059485B"/>
    <w:rsid w:val="00596607"/>
    <w:rsid w:val="00596F7C"/>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D51C1"/>
    <w:rsid w:val="005E0AC1"/>
    <w:rsid w:val="005E2508"/>
    <w:rsid w:val="005E2BC6"/>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07A9C"/>
    <w:rsid w:val="0061221F"/>
    <w:rsid w:val="00614078"/>
    <w:rsid w:val="006150A0"/>
    <w:rsid w:val="0061749A"/>
    <w:rsid w:val="0062228B"/>
    <w:rsid w:val="00624430"/>
    <w:rsid w:val="00625AEE"/>
    <w:rsid w:val="00627687"/>
    <w:rsid w:val="006276D1"/>
    <w:rsid w:val="006279C2"/>
    <w:rsid w:val="00637BEF"/>
    <w:rsid w:val="00637F2A"/>
    <w:rsid w:val="00640C1F"/>
    <w:rsid w:val="00642C45"/>
    <w:rsid w:val="0064313B"/>
    <w:rsid w:val="0064319B"/>
    <w:rsid w:val="006434DF"/>
    <w:rsid w:val="0064604F"/>
    <w:rsid w:val="00651D20"/>
    <w:rsid w:val="006523CB"/>
    <w:rsid w:val="0065348A"/>
    <w:rsid w:val="006557A6"/>
    <w:rsid w:val="00657C65"/>
    <w:rsid w:val="00660757"/>
    <w:rsid w:val="00661EF7"/>
    <w:rsid w:val="006635D1"/>
    <w:rsid w:val="0066375D"/>
    <w:rsid w:val="0066377F"/>
    <w:rsid w:val="006639FD"/>
    <w:rsid w:val="00664F8F"/>
    <w:rsid w:val="00666A4E"/>
    <w:rsid w:val="00667C21"/>
    <w:rsid w:val="00667CFA"/>
    <w:rsid w:val="00670FFB"/>
    <w:rsid w:val="006775AB"/>
    <w:rsid w:val="006775E1"/>
    <w:rsid w:val="006802CA"/>
    <w:rsid w:val="006814B9"/>
    <w:rsid w:val="00683039"/>
    <w:rsid w:val="0068417E"/>
    <w:rsid w:val="00684913"/>
    <w:rsid w:val="00684E13"/>
    <w:rsid w:val="00685588"/>
    <w:rsid w:val="006862FD"/>
    <w:rsid w:val="00686D56"/>
    <w:rsid w:val="00691C48"/>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A61"/>
    <w:rsid w:val="006D6BD0"/>
    <w:rsid w:val="006E09CB"/>
    <w:rsid w:val="006E0ED7"/>
    <w:rsid w:val="006E2124"/>
    <w:rsid w:val="006E23A2"/>
    <w:rsid w:val="006E303F"/>
    <w:rsid w:val="006E42AC"/>
    <w:rsid w:val="006E46C1"/>
    <w:rsid w:val="006E4E37"/>
    <w:rsid w:val="006E5D76"/>
    <w:rsid w:val="006E7F32"/>
    <w:rsid w:val="006F17D4"/>
    <w:rsid w:val="006F255A"/>
    <w:rsid w:val="006F2843"/>
    <w:rsid w:val="006F6463"/>
    <w:rsid w:val="007018EB"/>
    <w:rsid w:val="0070542C"/>
    <w:rsid w:val="007067D1"/>
    <w:rsid w:val="0071046B"/>
    <w:rsid w:val="00713287"/>
    <w:rsid w:val="007136A7"/>
    <w:rsid w:val="007139DD"/>
    <w:rsid w:val="007143AC"/>
    <w:rsid w:val="00716007"/>
    <w:rsid w:val="00716835"/>
    <w:rsid w:val="00716ACF"/>
    <w:rsid w:val="00716D6E"/>
    <w:rsid w:val="007210C5"/>
    <w:rsid w:val="00726FF0"/>
    <w:rsid w:val="00727230"/>
    <w:rsid w:val="00727E37"/>
    <w:rsid w:val="00730AA4"/>
    <w:rsid w:val="0073113B"/>
    <w:rsid w:val="007316B6"/>
    <w:rsid w:val="00732C44"/>
    <w:rsid w:val="00734CC7"/>
    <w:rsid w:val="00735337"/>
    <w:rsid w:val="00736348"/>
    <w:rsid w:val="00736448"/>
    <w:rsid w:val="00736D41"/>
    <w:rsid w:val="00736E0A"/>
    <w:rsid w:val="00737F84"/>
    <w:rsid w:val="00740203"/>
    <w:rsid w:val="00740266"/>
    <w:rsid w:val="0074136C"/>
    <w:rsid w:val="007434C4"/>
    <w:rsid w:val="00743CE9"/>
    <w:rsid w:val="00744149"/>
    <w:rsid w:val="007469C6"/>
    <w:rsid w:val="00746C13"/>
    <w:rsid w:val="00747087"/>
    <w:rsid w:val="00747C1C"/>
    <w:rsid w:val="007522A0"/>
    <w:rsid w:val="00752F55"/>
    <w:rsid w:val="00754D04"/>
    <w:rsid w:val="00756BA3"/>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7636A"/>
    <w:rsid w:val="007813D2"/>
    <w:rsid w:val="007825BE"/>
    <w:rsid w:val="007831FB"/>
    <w:rsid w:val="007839C3"/>
    <w:rsid w:val="00783E53"/>
    <w:rsid w:val="00785266"/>
    <w:rsid w:val="00785616"/>
    <w:rsid w:val="007859FC"/>
    <w:rsid w:val="007910D0"/>
    <w:rsid w:val="00791BB8"/>
    <w:rsid w:val="00792D69"/>
    <w:rsid w:val="007947C5"/>
    <w:rsid w:val="007969DF"/>
    <w:rsid w:val="00796B64"/>
    <w:rsid w:val="0079772A"/>
    <w:rsid w:val="007977F2"/>
    <w:rsid w:val="007A515A"/>
    <w:rsid w:val="007A67DC"/>
    <w:rsid w:val="007B1A6C"/>
    <w:rsid w:val="007B5378"/>
    <w:rsid w:val="007B66FC"/>
    <w:rsid w:val="007B79AC"/>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698"/>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26B"/>
    <w:rsid w:val="00817C3D"/>
    <w:rsid w:val="00820118"/>
    <w:rsid w:val="008219DF"/>
    <w:rsid w:val="00822301"/>
    <w:rsid w:val="00822F81"/>
    <w:rsid w:val="00826926"/>
    <w:rsid w:val="008274B0"/>
    <w:rsid w:val="0082752E"/>
    <w:rsid w:val="008318F6"/>
    <w:rsid w:val="0083313E"/>
    <w:rsid w:val="008331BB"/>
    <w:rsid w:val="008338B5"/>
    <w:rsid w:val="00833A70"/>
    <w:rsid w:val="00833D43"/>
    <w:rsid w:val="00840FF7"/>
    <w:rsid w:val="00841169"/>
    <w:rsid w:val="00843E22"/>
    <w:rsid w:val="00844032"/>
    <w:rsid w:val="008443D8"/>
    <w:rsid w:val="008445E7"/>
    <w:rsid w:val="00847D3A"/>
    <w:rsid w:val="00855549"/>
    <w:rsid w:val="00856B4E"/>
    <w:rsid w:val="0086032D"/>
    <w:rsid w:val="00861B3D"/>
    <w:rsid w:val="00862879"/>
    <w:rsid w:val="00865C6A"/>
    <w:rsid w:val="00865CE7"/>
    <w:rsid w:val="0086701C"/>
    <w:rsid w:val="00867262"/>
    <w:rsid w:val="00870BDD"/>
    <w:rsid w:val="008717F1"/>
    <w:rsid w:val="00876D05"/>
    <w:rsid w:val="00876F5C"/>
    <w:rsid w:val="00877D70"/>
    <w:rsid w:val="00880ED3"/>
    <w:rsid w:val="00881150"/>
    <w:rsid w:val="00882BD3"/>
    <w:rsid w:val="00883721"/>
    <w:rsid w:val="008850AA"/>
    <w:rsid w:val="00890137"/>
    <w:rsid w:val="008904D0"/>
    <w:rsid w:val="008922E4"/>
    <w:rsid w:val="008924E3"/>
    <w:rsid w:val="0089270D"/>
    <w:rsid w:val="00894CEC"/>
    <w:rsid w:val="008A084D"/>
    <w:rsid w:val="008A1DAE"/>
    <w:rsid w:val="008A247E"/>
    <w:rsid w:val="008A2C2A"/>
    <w:rsid w:val="008A35A2"/>
    <w:rsid w:val="008A3D62"/>
    <w:rsid w:val="008A6605"/>
    <w:rsid w:val="008A6A0C"/>
    <w:rsid w:val="008A6AF3"/>
    <w:rsid w:val="008A6FC8"/>
    <w:rsid w:val="008A7B47"/>
    <w:rsid w:val="008B0A0B"/>
    <w:rsid w:val="008B183A"/>
    <w:rsid w:val="008B43D6"/>
    <w:rsid w:val="008B4B98"/>
    <w:rsid w:val="008B6827"/>
    <w:rsid w:val="008B6E53"/>
    <w:rsid w:val="008C183F"/>
    <w:rsid w:val="008C1C95"/>
    <w:rsid w:val="008C3D9F"/>
    <w:rsid w:val="008C4122"/>
    <w:rsid w:val="008C669E"/>
    <w:rsid w:val="008D0D92"/>
    <w:rsid w:val="008D2A77"/>
    <w:rsid w:val="008D2EC9"/>
    <w:rsid w:val="008D62F8"/>
    <w:rsid w:val="008D64B7"/>
    <w:rsid w:val="008D652E"/>
    <w:rsid w:val="008D6A3E"/>
    <w:rsid w:val="008D6A81"/>
    <w:rsid w:val="008E1B3C"/>
    <w:rsid w:val="008E4419"/>
    <w:rsid w:val="008E56A4"/>
    <w:rsid w:val="008E5BA8"/>
    <w:rsid w:val="008E664D"/>
    <w:rsid w:val="008E6FCA"/>
    <w:rsid w:val="008F2FAE"/>
    <w:rsid w:val="008F4B70"/>
    <w:rsid w:val="008F4E22"/>
    <w:rsid w:val="008F4ED3"/>
    <w:rsid w:val="008F61C4"/>
    <w:rsid w:val="009000B5"/>
    <w:rsid w:val="009019A9"/>
    <w:rsid w:val="009024BF"/>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475C"/>
    <w:rsid w:val="00925F15"/>
    <w:rsid w:val="0092757A"/>
    <w:rsid w:val="00930715"/>
    <w:rsid w:val="0093101C"/>
    <w:rsid w:val="00931624"/>
    <w:rsid w:val="0093543E"/>
    <w:rsid w:val="0093773F"/>
    <w:rsid w:val="00937897"/>
    <w:rsid w:val="00937E8B"/>
    <w:rsid w:val="00943F89"/>
    <w:rsid w:val="009460E7"/>
    <w:rsid w:val="00947483"/>
    <w:rsid w:val="00947FDB"/>
    <w:rsid w:val="00952219"/>
    <w:rsid w:val="009539B0"/>
    <w:rsid w:val="009543A4"/>
    <w:rsid w:val="00954976"/>
    <w:rsid w:val="00955F17"/>
    <w:rsid w:val="009562D0"/>
    <w:rsid w:val="00957124"/>
    <w:rsid w:val="00960B9B"/>
    <w:rsid w:val="00960CC3"/>
    <w:rsid w:val="0096180D"/>
    <w:rsid w:val="00961E3B"/>
    <w:rsid w:val="00962360"/>
    <w:rsid w:val="009669AD"/>
    <w:rsid w:val="00966EB0"/>
    <w:rsid w:val="00970115"/>
    <w:rsid w:val="00970665"/>
    <w:rsid w:val="0097215E"/>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0DFB"/>
    <w:rsid w:val="009A23F7"/>
    <w:rsid w:val="009A2B2A"/>
    <w:rsid w:val="009A3113"/>
    <w:rsid w:val="009A38DA"/>
    <w:rsid w:val="009A3F7F"/>
    <w:rsid w:val="009A4775"/>
    <w:rsid w:val="009A520F"/>
    <w:rsid w:val="009A75C4"/>
    <w:rsid w:val="009B0897"/>
    <w:rsid w:val="009B0E59"/>
    <w:rsid w:val="009B1DFB"/>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10ED"/>
    <w:rsid w:val="009E3151"/>
    <w:rsid w:val="009E45A4"/>
    <w:rsid w:val="009E680B"/>
    <w:rsid w:val="009F1902"/>
    <w:rsid w:val="009F3942"/>
    <w:rsid w:val="009F4086"/>
    <w:rsid w:val="009F4F44"/>
    <w:rsid w:val="009F7239"/>
    <w:rsid w:val="00A02459"/>
    <w:rsid w:val="00A0249B"/>
    <w:rsid w:val="00A0479E"/>
    <w:rsid w:val="00A05C88"/>
    <w:rsid w:val="00A0646C"/>
    <w:rsid w:val="00A06A28"/>
    <w:rsid w:val="00A07644"/>
    <w:rsid w:val="00A11761"/>
    <w:rsid w:val="00A11ECD"/>
    <w:rsid w:val="00A12BE0"/>
    <w:rsid w:val="00A13118"/>
    <w:rsid w:val="00A137EF"/>
    <w:rsid w:val="00A144F8"/>
    <w:rsid w:val="00A15651"/>
    <w:rsid w:val="00A1592C"/>
    <w:rsid w:val="00A15A1F"/>
    <w:rsid w:val="00A16F4B"/>
    <w:rsid w:val="00A17B57"/>
    <w:rsid w:val="00A2190D"/>
    <w:rsid w:val="00A2292E"/>
    <w:rsid w:val="00A240EE"/>
    <w:rsid w:val="00A25B7F"/>
    <w:rsid w:val="00A264CE"/>
    <w:rsid w:val="00A3050E"/>
    <w:rsid w:val="00A305B3"/>
    <w:rsid w:val="00A32C40"/>
    <w:rsid w:val="00A3325A"/>
    <w:rsid w:val="00A4094A"/>
    <w:rsid w:val="00A426BE"/>
    <w:rsid w:val="00A47852"/>
    <w:rsid w:val="00A50F8D"/>
    <w:rsid w:val="00A526EF"/>
    <w:rsid w:val="00A53E97"/>
    <w:rsid w:val="00A54F81"/>
    <w:rsid w:val="00A54F9E"/>
    <w:rsid w:val="00A57BD0"/>
    <w:rsid w:val="00A60794"/>
    <w:rsid w:val="00A611CE"/>
    <w:rsid w:val="00A614C6"/>
    <w:rsid w:val="00A7018B"/>
    <w:rsid w:val="00A70A7A"/>
    <w:rsid w:val="00A71410"/>
    <w:rsid w:val="00A71DC3"/>
    <w:rsid w:val="00A739EC"/>
    <w:rsid w:val="00A73A11"/>
    <w:rsid w:val="00A74474"/>
    <w:rsid w:val="00A74AE2"/>
    <w:rsid w:val="00A756BB"/>
    <w:rsid w:val="00A77B63"/>
    <w:rsid w:val="00A80975"/>
    <w:rsid w:val="00A80F87"/>
    <w:rsid w:val="00A81B0E"/>
    <w:rsid w:val="00A8249A"/>
    <w:rsid w:val="00A85968"/>
    <w:rsid w:val="00A866E2"/>
    <w:rsid w:val="00A86ABB"/>
    <w:rsid w:val="00A879B5"/>
    <w:rsid w:val="00A90FB2"/>
    <w:rsid w:val="00A922F5"/>
    <w:rsid w:val="00A9269F"/>
    <w:rsid w:val="00A9270F"/>
    <w:rsid w:val="00A95606"/>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2638"/>
    <w:rsid w:val="00AC2744"/>
    <w:rsid w:val="00AC2E5E"/>
    <w:rsid w:val="00AC63A6"/>
    <w:rsid w:val="00AC7C93"/>
    <w:rsid w:val="00AD09F8"/>
    <w:rsid w:val="00AD23FF"/>
    <w:rsid w:val="00AD252E"/>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2C3D"/>
    <w:rsid w:val="00AF5D31"/>
    <w:rsid w:val="00AF6DD8"/>
    <w:rsid w:val="00B01831"/>
    <w:rsid w:val="00B0269C"/>
    <w:rsid w:val="00B02E55"/>
    <w:rsid w:val="00B03527"/>
    <w:rsid w:val="00B0389A"/>
    <w:rsid w:val="00B04D97"/>
    <w:rsid w:val="00B0538C"/>
    <w:rsid w:val="00B05823"/>
    <w:rsid w:val="00B06D4E"/>
    <w:rsid w:val="00B11A62"/>
    <w:rsid w:val="00B11E02"/>
    <w:rsid w:val="00B14C5C"/>
    <w:rsid w:val="00B14C68"/>
    <w:rsid w:val="00B14DDE"/>
    <w:rsid w:val="00B157D0"/>
    <w:rsid w:val="00B15EF3"/>
    <w:rsid w:val="00B17751"/>
    <w:rsid w:val="00B17DE0"/>
    <w:rsid w:val="00B22A36"/>
    <w:rsid w:val="00B23CD8"/>
    <w:rsid w:val="00B265EB"/>
    <w:rsid w:val="00B26F03"/>
    <w:rsid w:val="00B27031"/>
    <w:rsid w:val="00B307EC"/>
    <w:rsid w:val="00B32429"/>
    <w:rsid w:val="00B341DA"/>
    <w:rsid w:val="00B3606A"/>
    <w:rsid w:val="00B41644"/>
    <w:rsid w:val="00B44CE2"/>
    <w:rsid w:val="00B453BB"/>
    <w:rsid w:val="00B50B39"/>
    <w:rsid w:val="00B53A23"/>
    <w:rsid w:val="00B54BE5"/>
    <w:rsid w:val="00B55D4E"/>
    <w:rsid w:val="00B570F4"/>
    <w:rsid w:val="00B57BE4"/>
    <w:rsid w:val="00B65A71"/>
    <w:rsid w:val="00B65D8C"/>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204C"/>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34C9"/>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5B2C"/>
    <w:rsid w:val="00BD674E"/>
    <w:rsid w:val="00BE0A8E"/>
    <w:rsid w:val="00BE10A8"/>
    <w:rsid w:val="00BE1898"/>
    <w:rsid w:val="00BE1F45"/>
    <w:rsid w:val="00BE2BC8"/>
    <w:rsid w:val="00BE387B"/>
    <w:rsid w:val="00BE550C"/>
    <w:rsid w:val="00BE5835"/>
    <w:rsid w:val="00BE5D71"/>
    <w:rsid w:val="00BE7D2D"/>
    <w:rsid w:val="00BF0116"/>
    <w:rsid w:val="00BF1474"/>
    <w:rsid w:val="00BF24FE"/>
    <w:rsid w:val="00BF28F7"/>
    <w:rsid w:val="00BF3B0A"/>
    <w:rsid w:val="00BF4B06"/>
    <w:rsid w:val="00BF54C1"/>
    <w:rsid w:val="00BF5BDB"/>
    <w:rsid w:val="00BF728D"/>
    <w:rsid w:val="00BF7FE0"/>
    <w:rsid w:val="00C0050E"/>
    <w:rsid w:val="00C026AC"/>
    <w:rsid w:val="00C0570D"/>
    <w:rsid w:val="00C07605"/>
    <w:rsid w:val="00C130C8"/>
    <w:rsid w:val="00C13168"/>
    <w:rsid w:val="00C13F60"/>
    <w:rsid w:val="00C14404"/>
    <w:rsid w:val="00C1501A"/>
    <w:rsid w:val="00C17D6A"/>
    <w:rsid w:val="00C203C9"/>
    <w:rsid w:val="00C21CB4"/>
    <w:rsid w:val="00C22A89"/>
    <w:rsid w:val="00C22E43"/>
    <w:rsid w:val="00C23238"/>
    <w:rsid w:val="00C235DF"/>
    <w:rsid w:val="00C2539E"/>
    <w:rsid w:val="00C26422"/>
    <w:rsid w:val="00C278DE"/>
    <w:rsid w:val="00C2796B"/>
    <w:rsid w:val="00C3004B"/>
    <w:rsid w:val="00C31F4C"/>
    <w:rsid w:val="00C3209A"/>
    <w:rsid w:val="00C32ADC"/>
    <w:rsid w:val="00C35755"/>
    <w:rsid w:val="00C42E13"/>
    <w:rsid w:val="00C4427F"/>
    <w:rsid w:val="00C47DDE"/>
    <w:rsid w:val="00C50912"/>
    <w:rsid w:val="00C50D19"/>
    <w:rsid w:val="00C50FF0"/>
    <w:rsid w:val="00C56073"/>
    <w:rsid w:val="00C578C1"/>
    <w:rsid w:val="00C57CD5"/>
    <w:rsid w:val="00C57E04"/>
    <w:rsid w:val="00C63347"/>
    <w:rsid w:val="00C64D23"/>
    <w:rsid w:val="00C67B74"/>
    <w:rsid w:val="00C7123A"/>
    <w:rsid w:val="00C7128F"/>
    <w:rsid w:val="00C71666"/>
    <w:rsid w:val="00C7331B"/>
    <w:rsid w:val="00C74667"/>
    <w:rsid w:val="00C74D07"/>
    <w:rsid w:val="00C803FD"/>
    <w:rsid w:val="00C80E5D"/>
    <w:rsid w:val="00C80EB4"/>
    <w:rsid w:val="00C8156F"/>
    <w:rsid w:val="00C86682"/>
    <w:rsid w:val="00C90846"/>
    <w:rsid w:val="00C92700"/>
    <w:rsid w:val="00C92E3F"/>
    <w:rsid w:val="00C94681"/>
    <w:rsid w:val="00CA08B1"/>
    <w:rsid w:val="00CA0D8B"/>
    <w:rsid w:val="00CA129E"/>
    <w:rsid w:val="00CA20B5"/>
    <w:rsid w:val="00CA3562"/>
    <w:rsid w:val="00CA371D"/>
    <w:rsid w:val="00CA6681"/>
    <w:rsid w:val="00CA77AE"/>
    <w:rsid w:val="00CB0A27"/>
    <w:rsid w:val="00CB10FB"/>
    <w:rsid w:val="00CB2154"/>
    <w:rsid w:val="00CB35D9"/>
    <w:rsid w:val="00CB4A8A"/>
    <w:rsid w:val="00CB60DD"/>
    <w:rsid w:val="00CB6E1F"/>
    <w:rsid w:val="00CB7883"/>
    <w:rsid w:val="00CB7E4D"/>
    <w:rsid w:val="00CC04DE"/>
    <w:rsid w:val="00CC106D"/>
    <w:rsid w:val="00CC12E7"/>
    <w:rsid w:val="00CC3F84"/>
    <w:rsid w:val="00CC51D9"/>
    <w:rsid w:val="00CC6E2D"/>
    <w:rsid w:val="00CD24A8"/>
    <w:rsid w:val="00CD315A"/>
    <w:rsid w:val="00CD319A"/>
    <w:rsid w:val="00CD5502"/>
    <w:rsid w:val="00CE0526"/>
    <w:rsid w:val="00CE1ED9"/>
    <w:rsid w:val="00CE3665"/>
    <w:rsid w:val="00CE42A4"/>
    <w:rsid w:val="00CE4F42"/>
    <w:rsid w:val="00CE5520"/>
    <w:rsid w:val="00CE7520"/>
    <w:rsid w:val="00CF0BB4"/>
    <w:rsid w:val="00CF1333"/>
    <w:rsid w:val="00CF1BB4"/>
    <w:rsid w:val="00CF2FF8"/>
    <w:rsid w:val="00CF3F6B"/>
    <w:rsid w:val="00CF4851"/>
    <w:rsid w:val="00CF58B7"/>
    <w:rsid w:val="00CF5DD6"/>
    <w:rsid w:val="00CF6D9F"/>
    <w:rsid w:val="00D0069F"/>
    <w:rsid w:val="00D007C0"/>
    <w:rsid w:val="00D05493"/>
    <w:rsid w:val="00D0633E"/>
    <w:rsid w:val="00D103E1"/>
    <w:rsid w:val="00D11C27"/>
    <w:rsid w:val="00D12272"/>
    <w:rsid w:val="00D13EFE"/>
    <w:rsid w:val="00D145F5"/>
    <w:rsid w:val="00D148D5"/>
    <w:rsid w:val="00D16E6A"/>
    <w:rsid w:val="00D172EA"/>
    <w:rsid w:val="00D1792B"/>
    <w:rsid w:val="00D224A1"/>
    <w:rsid w:val="00D2279D"/>
    <w:rsid w:val="00D2772A"/>
    <w:rsid w:val="00D27A6C"/>
    <w:rsid w:val="00D30AF6"/>
    <w:rsid w:val="00D33FC2"/>
    <w:rsid w:val="00D349ED"/>
    <w:rsid w:val="00D35062"/>
    <w:rsid w:val="00D351C1"/>
    <w:rsid w:val="00D35E64"/>
    <w:rsid w:val="00D36CA3"/>
    <w:rsid w:val="00D402DF"/>
    <w:rsid w:val="00D41537"/>
    <w:rsid w:val="00D4249C"/>
    <w:rsid w:val="00D428BC"/>
    <w:rsid w:val="00D4401C"/>
    <w:rsid w:val="00D44776"/>
    <w:rsid w:val="00D44CE7"/>
    <w:rsid w:val="00D45804"/>
    <w:rsid w:val="00D45ACC"/>
    <w:rsid w:val="00D468AE"/>
    <w:rsid w:val="00D46BC7"/>
    <w:rsid w:val="00D47082"/>
    <w:rsid w:val="00D51245"/>
    <w:rsid w:val="00D532B8"/>
    <w:rsid w:val="00D54B6F"/>
    <w:rsid w:val="00D54E73"/>
    <w:rsid w:val="00D56CF6"/>
    <w:rsid w:val="00D56F28"/>
    <w:rsid w:val="00D575A3"/>
    <w:rsid w:val="00D613A6"/>
    <w:rsid w:val="00D61462"/>
    <w:rsid w:val="00D617A6"/>
    <w:rsid w:val="00D650EA"/>
    <w:rsid w:val="00D65651"/>
    <w:rsid w:val="00D72C40"/>
    <w:rsid w:val="00D73532"/>
    <w:rsid w:val="00D737C5"/>
    <w:rsid w:val="00D73835"/>
    <w:rsid w:val="00D76F5A"/>
    <w:rsid w:val="00D7722A"/>
    <w:rsid w:val="00D80B1B"/>
    <w:rsid w:val="00D82293"/>
    <w:rsid w:val="00D8405B"/>
    <w:rsid w:val="00D84C9E"/>
    <w:rsid w:val="00D84E7D"/>
    <w:rsid w:val="00D86BF0"/>
    <w:rsid w:val="00D86DCB"/>
    <w:rsid w:val="00D86FBC"/>
    <w:rsid w:val="00D91BA1"/>
    <w:rsid w:val="00D939B7"/>
    <w:rsid w:val="00D950D8"/>
    <w:rsid w:val="00D95477"/>
    <w:rsid w:val="00D959C3"/>
    <w:rsid w:val="00D961B8"/>
    <w:rsid w:val="00D967FB"/>
    <w:rsid w:val="00D97CED"/>
    <w:rsid w:val="00DA1511"/>
    <w:rsid w:val="00DA2D99"/>
    <w:rsid w:val="00DA6FB8"/>
    <w:rsid w:val="00DA777A"/>
    <w:rsid w:val="00DB0188"/>
    <w:rsid w:val="00DB159A"/>
    <w:rsid w:val="00DB26A8"/>
    <w:rsid w:val="00DB3C58"/>
    <w:rsid w:val="00DB48F0"/>
    <w:rsid w:val="00DB4F9F"/>
    <w:rsid w:val="00DB5728"/>
    <w:rsid w:val="00DB5AE0"/>
    <w:rsid w:val="00DB6161"/>
    <w:rsid w:val="00DB65B9"/>
    <w:rsid w:val="00DB70FB"/>
    <w:rsid w:val="00DC0004"/>
    <w:rsid w:val="00DC0CD5"/>
    <w:rsid w:val="00DC2781"/>
    <w:rsid w:val="00DC334D"/>
    <w:rsid w:val="00DC35D4"/>
    <w:rsid w:val="00DC6AAD"/>
    <w:rsid w:val="00DD7179"/>
    <w:rsid w:val="00DE165D"/>
    <w:rsid w:val="00DE2FD7"/>
    <w:rsid w:val="00DE45A3"/>
    <w:rsid w:val="00DE466D"/>
    <w:rsid w:val="00DE5EE7"/>
    <w:rsid w:val="00DF1EC1"/>
    <w:rsid w:val="00DF343E"/>
    <w:rsid w:val="00DF3DBD"/>
    <w:rsid w:val="00DF3FAB"/>
    <w:rsid w:val="00DF67C3"/>
    <w:rsid w:val="00DF6CEB"/>
    <w:rsid w:val="00E0098A"/>
    <w:rsid w:val="00E009D9"/>
    <w:rsid w:val="00E01945"/>
    <w:rsid w:val="00E03F71"/>
    <w:rsid w:val="00E045EE"/>
    <w:rsid w:val="00E06ED0"/>
    <w:rsid w:val="00E1082D"/>
    <w:rsid w:val="00E130CB"/>
    <w:rsid w:val="00E13AC6"/>
    <w:rsid w:val="00E14934"/>
    <w:rsid w:val="00E172BE"/>
    <w:rsid w:val="00E2160E"/>
    <w:rsid w:val="00E24E02"/>
    <w:rsid w:val="00E25895"/>
    <w:rsid w:val="00E30CA9"/>
    <w:rsid w:val="00E32D2C"/>
    <w:rsid w:val="00E34A54"/>
    <w:rsid w:val="00E405E1"/>
    <w:rsid w:val="00E408AB"/>
    <w:rsid w:val="00E41E68"/>
    <w:rsid w:val="00E430DC"/>
    <w:rsid w:val="00E43B2D"/>
    <w:rsid w:val="00E450DD"/>
    <w:rsid w:val="00E460A6"/>
    <w:rsid w:val="00E50CB6"/>
    <w:rsid w:val="00E51920"/>
    <w:rsid w:val="00E53A58"/>
    <w:rsid w:val="00E542FA"/>
    <w:rsid w:val="00E54D26"/>
    <w:rsid w:val="00E55B62"/>
    <w:rsid w:val="00E57098"/>
    <w:rsid w:val="00E572B9"/>
    <w:rsid w:val="00E620CC"/>
    <w:rsid w:val="00E62B4B"/>
    <w:rsid w:val="00E62E96"/>
    <w:rsid w:val="00E63ADD"/>
    <w:rsid w:val="00E64120"/>
    <w:rsid w:val="00E65FA3"/>
    <w:rsid w:val="00E678CB"/>
    <w:rsid w:val="00E67D1E"/>
    <w:rsid w:val="00E707FD"/>
    <w:rsid w:val="00E710D7"/>
    <w:rsid w:val="00E71348"/>
    <w:rsid w:val="00E71657"/>
    <w:rsid w:val="00E72674"/>
    <w:rsid w:val="00E72EDE"/>
    <w:rsid w:val="00E745BB"/>
    <w:rsid w:val="00E7498D"/>
    <w:rsid w:val="00E76FDA"/>
    <w:rsid w:val="00E8010A"/>
    <w:rsid w:val="00E81357"/>
    <w:rsid w:val="00E8229C"/>
    <w:rsid w:val="00E836E5"/>
    <w:rsid w:val="00E84601"/>
    <w:rsid w:val="00E85E09"/>
    <w:rsid w:val="00E8605D"/>
    <w:rsid w:val="00E902FA"/>
    <w:rsid w:val="00E92CE2"/>
    <w:rsid w:val="00E93CDD"/>
    <w:rsid w:val="00E949AC"/>
    <w:rsid w:val="00E977FB"/>
    <w:rsid w:val="00EA0944"/>
    <w:rsid w:val="00EA1325"/>
    <w:rsid w:val="00EA22D5"/>
    <w:rsid w:val="00EA241F"/>
    <w:rsid w:val="00EA2704"/>
    <w:rsid w:val="00EA4221"/>
    <w:rsid w:val="00EB2FE6"/>
    <w:rsid w:val="00EB3CD8"/>
    <w:rsid w:val="00EB58E9"/>
    <w:rsid w:val="00EB6F5F"/>
    <w:rsid w:val="00EC403A"/>
    <w:rsid w:val="00ED07B2"/>
    <w:rsid w:val="00ED0A13"/>
    <w:rsid w:val="00ED246E"/>
    <w:rsid w:val="00ED3144"/>
    <w:rsid w:val="00ED379C"/>
    <w:rsid w:val="00ED4D08"/>
    <w:rsid w:val="00ED5834"/>
    <w:rsid w:val="00ED6AAF"/>
    <w:rsid w:val="00ED6F7B"/>
    <w:rsid w:val="00EE065C"/>
    <w:rsid w:val="00EE2AE9"/>
    <w:rsid w:val="00EE3926"/>
    <w:rsid w:val="00EE3DBF"/>
    <w:rsid w:val="00EE5D34"/>
    <w:rsid w:val="00EE776F"/>
    <w:rsid w:val="00EF04CD"/>
    <w:rsid w:val="00EF319C"/>
    <w:rsid w:val="00EF3258"/>
    <w:rsid w:val="00EF5CDD"/>
    <w:rsid w:val="00EF69F6"/>
    <w:rsid w:val="00EF7C4A"/>
    <w:rsid w:val="00F00846"/>
    <w:rsid w:val="00F01097"/>
    <w:rsid w:val="00F02496"/>
    <w:rsid w:val="00F027E4"/>
    <w:rsid w:val="00F055F1"/>
    <w:rsid w:val="00F05A46"/>
    <w:rsid w:val="00F100EB"/>
    <w:rsid w:val="00F120A9"/>
    <w:rsid w:val="00F14EAE"/>
    <w:rsid w:val="00F15458"/>
    <w:rsid w:val="00F158C7"/>
    <w:rsid w:val="00F162F4"/>
    <w:rsid w:val="00F16C11"/>
    <w:rsid w:val="00F22278"/>
    <w:rsid w:val="00F2316C"/>
    <w:rsid w:val="00F25246"/>
    <w:rsid w:val="00F307D6"/>
    <w:rsid w:val="00F319E3"/>
    <w:rsid w:val="00F31A8E"/>
    <w:rsid w:val="00F32C2D"/>
    <w:rsid w:val="00F33A4C"/>
    <w:rsid w:val="00F3442A"/>
    <w:rsid w:val="00F34B87"/>
    <w:rsid w:val="00F358BF"/>
    <w:rsid w:val="00F35CB2"/>
    <w:rsid w:val="00F374CD"/>
    <w:rsid w:val="00F4046E"/>
    <w:rsid w:val="00F40B41"/>
    <w:rsid w:val="00F41E92"/>
    <w:rsid w:val="00F434FF"/>
    <w:rsid w:val="00F4425B"/>
    <w:rsid w:val="00F44778"/>
    <w:rsid w:val="00F44ABC"/>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7FE5"/>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5E7"/>
    <w:rsid w:val="00F94BD6"/>
    <w:rsid w:val="00F958CC"/>
    <w:rsid w:val="00FA464E"/>
    <w:rsid w:val="00FA60EE"/>
    <w:rsid w:val="00FA663B"/>
    <w:rsid w:val="00FB2379"/>
    <w:rsid w:val="00FB25E5"/>
    <w:rsid w:val="00FB3848"/>
    <w:rsid w:val="00FB5293"/>
    <w:rsid w:val="00FB5446"/>
    <w:rsid w:val="00FC0D46"/>
    <w:rsid w:val="00FC10ED"/>
    <w:rsid w:val="00FC1841"/>
    <w:rsid w:val="00FC2D11"/>
    <w:rsid w:val="00FC373B"/>
    <w:rsid w:val="00FC4625"/>
    <w:rsid w:val="00FC6230"/>
    <w:rsid w:val="00FD0268"/>
    <w:rsid w:val="00FD05BA"/>
    <w:rsid w:val="00FD0638"/>
    <w:rsid w:val="00FD2A0A"/>
    <w:rsid w:val="00FD3934"/>
    <w:rsid w:val="00FD40F7"/>
    <w:rsid w:val="00FD5913"/>
    <w:rsid w:val="00FD62D8"/>
    <w:rsid w:val="00FE0558"/>
    <w:rsid w:val="00FE0BF6"/>
    <w:rsid w:val="00FE11E8"/>
    <w:rsid w:val="00FE29B5"/>
    <w:rsid w:val="00FE32EB"/>
    <w:rsid w:val="00FE3AFF"/>
    <w:rsid w:val="00FE4D4D"/>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5A4"/>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6478216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3992830">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38602159">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703399">
      <w:bodyDiv w:val="1"/>
      <w:marLeft w:val="0"/>
      <w:marRight w:val="0"/>
      <w:marTop w:val="0"/>
      <w:marBottom w:val="0"/>
      <w:divBdr>
        <w:top w:val="none" w:sz="0" w:space="0" w:color="auto"/>
        <w:left w:val="none" w:sz="0" w:space="0" w:color="auto"/>
        <w:bottom w:val="none" w:sz="0" w:space="0" w:color="auto"/>
        <w:right w:val="none" w:sz="0" w:space="0" w:color="auto"/>
      </w:divBdr>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477994769">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03436025">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hs-outcomes-framework/march-2022/domain-1---preventing-people-from-dying-prematurely-nof/1b-life-expectancy-at-75" TargetMode="External"/><Relationship Id="rId13" Type="http://schemas.openxmlformats.org/officeDocument/2006/relationships/hyperlink" Target="https://www.ons.gov.uk/peoplepopulationandcommunity/populationandmigration/populationestimates/datasets/populationestimatesforukenglandandwalesscotlandandnorthernirelan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ongtermplan.nhs.uk/publication/nhs-long-term-plan/" TargetMode="External"/><Relationship Id="rId12" Type="http://schemas.openxmlformats.org/officeDocument/2006/relationships/hyperlink" Target="https://www.longtermplan.nhs.uk/publication/nhs-long-term-plan/" TargetMode="External"/><Relationship Id="rId17" Type="http://schemas.openxmlformats.org/officeDocument/2006/relationships/hyperlink" Target="https://digital.nhs.uk/data-and-information/publications/statistical/nhs-outcomes-framework/march-2022/domain-1---preventing-people-from-dying-prematurely-nof/1b-life-expectancy-at-75" TargetMode="External"/><Relationship Id="rId2" Type="http://schemas.openxmlformats.org/officeDocument/2006/relationships/styles" Target="styles.xml"/><Relationship Id="rId16" Type="http://schemas.openxmlformats.org/officeDocument/2006/relationships/hyperlink" Target="https://digital.nhs.uk/data-and-information/publications/statistical/nhs-outcomes-framework/march-2022/domain-1---preventing-people-from-dying-prematurely-nof/1b-life-expectancy-at-7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s.gov.uk/peoplepopulationandcommunity/birthsdeathsandmarriages/ageing/articles/olderpeoplelivingincarehomesin2021andchangessince2011/2023-10-09" TargetMode="External"/><Relationship Id="rId5" Type="http://schemas.openxmlformats.org/officeDocument/2006/relationships/footnotes" Target="footnotes.xml"/><Relationship Id="rId15" Type="http://schemas.openxmlformats.org/officeDocument/2006/relationships/hyperlink" Target="https://digital.nhs.uk/data-and-information/publications/statistical/nhs-outcomes-framework/march-2022/domain-1---preventing-people-from-dying-prematurely-nof/1b-life-expectancy-at-75" TargetMode="External"/><Relationship Id="rId10" Type="http://schemas.openxmlformats.org/officeDocument/2006/relationships/hyperlink" Target="https://digital.nhs.uk/data-and-information/publications/statistical/nhs-outcomes-framework/march-2022/domain-1---preventing-people-from-dying-prematurely-nof/1b-life-expectancy-at-7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b-life-expectancy-at-75" TargetMode="External"/><Relationship Id="rId14" Type="http://schemas.openxmlformats.org/officeDocument/2006/relationships/hyperlink" Target="https://digital.nhs.uk/data-and-information/publications/statistical/nhs-outcomes-framework/march-2022/domain-1---preventing-people-from-dying-prematurely-nof/1b-life-expectancy-at-7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8220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2025-01-21T23:00:00Z</dcterms:created>
  <dcterms:modified xsi:type="dcterms:W3CDTF">2025-01-22T14:10:00Z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