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5955C572" w:rsidR="009B0E59" w:rsidRPr="009B0E59" w:rsidRDefault="009B0E59" w:rsidP="00192685">
      <w:pPr>
        <w:pStyle w:val="Heading1"/>
        <w:rPr>
          <w:lang w:eastAsia="en-GB"/>
        </w:rPr>
      </w:pPr>
      <w:r w:rsidRPr="009B0E59">
        <w:rPr>
          <w:lang w:eastAsia="en-GB"/>
        </w:rPr>
        <w:t xml:space="preserve">Indicator </w:t>
      </w:r>
      <w:r w:rsidR="00980E04">
        <w:rPr>
          <w:lang w:eastAsia="en-GB"/>
        </w:rPr>
        <w:t>IND281</w:t>
      </w:r>
    </w:p>
    <w:p w14:paraId="34BF4D88" w14:textId="77777777" w:rsidR="00835098" w:rsidRDefault="00835098" w:rsidP="00192685">
      <w:pPr>
        <w:pStyle w:val="Heading1"/>
        <w:rPr>
          <w:b w:val="0"/>
          <w:bCs w:val="0"/>
          <w:kern w:val="0"/>
          <w:sz w:val="24"/>
          <w:szCs w:val="24"/>
          <w:lang w:eastAsia="en-GB"/>
        </w:rPr>
      </w:pPr>
      <w:r w:rsidRPr="00835098">
        <w:rPr>
          <w:b w:val="0"/>
          <w:bCs w:val="0"/>
          <w:kern w:val="0"/>
          <w:sz w:val="24"/>
          <w:szCs w:val="24"/>
          <w:lang w:eastAsia="en-GB"/>
        </w:rPr>
        <w:t xml:space="preserve">Under 75 </w:t>
      </w:r>
      <w:proofErr w:type="gramStart"/>
      <w:r w:rsidRPr="00835098">
        <w:rPr>
          <w:b w:val="0"/>
          <w:bCs w:val="0"/>
          <w:kern w:val="0"/>
          <w:sz w:val="24"/>
          <w:szCs w:val="24"/>
          <w:lang w:eastAsia="en-GB"/>
        </w:rPr>
        <w:t>mortality</w:t>
      </w:r>
      <w:proofErr w:type="gramEnd"/>
      <w:r w:rsidRPr="00835098">
        <w:rPr>
          <w:b w:val="0"/>
          <w:bCs w:val="0"/>
          <w:kern w:val="0"/>
          <w:sz w:val="24"/>
          <w:szCs w:val="24"/>
          <w:lang w:eastAsia="en-GB"/>
        </w:rPr>
        <w:t xml:space="preserve"> from respiratory disease.</w:t>
      </w:r>
    </w:p>
    <w:p w14:paraId="6CBA005E" w14:textId="236D576A" w:rsidR="00236060" w:rsidRDefault="00236060" w:rsidP="00192685">
      <w:pPr>
        <w:pStyle w:val="Heading1"/>
      </w:pPr>
      <w:r>
        <w:t xml:space="preserve">Indicator type </w:t>
      </w:r>
    </w:p>
    <w:p w14:paraId="576CDA4C" w14:textId="2158D097" w:rsidR="005A092F" w:rsidRPr="005A092F" w:rsidRDefault="005A092F" w:rsidP="00400250">
      <w:pPr>
        <w:pStyle w:val="Paragraph"/>
      </w:pPr>
      <w:r w:rsidRPr="005A092F">
        <w:t xml:space="preserve">Network / system level indicator. </w:t>
      </w:r>
    </w:p>
    <w:p w14:paraId="7C25BFBC" w14:textId="67E5263F"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400250">
        <w:trPr>
          <w:trHeight w:val="842"/>
        </w:trPr>
        <w:tc>
          <w:tcPr>
            <w:tcW w:w="5949" w:type="dxa"/>
          </w:tcPr>
          <w:p w14:paraId="6F338971" w14:textId="4781A98A" w:rsidR="002338EB" w:rsidRPr="002338EB" w:rsidRDefault="00835098" w:rsidP="00835098">
            <w:pPr>
              <w:pStyle w:val="Paragraph"/>
              <w:spacing w:before="120" w:after="120" w:line="240" w:lineRule="auto"/>
              <w:rPr>
                <w:highlight w:val="lightGray"/>
              </w:rPr>
            </w:pPr>
            <w:r w:rsidRPr="00835098">
              <w:rPr>
                <w:rFonts w:cs="Arial"/>
                <w:sz w:val="22"/>
                <w:szCs w:val="22"/>
              </w:rPr>
              <w:t xml:space="preserve">The </w:t>
            </w:r>
            <w:hyperlink r:id="rId7" w:history="1">
              <w:r w:rsidRPr="00835098">
                <w:rPr>
                  <w:rStyle w:val="Hyperlink"/>
                  <w:rFonts w:cs="Arial"/>
                  <w:sz w:val="22"/>
                  <w:szCs w:val="22"/>
                </w:rPr>
                <w:t>NHS Long Term Plan</w:t>
              </w:r>
            </w:hyperlink>
            <w:r w:rsidRPr="00835098">
              <w:rPr>
                <w:rFonts w:cs="Arial"/>
                <w:sz w:val="22"/>
                <w:szCs w:val="22"/>
              </w:rPr>
              <w:t xml:space="preserve"> identifies respiratory disease as a clinical priority</w:t>
            </w:r>
          </w:p>
        </w:tc>
        <w:tc>
          <w:tcPr>
            <w:tcW w:w="3118" w:type="dxa"/>
          </w:tcPr>
          <w:p w14:paraId="272CA0EC" w14:textId="155EC399" w:rsidR="002338EB" w:rsidRPr="002338EB" w:rsidRDefault="002338EB" w:rsidP="00400250">
            <w:pPr>
              <w:spacing w:before="120" w:after="120"/>
              <w:rPr>
                <w:highlight w:val="lightGray"/>
              </w:rPr>
            </w:pPr>
            <w:r w:rsidRPr="00835098">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378D38FD" w14:textId="3C05EF86" w:rsidR="00735337" w:rsidRPr="002338EB" w:rsidRDefault="00835098" w:rsidP="00735337">
            <w:pPr>
              <w:pStyle w:val="Paragraph"/>
              <w:spacing w:before="120" w:after="120" w:line="240" w:lineRule="auto"/>
              <w:rPr>
                <w:highlight w:val="lightGray"/>
              </w:rPr>
            </w:pPr>
            <w:r w:rsidRPr="005777F1">
              <w:rPr>
                <w:rFonts w:cs="Arial"/>
                <w:sz w:val="22"/>
                <w:szCs w:val="22"/>
              </w:rPr>
              <w:t xml:space="preserve">Nationally rates have been </w:t>
            </w:r>
            <w:r w:rsidR="00B17966">
              <w:rPr>
                <w:rFonts w:cs="Arial"/>
                <w:sz w:val="22"/>
                <w:szCs w:val="22"/>
              </w:rPr>
              <w:t>declining</w:t>
            </w:r>
            <w:r w:rsidR="00B17966" w:rsidRPr="005777F1">
              <w:rPr>
                <w:rFonts w:cs="Arial"/>
                <w:sz w:val="22"/>
                <w:szCs w:val="22"/>
              </w:rPr>
              <w:t xml:space="preserve"> </w:t>
            </w:r>
            <w:r w:rsidRPr="005777F1">
              <w:rPr>
                <w:rFonts w:cs="Arial"/>
                <w:sz w:val="22"/>
                <w:szCs w:val="22"/>
              </w:rPr>
              <w:t>over time, from a directly age-standardised rate per 100,000 of 41.0 in 2003 to 29.4 in 2020</w:t>
            </w:r>
            <w:r w:rsidR="005A092F" w:rsidRPr="005777F1">
              <w:rPr>
                <w:rFonts w:cs="Arial"/>
                <w:sz w:val="22"/>
                <w:szCs w:val="22"/>
              </w:rPr>
              <w:t>.</w:t>
            </w:r>
            <w:r w:rsidRPr="005777F1">
              <w:rPr>
                <w:rFonts w:cs="Arial"/>
                <w:sz w:val="22"/>
                <w:szCs w:val="22"/>
              </w:rPr>
              <w:t xml:space="preserve"> </w:t>
            </w:r>
            <w:r w:rsidR="00FF16CC" w:rsidRPr="005777F1">
              <w:rPr>
                <w:rFonts w:cs="Arial"/>
                <w:sz w:val="22"/>
                <w:szCs w:val="22"/>
              </w:rPr>
              <w:t>Deprivation data is available from 2009</w:t>
            </w:r>
            <w:r w:rsidR="00B21BD7">
              <w:rPr>
                <w:rFonts w:cs="Arial"/>
                <w:sz w:val="22"/>
                <w:szCs w:val="22"/>
              </w:rPr>
              <w:t xml:space="preserve"> </w:t>
            </w:r>
            <w:r w:rsidR="00FF16CC" w:rsidRPr="005777F1">
              <w:rPr>
                <w:rFonts w:cs="Arial"/>
                <w:sz w:val="22"/>
                <w:szCs w:val="22"/>
              </w:rPr>
              <w:t>onwards and shows significantly higher rates in the most deprived deciles. R</w:t>
            </w:r>
            <w:r w:rsidRPr="005777F1">
              <w:rPr>
                <w:rFonts w:cs="Arial"/>
                <w:sz w:val="22"/>
                <w:szCs w:val="22"/>
              </w:rPr>
              <w:t>egional breakdowns are also available, with gender splits for all breakdowns and age splits at England level only (</w:t>
            </w:r>
            <w:hyperlink r:id="rId8">
              <w:r w:rsidR="00B21BD7">
                <w:rPr>
                  <w:rStyle w:val="Hyperlink"/>
                  <w:rFonts w:cs="Arial"/>
                  <w:sz w:val="22"/>
                  <w:szCs w:val="22"/>
                </w:rPr>
                <w:t>NHS Outcomes Framework (NHSOF) data for indicator 1.2</w:t>
              </w:r>
            </w:hyperlink>
            <w:r w:rsidRPr="005777F1">
              <w:rPr>
                <w:rFonts w:cs="Arial"/>
                <w:sz w:val="22"/>
                <w:szCs w:val="22"/>
              </w:rPr>
              <w:t xml:space="preserve"> </w:t>
            </w:r>
            <w:r w:rsidR="00B21BD7">
              <w:rPr>
                <w:rFonts w:cs="Arial"/>
                <w:sz w:val="22"/>
                <w:szCs w:val="22"/>
              </w:rPr>
              <w:t>(</w:t>
            </w:r>
            <w:r w:rsidRPr="005777F1">
              <w:rPr>
                <w:rFonts w:cs="Arial"/>
                <w:sz w:val="22"/>
                <w:szCs w:val="22"/>
              </w:rPr>
              <w:t>March 2022</w:t>
            </w:r>
            <w:r w:rsidR="00B21BD7">
              <w:rPr>
                <w:rFonts w:cs="Arial"/>
                <w:sz w:val="22"/>
                <w:szCs w:val="22"/>
              </w:rPr>
              <w:t>)</w:t>
            </w:r>
            <w:r w:rsidRPr="005777F1">
              <w:rPr>
                <w:rFonts w:cs="Arial"/>
                <w:sz w:val="22"/>
                <w:szCs w:val="22"/>
              </w:rPr>
              <w:t>).</w:t>
            </w:r>
          </w:p>
        </w:tc>
        <w:tc>
          <w:tcPr>
            <w:tcW w:w="3118" w:type="dxa"/>
          </w:tcPr>
          <w:p w14:paraId="3C8B1CA2" w14:textId="77777777" w:rsidR="00735337" w:rsidRPr="00835098" w:rsidRDefault="00735337" w:rsidP="00735337">
            <w:pPr>
              <w:spacing w:before="120" w:after="120"/>
              <w:rPr>
                <w:rFonts w:ascii="Arial" w:hAnsi="Arial" w:cs="Arial"/>
                <w:color w:val="000000"/>
                <w:kern w:val="24"/>
                <w:sz w:val="22"/>
                <w:szCs w:val="22"/>
                <w:lang w:val="en-US"/>
              </w:rPr>
            </w:pPr>
            <w:r w:rsidRPr="00835098">
              <w:rPr>
                <w:rFonts w:ascii="Arial" w:hAnsi="Arial" w:cs="Arial"/>
                <w:color w:val="000000"/>
                <w:kern w:val="24"/>
                <w:sz w:val="22"/>
                <w:szCs w:val="22"/>
                <w:lang w:val="en-US"/>
              </w:rPr>
              <w:t>The indicator relates to an area where there is known variation in practice.</w:t>
            </w:r>
          </w:p>
          <w:p w14:paraId="3FD01E72" w14:textId="3FD63C35" w:rsidR="00735337" w:rsidRPr="002338EB" w:rsidRDefault="00735337" w:rsidP="00735337">
            <w:pPr>
              <w:pStyle w:val="Paragraph"/>
              <w:spacing w:before="120" w:after="120" w:line="240" w:lineRule="auto"/>
              <w:rPr>
                <w:highlight w:val="lightGray"/>
              </w:rPr>
            </w:pPr>
            <w:r w:rsidRPr="00835098">
              <w:rPr>
                <w:rFonts w:cs="Arial"/>
                <w:color w:val="000000"/>
                <w:kern w:val="24"/>
                <w:sz w:val="22"/>
                <w:szCs w:val="22"/>
                <w:lang w:val="en-US"/>
              </w:rPr>
              <w:t>The indicator addresses under-treatment.</w:t>
            </w:r>
          </w:p>
        </w:tc>
      </w:tr>
      <w:tr w:rsidR="00735337" w14:paraId="373D8AA4" w14:textId="77777777" w:rsidTr="002338EB">
        <w:tc>
          <w:tcPr>
            <w:tcW w:w="5949" w:type="dxa"/>
          </w:tcPr>
          <w:p w14:paraId="4C5C83B4" w14:textId="64660EB5" w:rsidR="00B21BD7" w:rsidRPr="005777F1" w:rsidRDefault="00B21BD7" w:rsidP="005777F1">
            <w:pPr>
              <w:spacing w:before="120" w:after="120"/>
              <w:rPr>
                <w:rFonts w:ascii="Arial" w:hAnsi="Arial" w:cs="Arial"/>
                <w:sz w:val="22"/>
                <w:szCs w:val="22"/>
              </w:rPr>
            </w:pPr>
            <w:r w:rsidRPr="00B21BD7">
              <w:rPr>
                <w:rFonts w:ascii="Arial" w:hAnsi="Arial" w:cs="Arial"/>
                <w:sz w:val="22"/>
                <w:szCs w:val="22"/>
              </w:rPr>
              <w:t>This indicator focuses on prevention of premature mortality, with the aim of lowering the numbers to improve health outcomes. The indicator allows for comparisons between populations with different age profiles and over time</w:t>
            </w:r>
            <w:r w:rsidR="00646E39">
              <w:rPr>
                <w:rFonts w:ascii="Arial" w:hAnsi="Arial" w:cs="Arial"/>
                <w:sz w:val="22"/>
                <w:szCs w:val="22"/>
              </w:rPr>
              <w:t>.</w:t>
            </w:r>
            <w:r w:rsidRPr="00B21BD7" w:rsidDel="00B21BD7">
              <w:rPr>
                <w:rFonts w:ascii="Arial" w:hAnsi="Arial" w:cs="Arial"/>
                <w:sz w:val="22"/>
                <w:szCs w:val="22"/>
              </w:rPr>
              <w:t xml:space="preserve"> </w:t>
            </w:r>
          </w:p>
          <w:p w14:paraId="40A2EA38" w14:textId="124A1EFC" w:rsidR="00FF16CC" w:rsidRPr="00400250" w:rsidRDefault="005777F1" w:rsidP="00FF16CC">
            <w:pPr>
              <w:spacing w:before="120" w:after="120"/>
              <w:rPr>
                <w:rFonts w:ascii="Arial" w:hAnsi="Arial" w:cs="Arial"/>
                <w:sz w:val="22"/>
                <w:szCs w:val="22"/>
              </w:rPr>
            </w:pPr>
            <w:r w:rsidRPr="005777F1">
              <w:rPr>
                <w:rFonts w:ascii="Arial" w:hAnsi="Arial" w:cs="Arial"/>
                <w:sz w:val="22"/>
                <w:szCs w:val="22"/>
              </w:rPr>
              <w:t xml:space="preserve">(adapted from </w:t>
            </w:r>
            <w:hyperlink r:id="rId9" w:history="1">
              <w:r>
                <w:rPr>
                  <w:rStyle w:val="Hyperlink"/>
                  <w:rFonts w:ascii="Arial" w:hAnsi="Arial" w:cs="Arial"/>
                  <w:sz w:val="22"/>
                  <w:szCs w:val="22"/>
                </w:rPr>
                <w:t>NHSOF quality statement for indicator 1.2</w:t>
              </w:r>
            </w:hyperlink>
            <w:r w:rsidRPr="005777F1">
              <w:rPr>
                <w:rFonts w:ascii="Arial" w:hAnsi="Arial" w:cs="Arial"/>
                <w:sz w:val="22"/>
                <w:szCs w:val="22"/>
              </w:rPr>
              <w:t xml:space="preserve">, version 2.4 (May 2020) and </w:t>
            </w:r>
            <w:hyperlink r:id="rId10" w:history="1">
              <w:r>
                <w:rPr>
                  <w:rStyle w:val="Hyperlink"/>
                  <w:rFonts w:ascii="Arial" w:hAnsi="Arial" w:cs="Arial"/>
                  <w:sz w:val="22"/>
                  <w:szCs w:val="22"/>
                </w:rPr>
                <w:t>NHSOF specification for indicator 1.2</w:t>
              </w:r>
            </w:hyperlink>
            <w:r w:rsidRPr="005777F1">
              <w:rPr>
                <w:rFonts w:ascii="Arial" w:hAnsi="Arial" w:cs="Arial"/>
                <w:sz w:val="22"/>
                <w:szCs w:val="22"/>
              </w:rPr>
              <w:t>, version 1.24 (February 2021)).</w:t>
            </w:r>
          </w:p>
        </w:tc>
        <w:tc>
          <w:tcPr>
            <w:tcW w:w="3118" w:type="dxa"/>
          </w:tcPr>
          <w:p w14:paraId="45004AAC" w14:textId="1DCA6DD5" w:rsidR="00735337" w:rsidRPr="002338EB" w:rsidRDefault="00835098" w:rsidP="00735337">
            <w:pPr>
              <w:spacing w:before="120" w:after="120"/>
              <w:rPr>
                <w:rFonts w:ascii="Arial" w:hAnsi="Arial" w:cs="Arial"/>
                <w:color w:val="000000"/>
                <w:kern w:val="24"/>
                <w:sz w:val="22"/>
                <w:szCs w:val="22"/>
                <w:highlight w:val="lightGray"/>
                <w:lang w:val="en-US"/>
              </w:rPr>
            </w:pPr>
            <w:r w:rsidRPr="00835098">
              <w:rPr>
                <w:rFonts w:ascii="Arial" w:hAnsi="Arial" w:cs="Arial"/>
                <w:color w:val="000000"/>
                <w:kern w:val="24"/>
                <w:sz w:val="22"/>
                <w:szCs w:val="22"/>
                <w:lang w:val="en-US"/>
              </w:rPr>
              <w:t>The indicator will lead to a meaningful improvement in patient outcomes.</w:t>
            </w:r>
          </w:p>
        </w:tc>
      </w:tr>
    </w:tbl>
    <w:bookmarkEnd w:id="0"/>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42CE4760" w14:textId="3A463110" w:rsidR="00E12B5C" w:rsidRDefault="00E12B5C" w:rsidP="00E12B5C">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Respiratory </w:t>
            </w:r>
            <w:r w:rsidRPr="00E12B5C">
              <w:rPr>
                <w:rFonts w:ascii="Arial" w:hAnsi="Arial" w:cs="Arial"/>
                <w:color w:val="000000"/>
                <w:kern w:val="24"/>
                <w:sz w:val="22"/>
                <w:szCs w:val="22"/>
                <w:lang w:eastAsia="en-GB"/>
              </w:rPr>
              <w:t xml:space="preserve">disease is one of the major causes of death in </w:t>
            </w:r>
            <w:r w:rsidR="00BA3553">
              <w:rPr>
                <w:rFonts w:ascii="Arial" w:hAnsi="Arial" w:cs="Arial"/>
                <w:color w:val="000000"/>
                <w:kern w:val="24"/>
                <w:sz w:val="22"/>
                <w:szCs w:val="22"/>
                <w:lang w:eastAsia="en-GB"/>
              </w:rPr>
              <w:t xml:space="preserve">the </w:t>
            </w:r>
            <w:r w:rsidRPr="00E12B5C">
              <w:rPr>
                <w:rFonts w:ascii="Arial" w:hAnsi="Arial" w:cs="Arial"/>
                <w:color w:val="000000"/>
                <w:kern w:val="24"/>
                <w:sz w:val="22"/>
                <w:szCs w:val="22"/>
                <w:lang w:eastAsia="en-GB"/>
              </w:rPr>
              <w:t xml:space="preserve">under 75s in England.  Approximately </w:t>
            </w:r>
            <w:r>
              <w:rPr>
                <w:rFonts w:ascii="Arial" w:hAnsi="Arial" w:cs="Arial"/>
                <w:color w:val="000000"/>
                <w:kern w:val="24"/>
                <w:sz w:val="22"/>
                <w:szCs w:val="22"/>
                <w:lang w:eastAsia="en-GB"/>
              </w:rPr>
              <w:t>2</w:t>
            </w:r>
            <w:r w:rsidRPr="00E12B5C">
              <w:rPr>
                <w:rFonts w:ascii="Arial" w:hAnsi="Arial" w:cs="Arial"/>
                <w:color w:val="000000"/>
                <w:kern w:val="24"/>
                <w:sz w:val="22"/>
                <w:szCs w:val="22"/>
                <w:lang w:eastAsia="en-GB"/>
              </w:rPr>
              <w:t xml:space="preserve">7% of </w:t>
            </w:r>
            <w:r>
              <w:rPr>
                <w:rFonts w:ascii="Arial" w:hAnsi="Arial" w:cs="Arial"/>
                <w:color w:val="000000"/>
                <w:kern w:val="24"/>
                <w:sz w:val="22"/>
                <w:szCs w:val="22"/>
                <w:lang w:eastAsia="en-GB"/>
              </w:rPr>
              <w:t>respiratory disease</w:t>
            </w:r>
            <w:r w:rsidRPr="00E12B5C">
              <w:rPr>
                <w:rFonts w:ascii="Arial" w:hAnsi="Arial" w:cs="Arial"/>
                <w:color w:val="000000"/>
                <w:kern w:val="24"/>
                <w:sz w:val="22"/>
                <w:szCs w:val="22"/>
                <w:lang w:eastAsia="en-GB"/>
              </w:rPr>
              <w:t xml:space="preserve"> is thought to be amendable to prevention </w:t>
            </w:r>
            <w:proofErr w:type="gramStart"/>
            <w:r w:rsidRPr="00E12B5C">
              <w:rPr>
                <w:rFonts w:ascii="Arial" w:hAnsi="Arial" w:cs="Arial"/>
                <w:color w:val="000000"/>
                <w:kern w:val="24"/>
                <w:sz w:val="22"/>
                <w:szCs w:val="22"/>
                <w:lang w:eastAsia="en-GB"/>
              </w:rPr>
              <w:t>as a result of</w:t>
            </w:r>
            <w:proofErr w:type="gramEnd"/>
            <w:r w:rsidRPr="00E12B5C">
              <w:rPr>
                <w:rFonts w:ascii="Arial" w:hAnsi="Arial" w:cs="Arial"/>
                <w:color w:val="000000"/>
                <w:kern w:val="24"/>
                <w:sz w:val="22"/>
                <w:szCs w:val="22"/>
                <w:lang w:eastAsia="en-GB"/>
              </w:rPr>
              <w:t xml:space="preserve"> health care timeliness and effectiveness. </w:t>
            </w:r>
            <w:r w:rsidR="00ED3989" w:rsidRPr="00ED3989">
              <w:rPr>
                <w:rFonts w:ascii="Arial" w:hAnsi="Arial" w:cs="Arial"/>
                <w:color w:val="000000"/>
                <w:kern w:val="24"/>
                <w:sz w:val="22"/>
                <w:szCs w:val="22"/>
                <w:lang w:eastAsia="en-GB"/>
              </w:rPr>
              <w:t>The NHS can contribute to reducing premature deaths from both amenable and non-amenable causes</w:t>
            </w:r>
            <w:r w:rsidR="00E77C80">
              <w:rPr>
                <w:rFonts w:ascii="Arial" w:hAnsi="Arial" w:cs="Arial"/>
                <w:color w:val="000000"/>
                <w:kern w:val="24"/>
                <w:sz w:val="22"/>
                <w:szCs w:val="22"/>
                <w:lang w:eastAsia="en-GB"/>
              </w:rPr>
              <w:t xml:space="preserve"> (</w:t>
            </w:r>
            <w:hyperlink r:id="rId11" w:history="1">
              <w:r w:rsidR="00E77C80" w:rsidRPr="00E77C80">
                <w:rPr>
                  <w:rStyle w:val="Hyperlink"/>
                  <w:rFonts w:ascii="Arial" w:hAnsi="Arial" w:cs="Arial"/>
                  <w:kern w:val="24"/>
                  <w:sz w:val="22"/>
                  <w:szCs w:val="22"/>
                  <w:lang w:eastAsia="en-GB"/>
                </w:rPr>
                <w:t>The NHS Outcomes Framework 2015/16 - Technical Appendix</w:t>
              </w:r>
            </w:hyperlink>
            <w:r w:rsidR="00E77C80">
              <w:rPr>
                <w:rFonts w:ascii="Arial" w:hAnsi="Arial" w:cs="Arial"/>
                <w:color w:val="000000"/>
                <w:kern w:val="24"/>
                <w:sz w:val="22"/>
                <w:szCs w:val="22"/>
                <w:lang w:eastAsia="en-GB"/>
              </w:rPr>
              <w:t>)</w:t>
            </w:r>
          </w:p>
          <w:p w14:paraId="5BA8B2C1" w14:textId="427ADDE5" w:rsidR="00ED3989" w:rsidRDefault="00ED3989" w:rsidP="00E12B5C">
            <w:pPr>
              <w:spacing w:before="120" w:after="120"/>
              <w:rPr>
                <w:rFonts w:ascii="Arial" w:hAnsi="Arial" w:cs="Arial"/>
                <w:color w:val="000000"/>
                <w:kern w:val="24"/>
                <w:sz w:val="22"/>
                <w:szCs w:val="22"/>
                <w:lang w:eastAsia="en-GB"/>
              </w:rPr>
            </w:pPr>
            <w:r w:rsidRPr="00ED3989">
              <w:rPr>
                <w:rFonts w:ascii="Arial" w:hAnsi="Arial" w:cs="Arial"/>
                <w:color w:val="000000"/>
                <w:kern w:val="24"/>
                <w:sz w:val="22"/>
                <w:szCs w:val="22"/>
                <w:lang w:eastAsia="en-GB"/>
              </w:rPr>
              <w:lastRenderedPageBreak/>
              <w:t xml:space="preserve">The NHS contributes to improvements in this indicator through early and accurate diagnosis, optimal pharmacotherapy, physical interventions, prompt access to specialist respiratory care, structured hospital admission and appropriate provision of home oxygen.  Public health contributions will contribute to improvements in this indicator, particularly, </w:t>
            </w:r>
            <w:r w:rsidR="005200B8">
              <w:rPr>
                <w:rFonts w:ascii="Arial" w:hAnsi="Arial" w:cs="Arial"/>
                <w:color w:val="000000"/>
                <w:kern w:val="24"/>
                <w:sz w:val="22"/>
                <w:szCs w:val="22"/>
                <w:lang w:eastAsia="en-GB"/>
              </w:rPr>
              <w:t xml:space="preserve">around </w:t>
            </w:r>
            <w:r>
              <w:rPr>
                <w:rFonts w:ascii="Arial" w:hAnsi="Arial" w:cs="Arial"/>
                <w:color w:val="000000"/>
                <w:kern w:val="24"/>
                <w:sz w:val="22"/>
                <w:szCs w:val="22"/>
                <w:lang w:eastAsia="en-GB"/>
              </w:rPr>
              <w:t xml:space="preserve">smoking. </w:t>
            </w:r>
          </w:p>
          <w:p w14:paraId="041E66D1" w14:textId="4A02442C" w:rsidR="00E12B5C" w:rsidRDefault="00E12B5C" w:rsidP="00E12B5C">
            <w:pPr>
              <w:spacing w:before="120" w:after="120"/>
              <w:rPr>
                <w:rFonts w:ascii="Arial" w:hAnsi="Arial" w:cs="Arial"/>
                <w:color w:val="000000"/>
                <w:kern w:val="24"/>
                <w:sz w:val="22"/>
                <w:szCs w:val="22"/>
                <w:lang w:eastAsia="en-GB"/>
              </w:rPr>
            </w:pPr>
            <w:r w:rsidRPr="00E12B5C">
              <w:rPr>
                <w:rFonts w:ascii="Arial" w:hAnsi="Arial" w:cs="Arial"/>
                <w:color w:val="000000"/>
                <w:kern w:val="24"/>
                <w:sz w:val="22"/>
                <w:szCs w:val="22"/>
                <w:lang w:eastAsia="en-GB"/>
              </w:rPr>
              <w:t>(</w:t>
            </w:r>
            <w:hyperlink r:id="rId12">
              <w:r>
                <w:rPr>
                  <w:rStyle w:val="Hyperlink"/>
                  <w:rFonts w:ascii="Arial" w:hAnsi="Arial" w:cs="Arial"/>
                  <w:kern w:val="24"/>
                  <w:sz w:val="22"/>
                  <w:szCs w:val="22"/>
                  <w:lang w:eastAsia="en-GB"/>
                </w:rPr>
                <w:t>NHSOF quality statement for indicator 1.2</w:t>
              </w:r>
            </w:hyperlink>
            <w:r w:rsidRPr="00E12B5C">
              <w:rPr>
                <w:rFonts w:ascii="Arial" w:hAnsi="Arial" w:cs="Arial"/>
                <w:color w:val="000000"/>
                <w:kern w:val="24"/>
                <w:sz w:val="22"/>
                <w:szCs w:val="22"/>
                <w:lang w:eastAsia="en-GB"/>
              </w:rPr>
              <w:t xml:space="preserve">, </w:t>
            </w:r>
            <w:r w:rsidR="00B21BD7">
              <w:rPr>
                <w:rFonts w:ascii="Arial" w:hAnsi="Arial" w:cs="Arial"/>
                <w:color w:val="000000"/>
                <w:kern w:val="24"/>
                <w:sz w:val="22"/>
                <w:szCs w:val="22"/>
                <w:lang w:eastAsia="en-GB"/>
              </w:rPr>
              <w:t>version 2.4 (March</w:t>
            </w:r>
            <w:r w:rsidRPr="00E12B5C">
              <w:rPr>
                <w:rFonts w:ascii="Arial" w:hAnsi="Arial" w:cs="Arial"/>
                <w:color w:val="000000"/>
                <w:kern w:val="24"/>
                <w:sz w:val="22"/>
                <w:szCs w:val="22"/>
                <w:lang w:eastAsia="en-GB"/>
              </w:rPr>
              <w:t xml:space="preserve"> 2022</w:t>
            </w:r>
            <w:r w:rsidR="00B21BD7">
              <w:rPr>
                <w:rFonts w:ascii="Arial" w:hAnsi="Arial" w:cs="Arial"/>
                <w:color w:val="000000"/>
                <w:kern w:val="24"/>
                <w:sz w:val="22"/>
                <w:szCs w:val="22"/>
                <w:lang w:eastAsia="en-GB"/>
              </w:rPr>
              <w:t>)</w:t>
            </w:r>
            <w:r w:rsidRPr="00E12B5C">
              <w:rPr>
                <w:rFonts w:ascii="Arial" w:hAnsi="Arial" w:cs="Arial"/>
                <w:color w:val="000000"/>
                <w:kern w:val="24"/>
                <w:sz w:val="22"/>
                <w:szCs w:val="22"/>
                <w:lang w:eastAsia="en-GB"/>
              </w:rPr>
              <w:t>).</w:t>
            </w:r>
          </w:p>
          <w:p w14:paraId="64B48718" w14:textId="6ED3CB60" w:rsidR="005200B8" w:rsidRPr="00E12B5C" w:rsidRDefault="005200B8" w:rsidP="00E12B5C">
            <w:pPr>
              <w:spacing w:before="120" w:after="120"/>
              <w:rPr>
                <w:rFonts w:ascii="Arial" w:hAnsi="Arial" w:cs="Arial"/>
                <w:color w:val="000000"/>
                <w:kern w:val="24"/>
                <w:sz w:val="22"/>
                <w:szCs w:val="22"/>
                <w:lang w:eastAsia="en-GB"/>
              </w:rPr>
            </w:pPr>
            <w:r w:rsidRPr="005200B8">
              <w:rPr>
                <w:rFonts w:ascii="Arial" w:hAnsi="Arial" w:cs="Arial"/>
                <w:color w:val="000000"/>
                <w:kern w:val="24"/>
                <w:sz w:val="22"/>
                <w:szCs w:val="22"/>
                <w:lang w:eastAsia="en-GB"/>
              </w:rPr>
              <w:t xml:space="preserve">The </w:t>
            </w:r>
            <w:hyperlink r:id="rId13" w:history="1">
              <w:r w:rsidRPr="005200B8">
                <w:rPr>
                  <w:rStyle w:val="Hyperlink"/>
                  <w:rFonts w:ascii="Arial" w:hAnsi="Arial" w:cs="Arial"/>
                  <w:kern w:val="24"/>
                  <w:sz w:val="22"/>
                  <w:szCs w:val="22"/>
                  <w:lang w:eastAsia="en-GB"/>
                </w:rPr>
                <w:t>NHS Long Term Plan</w:t>
              </w:r>
            </w:hyperlink>
            <w:r w:rsidRPr="005200B8">
              <w:rPr>
                <w:rFonts w:ascii="Arial" w:hAnsi="Arial" w:cs="Arial"/>
                <w:color w:val="000000"/>
                <w:kern w:val="24"/>
                <w:sz w:val="22"/>
                <w:szCs w:val="22"/>
                <w:lang w:eastAsia="en-GB"/>
              </w:rPr>
              <w:t xml:space="preserve"> identifies </w:t>
            </w:r>
            <w:r>
              <w:rPr>
                <w:rFonts w:ascii="Arial" w:hAnsi="Arial" w:cs="Arial"/>
                <w:color w:val="000000"/>
                <w:kern w:val="24"/>
                <w:sz w:val="22"/>
                <w:szCs w:val="22"/>
                <w:lang w:eastAsia="en-GB"/>
              </w:rPr>
              <w:t>respiratory</w:t>
            </w:r>
            <w:r w:rsidRPr="005200B8">
              <w:rPr>
                <w:rFonts w:ascii="Arial" w:hAnsi="Arial" w:cs="Arial"/>
                <w:color w:val="000000"/>
                <w:kern w:val="24"/>
                <w:sz w:val="22"/>
                <w:szCs w:val="22"/>
                <w:lang w:eastAsia="en-GB"/>
              </w:rPr>
              <w:t xml:space="preserve"> disease as a clinical priority.</w:t>
            </w:r>
          </w:p>
          <w:p w14:paraId="34A98C91" w14:textId="0DF7566A" w:rsidR="00B27576" w:rsidRPr="005F6C29" w:rsidRDefault="00D8007E" w:rsidP="00835098">
            <w:pPr>
              <w:spacing w:before="120" w:after="120"/>
              <w:rPr>
                <w:color w:val="000000"/>
              </w:rPr>
            </w:pPr>
            <w:r w:rsidRPr="00D8007E">
              <w:rPr>
                <w:rFonts w:ascii="Arial" w:hAnsi="Arial" w:cs="Arial"/>
                <w:color w:val="000000"/>
                <w:kern w:val="24"/>
                <w:sz w:val="22"/>
                <w:szCs w:val="22"/>
                <w:lang w:eastAsia="en-GB"/>
              </w:rPr>
              <w:t>This indicator is an overarching outcome</w:t>
            </w:r>
            <w:r w:rsidR="005F6C29">
              <w:rPr>
                <w:rFonts w:ascii="Arial" w:hAnsi="Arial" w:cs="Arial"/>
                <w:color w:val="000000"/>
                <w:kern w:val="24"/>
                <w:sz w:val="22"/>
                <w:szCs w:val="22"/>
                <w:lang w:eastAsia="en-GB"/>
              </w:rPr>
              <w:t>,</w:t>
            </w:r>
            <w:r w:rsidRPr="00D8007E">
              <w:rPr>
                <w:rFonts w:ascii="Arial" w:hAnsi="Arial" w:cs="Arial"/>
                <w:color w:val="000000"/>
                <w:kern w:val="24"/>
                <w:sz w:val="22"/>
                <w:szCs w:val="22"/>
                <w:lang w:eastAsia="en-GB"/>
              </w:rPr>
              <w:t xml:space="preserve"> supported by a number of NICE guidelines</w:t>
            </w:r>
            <w:r w:rsidR="00547F79">
              <w:rPr>
                <w:rFonts w:ascii="Arial" w:hAnsi="Arial" w:cs="Arial"/>
                <w:color w:val="000000"/>
                <w:kern w:val="24"/>
                <w:sz w:val="22"/>
                <w:szCs w:val="22"/>
                <w:lang w:eastAsia="en-GB"/>
              </w:rPr>
              <w:t>, including</w:t>
            </w:r>
            <w:r w:rsidR="00547F79">
              <w:rPr>
                <w:rFonts w:ascii="Arial" w:hAnsi="Arial" w:cs="Arial"/>
                <w:color w:val="000000"/>
                <w:kern w:val="24"/>
                <w:sz w:val="22"/>
                <w:szCs w:val="22"/>
                <w:lang w:eastAsia="en-GB"/>
              </w:rPr>
              <w:t>:</w:t>
            </w:r>
            <w:r>
              <w:rPr>
                <w:rFonts w:ascii="Arial" w:hAnsi="Arial" w:cs="Arial"/>
                <w:color w:val="000000"/>
                <w:kern w:val="24"/>
                <w:sz w:val="22"/>
                <w:szCs w:val="22"/>
                <w:lang w:eastAsia="en-GB"/>
              </w:rPr>
              <w:t xml:space="preserve"> </w:t>
            </w:r>
            <w:hyperlink r:id="rId14" w:history="1">
              <w:r w:rsidRPr="00B02C07">
                <w:rPr>
                  <w:rStyle w:val="Hyperlink"/>
                  <w:rFonts w:ascii="Arial" w:hAnsi="Arial" w:cs="Arial"/>
                  <w:kern w:val="24"/>
                  <w:sz w:val="22"/>
                  <w:szCs w:val="22"/>
                  <w:lang w:eastAsia="en-GB"/>
                </w:rPr>
                <w:t>asthma: diagnosis, monitoring and chronic asthma management</w:t>
              </w:r>
              <w:r w:rsidR="009D5CAB">
                <w:rPr>
                  <w:rStyle w:val="Hyperlink"/>
                  <w:rFonts w:ascii="Arial" w:hAnsi="Arial" w:cs="Arial"/>
                  <w:kern w:val="24"/>
                  <w:sz w:val="22"/>
                  <w:szCs w:val="22"/>
                  <w:lang w:eastAsia="en-GB"/>
                </w:rPr>
                <w:t>,</w:t>
              </w:r>
              <w:r w:rsidRPr="00B02C07">
                <w:rPr>
                  <w:rStyle w:val="Hyperlink"/>
                  <w:rFonts w:ascii="Arial" w:hAnsi="Arial" w:cs="Arial"/>
                  <w:kern w:val="24"/>
                  <w:sz w:val="22"/>
                  <w:szCs w:val="22"/>
                  <w:lang w:eastAsia="en-GB"/>
                </w:rPr>
                <w:t xml:space="preserve"> BTS, NICE and SIGN guideline. NG245</w:t>
              </w:r>
            </w:hyperlink>
            <w:r>
              <w:rPr>
                <w:rFonts w:ascii="Arial" w:hAnsi="Arial" w:cs="Arial"/>
                <w:color w:val="000000"/>
                <w:kern w:val="24"/>
                <w:sz w:val="22"/>
                <w:szCs w:val="22"/>
                <w:lang w:eastAsia="en-GB"/>
              </w:rPr>
              <w:t>,</w:t>
            </w:r>
            <w:r w:rsidR="003125E6">
              <w:rPr>
                <w:rFonts w:ascii="Arial" w:hAnsi="Arial" w:cs="Arial"/>
                <w:color w:val="000000"/>
                <w:kern w:val="24"/>
                <w:sz w:val="22"/>
                <w:szCs w:val="22"/>
                <w:lang w:eastAsia="en-GB"/>
              </w:rPr>
              <w:t xml:space="preserve"> </w:t>
            </w:r>
            <w:hyperlink r:id="rId15" w:history="1">
              <w:r w:rsidR="00C31ABE" w:rsidRPr="00B02C07">
                <w:rPr>
                  <w:rStyle w:val="Hyperlink"/>
                  <w:rFonts w:ascii="Arial" w:hAnsi="Arial" w:cs="Arial"/>
                  <w:kern w:val="24"/>
                  <w:sz w:val="22"/>
                  <w:szCs w:val="22"/>
                  <w:lang w:eastAsia="en-GB"/>
                </w:rPr>
                <w:t>tobacco: preventing uptake, promoting quitting and treating dependence. NICE guideline NG209</w:t>
              </w:r>
            </w:hyperlink>
            <w:r w:rsidR="00C31ABE">
              <w:rPr>
                <w:rFonts w:ascii="Arial" w:hAnsi="Arial" w:cs="Arial"/>
                <w:color w:val="000000"/>
                <w:kern w:val="24"/>
                <w:sz w:val="22"/>
                <w:szCs w:val="22"/>
                <w:lang w:eastAsia="en-GB"/>
              </w:rPr>
              <w:t xml:space="preserve">; </w:t>
            </w:r>
            <w:hyperlink r:id="rId16" w:history="1">
              <w:r w:rsidRPr="00B02C07">
                <w:rPr>
                  <w:rStyle w:val="Hyperlink"/>
                  <w:rFonts w:ascii="Arial" w:hAnsi="Arial" w:cs="Arial"/>
                  <w:kern w:val="24"/>
                  <w:sz w:val="22"/>
                  <w:szCs w:val="22"/>
                  <w:lang w:eastAsia="en-GB"/>
                </w:rPr>
                <w:t>chronic obstructive pulmonary disease in the over 16s: diagnosis and management.  NICE guideline NG115</w:t>
              </w:r>
            </w:hyperlink>
            <w:r w:rsidR="003125E6">
              <w:rPr>
                <w:rFonts w:ascii="Arial" w:hAnsi="Arial" w:cs="Arial"/>
                <w:color w:val="000000"/>
                <w:kern w:val="24"/>
                <w:sz w:val="22"/>
                <w:szCs w:val="22"/>
                <w:lang w:eastAsia="en-GB"/>
              </w:rPr>
              <w:t xml:space="preserve">; </w:t>
            </w:r>
            <w:hyperlink r:id="rId17" w:history="1">
              <w:r w:rsidR="009D5CAB" w:rsidRPr="00B02C07">
                <w:rPr>
                  <w:rStyle w:val="Hyperlink"/>
                  <w:rFonts w:ascii="Arial" w:hAnsi="Arial" w:cs="Arial"/>
                  <w:kern w:val="24"/>
                  <w:sz w:val="22"/>
                  <w:szCs w:val="22"/>
                  <w:lang w:eastAsia="en-GB"/>
                </w:rPr>
                <w:t>air pollution: outdoor air quality and health.  NICE guideline NG70</w:t>
              </w:r>
            </w:hyperlink>
            <w:r w:rsidR="009D5CAB">
              <w:rPr>
                <w:rFonts w:ascii="Arial" w:hAnsi="Arial" w:cs="Arial"/>
                <w:color w:val="000000"/>
                <w:kern w:val="24"/>
                <w:sz w:val="22"/>
                <w:szCs w:val="22"/>
                <w:lang w:eastAsia="en-GB"/>
              </w:rPr>
              <w:t xml:space="preserve">; </w:t>
            </w:r>
            <w:hyperlink r:id="rId18" w:history="1">
              <w:r w:rsidRPr="00B02C07">
                <w:rPr>
                  <w:rStyle w:val="Hyperlink"/>
                  <w:rFonts w:ascii="Arial" w:hAnsi="Arial" w:cs="Arial"/>
                  <w:kern w:val="24"/>
                  <w:sz w:val="22"/>
                  <w:szCs w:val="22"/>
                  <w:lang w:eastAsia="en-GB"/>
                </w:rPr>
                <w:t>pneumonia in adults: diagnosis and management.  NICE guideline CG191</w:t>
              </w:r>
            </w:hyperlink>
            <w:r>
              <w:rPr>
                <w:rFonts w:ascii="Arial" w:hAnsi="Arial" w:cs="Arial"/>
                <w:color w:val="000000"/>
                <w:kern w:val="24"/>
                <w:sz w:val="22"/>
                <w:szCs w:val="22"/>
                <w:lang w:eastAsia="en-GB"/>
              </w:rPr>
              <w:t xml:space="preserve">. </w:t>
            </w:r>
          </w:p>
          <w:p w14:paraId="1359C26D" w14:textId="7F77F4D8" w:rsidR="002338EB" w:rsidRPr="008C3900" w:rsidRDefault="00835098" w:rsidP="005F6C29">
            <w:pPr>
              <w:spacing w:before="120" w:after="120"/>
            </w:pPr>
            <w:r w:rsidRPr="008C3900">
              <w:rPr>
                <w:rFonts w:ascii="Arial" w:hAnsi="Arial" w:cs="Arial"/>
                <w:color w:val="000000"/>
                <w:kern w:val="24"/>
                <w:sz w:val="22"/>
                <w:szCs w:val="22"/>
                <w:lang w:eastAsia="en-GB"/>
              </w:rPr>
              <w:t>NICE’s quality standards</w:t>
            </w:r>
            <w:r w:rsidR="00D8007E">
              <w:rPr>
                <w:rFonts w:ascii="Arial" w:hAnsi="Arial" w:cs="Arial"/>
                <w:color w:val="000000"/>
                <w:kern w:val="24"/>
                <w:sz w:val="22"/>
                <w:szCs w:val="22"/>
                <w:lang w:eastAsia="en-GB"/>
              </w:rPr>
              <w:t xml:space="preserve"> </w:t>
            </w:r>
            <w:hyperlink r:id="rId19" w:history="1">
              <w:r w:rsidRPr="008C3900">
                <w:rPr>
                  <w:rStyle w:val="Hyperlink"/>
                  <w:rFonts w:ascii="Arial" w:hAnsi="Arial" w:cs="Arial"/>
                  <w:kern w:val="24"/>
                  <w:sz w:val="22"/>
                  <w:szCs w:val="22"/>
                  <w:lang w:eastAsia="en-GB"/>
                </w:rPr>
                <w:t>asthma</w:t>
              </w:r>
            </w:hyperlink>
            <w:r w:rsidRPr="008C3900">
              <w:rPr>
                <w:rFonts w:ascii="Arial" w:hAnsi="Arial" w:cs="Arial"/>
                <w:color w:val="000000"/>
                <w:kern w:val="24"/>
                <w:sz w:val="22"/>
                <w:szCs w:val="22"/>
                <w:lang w:eastAsia="en-GB"/>
              </w:rPr>
              <w:t xml:space="preserve">, </w:t>
            </w:r>
            <w:hyperlink r:id="rId20" w:history="1">
              <w:r w:rsidR="003125E6" w:rsidRPr="003125E6">
                <w:rPr>
                  <w:rStyle w:val="Hyperlink"/>
                  <w:rFonts w:ascii="Arial" w:hAnsi="Arial" w:cs="Arial"/>
                  <w:kern w:val="24"/>
                  <w:sz w:val="22"/>
                  <w:szCs w:val="22"/>
                  <w:lang w:eastAsia="en-GB"/>
                </w:rPr>
                <w:t>chronic obstructive pulmonary disease in adults</w:t>
              </w:r>
            </w:hyperlink>
            <w:r w:rsidR="003125E6" w:rsidRPr="005F6C29">
              <w:t>,</w:t>
            </w:r>
            <w:r w:rsidR="003125E6" w:rsidRPr="005F6C29">
              <w:rPr>
                <w:rStyle w:val="Hyperlink"/>
                <w:u w:val="none"/>
              </w:rPr>
              <w:t xml:space="preserve"> </w:t>
            </w:r>
            <w:hyperlink r:id="rId21" w:history="1">
              <w:r w:rsidRPr="00920BBD">
                <w:rPr>
                  <w:rStyle w:val="Hyperlink"/>
                  <w:rFonts w:ascii="Arial" w:hAnsi="Arial" w:cs="Arial"/>
                  <w:kern w:val="24"/>
                  <w:sz w:val="22"/>
                  <w:szCs w:val="22"/>
                  <w:lang w:eastAsia="en-GB"/>
                </w:rPr>
                <w:t>tobacco</w:t>
              </w:r>
            </w:hyperlink>
            <w:r w:rsidR="003125E6" w:rsidRPr="005F6C29">
              <w:rPr>
                <w:color w:val="000000"/>
              </w:rPr>
              <w:t>,</w:t>
            </w:r>
            <w:r w:rsidR="003125E6">
              <w:rPr>
                <w:color w:val="000000"/>
              </w:rPr>
              <w:t xml:space="preserve"> </w:t>
            </w:r>
            <w:hyperlink r:id="rId22" w:history="1">
              <w:r w:rsidR="003125E6" w:rsidRPr="005F6C29">
                <w:rPr>
                  <w:rStyle w:val="Hyperlink"/>
                  <w:rFonts w:ascii="Arial" w:hAnsi="Arial" w:cs="Arial"/>
                  <w:kern w:val="24"/>
                  <w:sz w:val="22"/>
                  <w:szCs w:val="22"/>
                  <w:lang w:eastAsia="en-GB"/>
                </w:rPr>
                <w:t>outdoor air</w:t>
              </w:r>
            </w:hyperlink>
            <w:r w:rsidR="003125E6">
              <w:rPr>
                <w:color w:val="000000"/>
              </w:rPr>
              <w:t xml:space="preserve"> and</w:t>
            </w:r>
            <w:r w:rsidR="003125E6" w:rsidRPr="005F6C29">
              <w:rPr>
                <w:color w:val="000000"/>
                <w:lang w:eastAsia="en-GB"/>
              </w:rPr>
              <w:t xml:space="preserve"> </w:t>
            </w:r>
            <w:hyperlink r:id="rId23" w:history="1">
              <w:r w:rsidR="003125E6" w:rsidRPr="008C3900">
                <w:rPr>
                  <w:rStyle w:val="Hyperlink"/>
                  <w:rFonts w:ascii="Arial" w:hAnsi="Arial" w:cs="Arial"/>
                  <w:kern w:val="24"/>
                  <w:sz w:val="22"/>
                  <w:szCs w:val="22"/>
                  <w:lang w:eastAsia="en-GB"/>
                </w:rPr>
                <w:t>pneumonia in adults</w:t>
              </w:r>
            </w:hyperlink>
            <w:r w:rsidRPr="008C3900">
              <w:rPr>
                <w:rFonts w:ascii="Arial" w:hAnsi="Arial" w:cs="Arial"/>
                <w:color w:val="000000"/>
                <w:kern w:val="24"/>
                <w:sz w:val="22"/>
                <w:szCs w:val="22"/>
                <w:lang w:eastAsia="en-GB"/>
              </w:rPr>
              <w:t xml:space="preserve"> </w:t>
            </w:r>
            <w:r w:rsidR="00D8007E">
              <w:rPr>
                <w:rFonts w:ascii="Arial" w:hAnsi="Arial" w:cs="Arial"/>
                <w:color w:val="000000"/>
                <w:kern w:val="24"/>
                <w:sz w:val="22"/>
                <w:szCs w:val="22"/>
                <w:lang w:eastAsia="en-GB"/>
              </w:rPr>
              <w:t xml:space="preserve">are based on these guidelines and </w:t>
            </w:r>
            <w:r w:rsidRPr="008C3900">
              <w:rPr>
                <w:rFonts w:ascii="Arial" w:hAnsi="Arial" w:cs="Arial"/>
                <w:color w:val="000000"/>
                <w:kern w:val="24"/>
                <w:sz w:val="22"/>
                <w:szCs w:val="22"/>
                <w:lang w:eastAsia="en-GB"/>
              </w:rPr>
              <w:t>include statements that aim to improve outcomes in this area.</w:t>
            </w:r>
            <w:r w:rsidR="00BB2EB0">
              <w:rPr>
                <w:rFonts w:ascii="Arial" w:hAnsi="Arial" w:cs="Arial"/>
                <w:color w:val="000000"/>
                <w:kern w:val="24"/>
                <w:sz w:val="22"/>
                <w:szCs w:val="22"/>
                <w:lang w:eastAsia="en-GB"/>
              </w:rPr>
              <w:t xml:space="preserve"> </w:t>
            </w:r>
          </w:p>
        </w:tc>
        <w:tc>
          <w:tcPr>
            <w:tcW w:w="3118" w:type="dxa"/>
          </w:tcPr>
          <w:p w14:paraId="0D72329A" w14:textId="54F94FB4" w:rsidR="002338EB" w:rsidRPr="008C3900" w:rsidRDefault="002338EB" w:rsidP="002338EB">
            <w:pPr>
              <w:spacing w:before="120" w:after="120"/>
              <w:rPr>
                <w:rFonts w:ascii="Arial" w:hAnsi="Arial" w:cs="Arial"/>
                <w:color w:val="000000"/>
                <w:kern w:val="24"/>
                <w:sz w:val="22"/>
                <w:szCs w:val="22"/>
                <w:lang w:val="en-US"/>
              </w:rPr>
            </w:pPr>
            <w:r w:rsidRPr="008C3900">
              <w:rPr>
                <w:rFonts w:ascii="Arial" w:hAnsi="Arial" w:cs="Arial"/>
                <w:color w:val="000000"/>
                <w:kern w:val="24"/>
                <w:sz w:val="22"/>
                <w:szCs w:val="22"/>
                <w:lang w:val="en-US"/>
              </w:rPr>
              <w:lastRenderedPageBreak/>
              <w:t xml:space="preserve">The indicator is derived from a high-quality evidence base. </w:t>
            </w:r>
          </w:p>
          <w:p w14:paraId="75848804" w14:textId="48D47C9D" w:rsidR="002338EB" w:rsidRPr="002338EB" w:rsidRDefault="002338EB" w:rsidP="002338EB">
            <w:pPr>
              <w:pStyle w:val="Paragraph"/>
              <w:spacing w:before="120" w:after="120" w:line="240" w:lineRule="auto"/>
              <w:rPr>
                <w:highlight w:val="lightGray"/>
              </w:rPr>
            </w:pPr>
            <w:r w:rsidRPr="008C3900">
              <w:rPr>
                <w:rFonts w:cs="Arial"/>
                <w:color w:val="000000"/>
                <w:kern w:val="24"/>
                <w:sz w:val="22"/>
                <w:szCs w:val="22"/>
                <w:lang w:val="en-US"/>
              </w:rPr>
              <w:t xml:space="preserve">The indicator aligns with </w:t>
            </w:r>
            <w:r w:rsidR="00920BBD">
              <w:rPr>
                <w:rFonts w:cs="Arial"/>
                <w:color w:val="000000"/>
                <w:kern w:val="24"/>
                <w:sz w:val="22"/>
                <w:szCs w:val="22"/>
                <w:lang w:val="en-US"/>
              </w:rPr>
              <w:t xml:space="preserve">NICE guidance. </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34FADE" w14:textId="21C09C18" w:rsidR="00835098" w:rsidRPr="00835098" w:rsidRDefault="00835098" w:rsidP="00835098">
            <w:pPr>
              <w:spacing w:before="120" w:after="120"/>
              <w:rPr>
                <w:rFonts w:ascii="Arial" w:hAnsi="Arial" w:cs="Arial"/>
                <w:color w:val="000000"/>
                <w:kern w:val="24"/>
                <w:sz w:val="22"/>
                <w:szCs w:val="22"/>
                <w:lang w:eastAsia="en-GB"/>
              </w:rPr>
            </w:pPr>
            <w:r w:rsidRPr="00835098">
              <w:rPr>
                <w:rFonts w:ascii="Arial" w:hAnsi="Arial" w:cs="Arial"/>
                <w:color w:val="000000"/>
                <w:kern w:val="24"/>
                <w:sz w:val="22"/>
                <w:szCs w:val="22"/>
                <w:lang w:eastAsia="en-GB"/>
              </w:rPr>
              <w:t>Numerator: Number of deaths for which respiratory disease is given as the underlying cause of death, based on the original cause recorded on the death certificate.</w:t>
            </w:r>
          </w:p>
          <w:p w14:paraId="4D88F0C9" w14:textId="4AD38672" w:rsidR="00835098" w:rsidRPr="00835098" w:rsidRDefault="00835098" w:rsidP="00835098">
            <w:pPr>
              <w:spacing w:before="120" w:after="120"/>
              <w:rPr>
                <w:rFonts w:ascii="Arial" w:hAnsi="Arial" w:cs="Arial"/>
                <w:color w:val="000000"/>
                <w:kern w:val="24"/>
                <w:sz w:val="22"/>
                <w:szCs w:val="22"/>
                <w:lang w:eastAsia="en-GB"/>
              </w:rPr>
            </w:pPr>
            <w:r w:rsidRPr="00835098">
              <w:rPr>
                <w:rFonts w:ascii="Arial" w:hAnsi="Arial" w:cs="Arial"/>
                <w:color w:val="000000"/>
                <w:kern w:val="24"/>
                <w:sz w:val="22"/>
                <w:szCs w:val="22"/>
                <w:lang w:eastAsia="en-GB"/>
              </w:rPr>
              <w:t xml:space="preserve">Denominator: </w:t>
            </w:r>
            <w:r w:rsidR="00400250" w:rsidRPr="00400250">
              <w:rPr>
                <w:rFonts w:ascii="Arial" w:hAnsi="Arial" w:cs="Arial"/>
                <w:sz w:val="22"/>
                <w:szCs w:val="22"/>
              </w:rPr>
              <w:t>Mid-year population estimates</w:t>
            </w:r>
            <w:r w:rsidR="00862838">
              <w:rPr>
                <w:rFonts w:ascii="Arial" w:hAnsi="Arial" w:cs="Arial"/>
                <w:sz w:val="22"/>
                <w:szCs w:val="22"/>
              </w:rPr>
              <w:t>.</w:t>
            </w:r>
          </w:p>
          <w:p w14:paraId="198A3C91" w14:textId="5E378A06" w:rsidR="00835098" w:rsidRPr="00835098" w:rsidRDefault="00835098" w:rsidP="00835098">
            <w:pPr>
              <w:spacing w:before="120" w:after="120"/>
              <w:rPr>
                <w:rFonts w:ascii="Arial" w:hAnsi="Arial" w:cs="Arial"/>
                <w:color w:val="000000"/>
                <w:kern w:val="24"/>
                <w:sz w:val="22"/>
                <w:szCs w:val="22"/>
                <w:lang w:eastAsia="en-GB"/>
              </w:rPr>
            </w:pPr>
            <w:r w:rsidRPr="00835098">
              <w:rPr>
                <w:rFonts w:ascii="Arial" w:hAnsi="Arial" w:cs="Arial"/>
                <w:color w:val="000000"/>
                <w:kern w:val="24"/>
                <w:sz w:val="22"/>
                <w:szCs w:val="22"/>
                <w:lang w:eastAsia="en-GB"/>
              </w:rPr>
              <w:t>Calculation: Directly age-standardised rate</w:t>
            </w:r>
            <w:r w:rsidR="00B74125">
              <w:rPr>
                <w:rFonts w:ascii="Arial" w:hAnsi="Arial" w:cs="Arial"/>
                <w:color w:val="000000"/>
                <w:kern w:val="24"/>
                <w:sz w:val="22"/>
                <w:szCs w:val="22"/>
                <w:lang w:eastAsia="en-GB"/>
              </w:rPr>
              <w:t>.</w:t>
            </w:r>
          </w:p>
          <w:p w14:paraId="417DDE85" w14:textId="4D0088C2" w:rsidR="00E12B5C" w:rsidRDefault="00E12B5C" w:rsidP="00835098">
            <w:pPr>
              <w:spacing w:before="120" w:after="120"/>
              <w:rPr>
                <w:rFonts w:ascii="Arial" w:hAnsi="Arial" w:cs="Arial"/>
                <w:color w:val="000000"/>
                <w:kern w:val="24"/>
                <w:sz w:val="22"/>
                <w:szCs w:val="22"/>
                <w:lang w:eastAsia="en-GB"/>
              </w:rPr>
            </w:pPr>
            <w:r w:rsidRPr="00E12B5C">
              <w:rPr>
                <w:rFonts w:ascii="Arial" w:hAnsi="Arial" w:cs="Arial"/>
                <w:color w:val="000000"/>
                <w:kern w:val="24"/>
                <w:sz w:val="22"/>
                <w:szCs w:val="22"/>
                <w:lang w:eastAsia="en-GB"/>
              </w:rPr>
              <w:t xml:space="preserve">Exclusions: </w:t>
            </w:r>
            <w:r w:rsidR="0013611B">
              <w:rPr>
                <w:rFonts w:ascii="Arial" w:hAnsi="Arial" w:cs="Arial"/>
                <w:color w:val="000000"/>
                <w:kern w:val="24"/>
                <w:sz w:val="22"/>
                <w:szCs w:val="22"/>
                <w:lang w:eastAsia="en-GB"/>
              </w:rPr>
              <w:t>None</w:t>
            </w:r>
            <w:r w:rsidR="005F6C29">
              <w:rPr>
                <w:rFonts w:ascii="Arial" w:hAnsi="Arial" w:cs="Arial"/>
                <w:color w:val="000000"/>
                <w:kern w:val="24"/>
                <w:sz w:val="22"/>
                <w:szCs w:val="22"/>
                <w:lang w:eastAsia="en-GB"/>
              </w:rPr>
              <w:t>.</w:t>
            </w:r>
          </w:p>
          <w:p w14:paraId="75F3D6DA" w14:textId="569CBBF3" w:rsidR="00835098" w:rsidRDefault="00835098" w:rsidP="00835098">
            <w:pPr>
              <w:spacing w:before="120" w:after="120"/>
              <w:rPr>
                <w:rFonts w:ascii="Arial" w:hAnsi="Arial" w:cs="Arial"/>
                <w:color w:val="000000"/>
                <w:kern w:val="24"/>
                <w:sz w:val="22"/>
                <w:szCs w:val="22"/>
                <w:lang w:eastAsia="en-GB"/>
              </w:rPr>
            </w:pPr>
            <w:r w:rsidRPr="00835098">
              <w:rPr>
                <w:rFonts w:ascii="Arial" w:hAnsi="Arial" w:cs="Arial"/>
                <w:color w:val="000000"/>
                <w:kern w:val="24"/>
                <w:sz w:val="22"/>
                <w:szCs w:val="22"/>
                <w:lang w:eastAsia="en-GB"/>
              </w:rPr>
              <w:t>Definitions: Respiratory disease uses codes ICD10 J00</w:t>
            </w:r>
            <w:r w:rsidR="009F6CC7">
              <w:rPr>
                <w:rFonts w:ascii="Arial" w:hAnsi="Arial" w:cs="Arial"/>
                <w:color w:val="000000"/>
                <w:kern w:val="24"/>
                <w:sz w:val="22"/>
                <w:szCs w:val="22"/>
                <w:lang w:eastAsia="en-GB"/>
              </w:rPr>
              <w:t xml:space="preserve"> to</w:t>
            </w:r>
            <w:r w:rsidR="00793724">
              <w:rPr>
                <w:rFonts w:ascii="Arial" w:hAnsi="Arial" w:cs="Arial"/>
                <w:color w:val="000000"/>
                <w:kern w:val="24"/>
                <w:sz w:val="22"/>
                <w:szCs w:val="22"/>
                <w:lang w:eastAsia="en-GB"/>
              </w:rPr>
              <w:t xml:space="preserve"> </w:t>
            </w:r>
            <w:r w:rsidRPr="00835098">
              <w:rPr>
                <w:rFonts w:ascii="Arial" w:hAnsi="Arial" w:cs="Arial"/>
                <w:color w:val="000000"/>
                <w:kern w:val="24"/>
                <w:sz w:val="22"/>
                <w:szCs w:val="22"/>
                <w:lang w:eastAsia="en-GB"/>
              </w:rPr>
              <w:t>J99.</w:t>
            </w:r>
            <w:r w:rsidR="00793724" w:rsidRPr="00793724">
              <w:rPr>
                <w:rFonts w:cs="Arial"/>
                <w:color w:val="000000"/>
                <w:kern w:val="24"/>
                <w:sz w:val="22"/>
                <w:szCs w:val="22"/>
              </w:rPr>
              <w:t xml:space="preserve"> </w:t>
            </w:r>
            <w:r w:rsidR="00793724" w:rsidRPr="00793724">
              <w:rPr>
                <w:rFonts w:ascii="Arial" w:hAnsi="Arial" w:cs="Arial"/>
                <w:color w:val="000000"/>
                <w:kern w:val="24"/>
                <w:sz w:val="22"/>
                <w:szCs w:val="22"/>
                <w:lang w:eastAsia="en-GB"/>
              </w:rPr>
              <w:t xml:space="preserve">The Office of National Statistics (ONS) publishes the full ICD10 classification available for the </w:t>
            </w:r>
            <w:hyperlink r:id="rId24" w:history="1">
              <w:r w:rsidR="00793724" w:rsidRPr="00793724">
                <w:rPr>
                  <w:rStyle w:val="Hyperlink"/>
                  <w:rFonts w:ascii="Arial" w:hAnsi="Arial" w:cs="Arial"/>
                  <w:kern w:val="24"/>
                  <w:sz w:val="22"/>
                  <w:szCs w:val="22"/>
                  <w:lang w:eastAsia="en-GB"/>
                </w:rPr>
                <w:t>NOMIS explorable dataset</w:t>
              </w:r>
            </w:hyperlink>
            <w:r w:rsidR="00793724" w:rsidRPr="00793724">
              <w:rPr>
                <w:rFonts w:ascii="Arial" w:hAnsi="Arial" w:cs="Arial"/>
                <w:color w:val="000000"/>
                <w:kern w:val="24"/>
                <w:sz w:val="22"/>
                <w:szCs w:val="22"/>
                <w:lang w:eastAsia="en-GB"/>
              </w:rPr>
              <w:t xml:space="preserve">. </w:t>
            </w:r>
          </w:p>
          <w:p w14:paraId="26864D3A" w14:textId="77777777" w:rsidR="00835098" w:rsidRDefault="00835098" w:rsidP="00835098">
            <w:pPr>
              <w:spacing w:before="120" w:after="120"/>
              <w:rPr>
                <w:rFonts w:ascii="Arial" w:hAnsi="Arial" w:cs="Arial"/>
                <w:color w:val="000000"/>
                <w:kern w:val="24"/>
                <w:sz w:val="22"/>
                <w:szCs w:val="22"/>
                <w:lang w:eastAsia="en-GB"/>
              </w:rPr>
            </w:pPr>
            <w:r w:rsidRPr="00835098">
              <w:rPr>
                <w:rFonts w:ascii="Arial" w:hAnsi="Arial" w:cs="Arial"/>
                <w:color w:val="000000"/>
                <w:kern w:val="24"/>
                <w:sz w:val="22"/>
                <w:szCs w:val="22"/>
                <w:lang w:eastAsia="en-GB"/>
              </w:rPr>
              <w:t>Geography: England, regions, deprivation decile.</w:t>
            </w:r>
          </w:p>
          <w:p w14:paraId="52A4C751" w14:textId="27804175" w:rsidR="00793724" w:rsidRPr="00793724" w:rsidRDefault="00793724" w:rsidP="00793724">
            <w:pPr>
              <w:spacing w:before="120" w:after="120"/>
              <w:rPr>
                <w:rFonts w:ascii="Arial" w:hAnsi="Arial" w:cs="Arial"/>
                <w:color w:val="000000"/>
                <w:kern w:val="24"/>
                <w:sz w:val="22"/>
                <w:szCs w:val="22"/>
                <w:lang w:eastAsia="en-GB"/>
              </w:rPr>
            </w:pPr>
            <w:r w:rsidRPr="00793724">
              <w:rPr>
                <w:rFonts w:ascii="Arial" w:hAnsi="Arial" w:cs="Arial"/>
                <w:color w:val="000000"/>
                <w:kern w:val="24"/>
                <w:sz w:val="22"/>
                <w:szCs w:val="22"/>
                <w:lang w:eastAsia="en-GB"/>
              </w:rPr>
              <w:t xml:space="preserve">Data source: </w:t>
            </w:r>
            <w:r w:rsidR="00E475A4" w:rsidRPr="00E475A4">
              <w:rPr>
                <w:rFonts w:ascii="Arial" w:hAnsi="Arial" w:cs="Arial"/>
                <w:color w:val="000000"/>
                <w:kern w:val="24"/>
                <w:sz w:val="22"/>
                <w:szCs w:val="22"/>
                <w:lang w:eastAsia="en-GB"/>
              </w:rPr>
              <w:t xml:space="preserve">Specification </w:t>
            </w:r>
            <w:r w:rsidR="005200B8">
              <w:rPr>
                <w:rFonts w:ascii="Arial" w:hAnsi="Arial" w:cs="Arial"/>
                <w:color w:val="000000"/>
                <w:kern w:val="24"/>
                <w:sz w:val="22"/>
                <w:szCs w:val="22"/>
                <w:lang w:eastAsia="en-GB"/>
              </w:rPr>
              <w:t>states</w:t>
            </w:r>
            <w:r w:rsidR="00E475A4" w:rsidRPr="00E475A4">
              <w:rPr>
                <w:rFonts w:ascii="Arial" w:hAnsi="Arial" w:cs="Arial"/>
                <w:color w:val="000000"/>
                <w:kern w:val="24"/>
                <w:sz w:val="22"/>
                <w:szCs w:val="22"/>
                <w:lang w:eastAsia="en-GB"/>
              </w:rPr>
              <w:t xml:space="preserve"> Primary Care Mortality Database (PCMD), but then refers to ONS Mortality data. These appear to be the same source but it could be </w:t>
            </w:r>
            <w:r w:rsidR="00E475A4" w:rsidRPr="00E475A4">
              <w:rPr>
                <w:rFonts w:ascii="Arial" w:hAnsi="Arial" w:cs="Arial"/>
                <w:color w:val="000000"/>
                <w:kern w:val="24"/>
                <w:sz w:val="22"/>
                <w:szCs w:val="22"/>
                <w:lang w:eastAsia="en-GB"/>
              </w:rPr>
              <w:lastRenderedPageBreak/>
              <w:t>clearer that this is the case</w:t>
            </w:r>
            <w:r w:rsidR="00B21BD7">
              <w:rPr>
                <w:rFonts w:ascii="Arial" w:hAnsi="Arial" w:cs="Arial"/>
                <w:color w:val="000000"/>
                <w:kern w:val="24"/>
                <w:sz w:val="22"/>
                <w:szCs w:val="22"/>
                <w:lang w:eastAsia="en-GB"/>
              </w:rPr>
              <w:t xml:space="preserve">; ONS </w:t>
            </w:r>
            <w:r w:rsidR="00B74125" w:rsidRPr="00E32F48">
              <w:rPr>
                <w:rFonts w:ascii="Arial" w:hAnsi="Arial" w:cs="Arial"/>
                <w:color w:val="000000"/>
                <w:kern w:val="24"/>
                <w:sz w:val="22"/>
                <w:szCs w:val="22"/>
                <w:lang w:eastAsia="en-GB"/>
              </w:rPr>
              <w:t>annual mid-year population estimates</w:t>
            </w:r>
            <w:r w:rsidR="00E12B5C" w:rsidRPr="00E12B5C">
              <w:rPr>
                <w:rFonts w:ascii="Arial" w:hAnsi="Arial" w:cs="Arial"/>
                <w:color w:val="000000"/>
                <w:kern w:val="24"/>
                <w:sz w:val="22"/>
                <w:szCs w:val="22"/>
                <w:lang w:eastAsia="en-GB"/>
              </w:rPr>
              <w:t>.</w:t>
            </w:r>
          </w:p>
          <w:p w14:paraId="1A8C1D16" w14:textId="15562AA1" w:rsidR="00735337" w:rsidRPr="002338EB" w:rsidRDefault="00835098" w:rsidP="002338EB">
            <w:pPr>
              <w:pStyle w:val="Paragraph"/>
              <w:spacing w:before="120" w:after="120" w:line="240" w:lineRule="auto"/>
              <w:rPr>
                <w:highlight w:val="lightGray"/>
              </w:rPr>
            </w:pPr>
            <w:r w:rsidRPr="00835098">
              <w:rPr>
                <w:rFonts w:cs="Arial"/>
                <w:color w:val="000000"/>
                <w:kern w:val="24"/>
                <w:sz w:val="22"/>
                <w:szCs w:val="22"/>
                <w:lang w:eastAsia="en-GB"/>
              </w:rPr>
              <w:t>Disclosure control: None due to region being lowest geograph</w:t>
            </w:r>
            <w:r w:rsidR="009F6CC7">
              <w:rPr>
                <w:rFonts w:cs="Arial"/>
                <w:color w:val="000000"/>
                <w:kern w:val="24"/>
                <w:sz w:val="22"/>
                <w:szCs w:val="22"/>
                <w:lang w:eastAsia="en-GB"/>
              </w:rPr>
              <w:t>ical</w:t>
            </w:r>
            <w:r w:rsidRPr="00835098">
              <w:rPr>
                <w:rFonts w:cs="Arial"/>
                <w:color w:val="000000"/>
                <w:kern w:val="24"/>
                <w:sz w:val="22"/>
                <w:szCs w:val="22"/>
                <w:lang w:eastAsia="en-GB"/>
              </w:rPr>
              <w:t xml:space="preserve"> level published.</w:t>
            </w:r>
          </w:p>
        </w:tc>
        <w:tc>
          <w:tcPr>
            <w:tcW w:w="3118" w:type="dxa"/>
          </w:tcPr>
          <w:p w14:paraId="1439227D" w14:textId="5A1A009F" w:rsidR="002338EB" w:rsidRPr="008C3900" w:rsidRDefault="002338EB" w:rsidP="002338EB">
            <w:pPr>
              <w:spacing w:before="120" w:after="120"/>
              <w:rPr>
                <w:rFonts w:ascii="Arial" w:hAnsi="Arial" w:cs="Arial"/>
                <w:color w:val="000000"/>
                <w:kern w:val="24"/>
                <w:sz w:val="22"/>
                <w:szCs w:val="22"/>
              </w:rPr>
            </w:pPr>
            <w:r w:rsidRPr="008C3900">
              <w:rPr>
                <w:rFonts w:ascii="Arial" w:hAnsi="Arial" w:cs="Arial"/>
                <w:color w:val="000000"/>
                <w:kern w:val="24"/>
                <w:sz w:val="22"/>
                <w:szCs w:val="22"/>
              </w:rPr>
              <w:lastRenderedPageBreak/>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bookmarkStart w:id="1" w:name="_Hlk187850879"/>
      <w:tr w:rsidR="002338EB" w14:paraId="48133640" w14:textId="77777777" w:rsidTr="001C517D">
        <w:tc>
          <w:tcPr>
            <w:tcW w:w="5949" w:type="dxa"/>
          </w:tcPr>
          <w:p w14:paraId="4B4889E2" w14:textId="18B47BC7" w:rsidR="002C1326" w:rsidRPr="00400250" w:rsidRDefault="00AD2371" w:rsidP="00400250">
            <w:pPr>
              <w:pStyle w:val="Paragraph"/>
              <w:spacing w:before="120" w:after="120" w:line="240" w:lineRule="auto"/>
              <w:rPr>
                <w:sz w:val="22"/>
                <w:szCs w:val="22"/>
              </w:rPr>
            </w:pPr>
            <w:r w:rsidRPr="005705B2">
              <w:rPr>
                <w:sz w:val="22"/>
                <w:szCs w:val="22"/>
              </w:rPr>
              <w:fldChar w:fldCharType="begin"/>
            </w:r>
            <w:r w:rsidRPr="005705B2">
              <w:rPr>
                <w:sz w:val="22"/>
                <w:szCs w:val="22"/>
              </w:rPr>
              <w:instrText>HYPERLINK "https://www.ons.gov.uk/peoplepopulationandcommunity/populationandmigration/populationestimates/datasets/populationestimatesforukenglandandwalesscotlandandnorthernireland"</w:instrText>
            </w:r>
            <w:r w:rsidRPr="005705B2">
              <w:rPr>
                <w:sz w:val="22"/>
                <w:szCs w:val="22"/>
              </w:rPr>
            </w:r>
            <w:r w:rsidRPr="005705B2">
              <w:rPr>
                <w:sz w:val="22"/>
                <w:szCs w:val="22"/>
              </w:rPr>
              <w:fldChar w:fldCharType="separate"/>
            </w:r>
            <w:r w:rsidRPr="005705B2">
              <w:rPr>
                <w:rStyle w:val="Hyperlink"/>
                <w:sz w:val="22"/>
                <w:szCs w:val="22"/>
              </w:rPr>
              <w:t>ONS (2024)'s Estimates of the population for the UK, England, Wales, Scotland, and Northern Ireland, mid-202</w:t>
            </w:r>
            <w:r>
              <w:rPr>
                <w:rStyle w:val="Hyperlink"/>
                <w:sz w:val="22"/>
                <w:szCs w:val="22"/>
              </w:rPr>
              <w:t>3</w:t>
            </w:r>
            <w:r w:rsidRPr="005705B2">
              <w:rPr>
                <w:rStyle w:val="Hyperlink"/>
                <w:sz w:val="22"/>
                <w:szCs w:val="22"/>
              </w:rPr>
              <w:t xml:space="preserve"> edition, MYE1</w:t>
            </w:r>
            <w:r w:rsidRPr="005705B2">
              <w:rPr>
                <w:sz w:val="22"/>
                <w:szCs w:val="22"/>
              </w:rPr>
              <w:fldChar w:fldCharType="end"/>
            </w:r>
            <w:bookmarkEnd w:id="1"/>
            <w:r w:rsidR="00793724" w:rsidRPr="00400250">
              <w:rPr>
                <w:sz w:val="22"/>
                <w:szCs w:val="22"/>
              </w:rPr>
              <w:t>, show that for England (202</w:t>
            </w:r>
            <w:r w:rsidR="00374E31">
              <w:rPr>
                <w:sz w:val="22"/>
                <w:szCs w:val="22"/>
              </w:rPr>
              <w:t>3</w:t>
            </w:r>
            <w:r w:rsidR="00793724" w:rsidRPr="00400250">
              <w:rPr>
                <w:sz w:val="22"/>
                <w:szCs w:val="22"/>
              </w:rPr>
              <w:t>), 91% (</w:t>
            </w:r>
            <w:bookmarkStart w:id="2" w:name="_Hlk188377806"/>
            <w:r w:rsidR="00002CD9" w:rsidRPr="00002CD9">
              <w:rPr>
                <w:sz w:val="22"/>
                <w:szCs w:val="22"/>
              </w:rPr>
              <w:t xml:space="preserve">52,380,101 </w:t>
            </w:r>
            <w:bookmarkEnd w:id="2"/>
            <w:r w:rsidR="00793724" w:rsidRPr="00400250">
              <w:rPr>
                <w:sz w:val="22"/>
                <w:szCs w:val="22"/>
              </w:rPr>
              <w:t xml:space="preserve">divided by </w:t>
            </w:r>
            <w:bookmarkStart w:id="3" w:name="_Hlk188377481"/>
            <w:r w:rsidR="00002CD9" w:rsidRPr="00002CD9">
              <w:rPr>
                <w:sz w:val="22"/>
                <w:szCs w:val="22"/>
              </w:rPr>
              <w:t>57,690,323</w:t>
            </w:r>
            <w:bookmarkEnd w:id="3"/>
            <w:r w:rsidR="00793724" w:rsidRPr="00400250">
              <w:rPr>
                <w:sz w:val="22"/>
                <w:szCs w:val="22"/>
              </w:rPr>
              <w:t>) of people in England were aged under 75: 9,</w:t>
            </w:r>
            <w:r w:rsidR="00002CD9" w:rsidRPr="00400250">
              <w:rPr>
                <w:sz w:val="22"/>
                <w:szCs w:val="22"/>
              </w:rPr>
              <w:t>0</w:t>
            </w:r>
            <w:r w:rsidR="00002CD9">
              <w:rPr>
                <w:sz w:val="22"/>
                <w:szCs w:val="22"/>
              </w:rPr>
              <w:t>80</w:t>
            </w:r>
            <w:r w:rsidR="00002CD9" w:rsidRPr="00400250">
              <w:rPr>
                <w:sz w:val="22"/>
                <w:szCs w:val="22"/>
              </w:rPr>
              <w:t xml:space="preserve"> </w:t>
            </w:r>
            <w:r w:rsidR="00793724" w:rsidRPr="00400250">
              <w:rPr>
                <w:sz w:val="22"/>
                <w:szCs w:val="22"/>
              </w:rPr>
              <w:t>per 10,000 patients served by a network. There is no minimum number of patients required for network level indicators. However, consideration should be given to whether the majority of results would require suppression because of small numbers.</w:t>
            </w:r>
          </w:p>
        </w:tc>
        <w:tc>
          <w:tcPr>
            <w:tcW w:w="3118" w:type="dxa"/>
          </w:tcPr>
          <w:p w14:paraId="38DE6D48" w14:textId="5CCF40BA" w:rsidR="000C4A97" w:rsidRPr="00980E04" w:rsidRDefault="003F6FB9" w:rsidP="002338EB">
            <w:pPr>
              <w:pStyle w:val="Paragraph"/>
              <w:spacing w:before="120" w:after="120" w:line="240" w:lineRule="auto"/>
              <w:rPr>
                <w:rFonts w:cs="Arial"/>
                <w:color w:val="000000"/>
                <w:kern w:val="24"/>
                <w:sz w:val="22"/>
                <w:szCs w:val="22"/>
              </w:rPr>
            </w:pPr>
            <w:r w:rsidRPr="003F6FB9">
              <w:rPr>
                <w:rFonts w:cs="Arial"/>
                <w:color w:val="000000"/>
                <w:kern w:val="24"/>
                <w:sz w:val="22"/>
                <w:szCs w:val="22"/>
              </w:rPr>
              <w:t>The indicator does not outline minimum numbers of patients needed to be confident in the assessment of variation.</w:t>
            </w:r>
            <w:r w:rsidR="00980E04">
              <w:rPr>
                <w:rFonts w:cs="Arial"/>
                <w:color w:val="000000"/>
                <w:kern w:val="24"/>
                <w:sz w:val="22"/>
                <w:szCs w:val="22"/>
              </w:rPr>
              <w:t xml:space="preserve"> No minimum number of patients is required for network level indictors.</w:t>
            </w: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1C74D4B8" w:rsidR="00735337" w:rsidRPr="008C3900" w:rsidRDefault="00E12B5C" w:rsidP="00735337">
            <w:pPr>
              <w:pStyle w:val="Paragraph"/>
              <w:spacing w:before="120" w:after="120" w:line="240" w:lineRule="auto"/>
              <w:rPr>
                <w:rFonts w:cs="Arial"/>
                <w:sz w:val="22"/>
                <w:szCs w:val="22"/>
              </w:rPr>
            </w:pPr>
            <w:r w:rsidRPr="00E12B5C">
              <w:rPr>
                <w:rFonts w:cs="Arial"/>
                <w:sz w:val="22"/>
                <w:szCs w:val="22"/>
              </w:rPr>
              <w:t>Data for the numerator and denominator are collected from ongoing routinely collected data.</w:t>
            </w:r>
          </w:p>
        </w:tc>
        <w:tc>
          <w:tcPr>
            <w:tcW w:w="3118" w:type="dxa"/>
          </w:tcPr>
          <w:p w14:paraId="7E07F302" w14:textId="5F984164" w:rsidR="00735337" w:rsidRPr="008C3900" w:rsidRDefault="00735337" w:rsidP="00735337">
            <w:pPr>
              <w:spacing w:before="120" w:after="120"/>
              <w:rPr>
                <w:rFonts w:ascii="Arial" w:hAnsi="Arial" w:cs="Arial"/>
                <w:color w:val="000000"/>
                <w:kern w:val="24"/>
                <w:sz w:val="22"/>
                <w:szCs w:val="22"/>
              </w:rPr>
            </w:pPr>
            <w:r w:rsidRPr="008C3900">
              <w:rPr>
                <w:rFonts w:ascii="Arial" w:hAnsi="Arial" w:cs="Arial"/>
                <w:color w:val="000000"/>
                <w:kern w:val="24"/>
                <w:sz w:val="22"/>
                <w:szCs w:val="22"/>
              </w:rPr>
              <w:t>The indicator is repeatable.</w:t>
            </w:r>
          </w:p>
          <w:p w14:paraId="3BEFE1B2" w14:textId="77777777" w:rsidR="00735337" w:rsidRPr="008C3900" w:rsidRDefault="00735337" w:rsidP="00735337">
            <w:pPr>
              <w:pStyle w:val="Paragraph"/>
              <w:spacing w:before="120" w:after="120" w:line="240" w:lineRule="auto"/>
            </w:pPr>
          </w:p>
        </w:tc>
      </w:tr>
      <w:tr w:rsidR="00735337" w14:paraId="2FE27CD6" w14:textId="77777777" w:rsidTr="001C517D">
        <w:tc>
          <w:tcPr>
            <w:tcW w:w="5949" w:type="dxa"/>
          </w:tcPr>
          <w:p w14:paraId="5168E29D" w14:textId="77777777" w:rsidR="00E12B5C" w:rsidRPr="005200B8" w:rsidRDefault="00E12B5C" w:rsidP="00E12B5C">
            <w:pPr>
              <w:spacing w:before="120" w:after="120"/>
              <w:rPr>
                <w:rFonts w:ascii="Arial" w:hAnsi="Arial" w:cs="Arial"/>
                <w:sz w:val="22"/>
                <w:szCs w:val="22"/>
                <w:lang w:val="en-US"/>
              </w:rPr>
            </w:pPr>
            <w:r w:rsidRPr="005200B8">
              <w:rPr>
                <w:rFonts w:ascii="Arial" w:hAnsi="Arial" w:cs="Arial"/>
                <w:sz w:val="22"/>
                <w:szCs w:val="22"/>
                <w:lang w:val="en-US"/>
              </w:rPr>
              <w:t>Data is available from ONS:</w:t>
            </w:r>
          </w:p>
          <w:p w14:paraId="4136CD98" w14:textId="3A9BB816" w:rsidR="00E12B5C" w:rsidRDefault="00E12B5C" w:rsidP="00E12B5C">
            <w:pPr>
              <w:pStyle w:val="ListParagraph"/>
              <w:numPr>
                <w:ilvl w:val="0"/>
                <w:numId w:val="43"/>
              </w:numPr>
              <w:rPr>
                <w:rFonts w:ascii="Arial" w:hAnsi="Arial" w:cs="Arial"/>
                <w:sz w:val="22"/>
                <w:szCs w:val="22"/>
                <w:lang w:val="en-US"/>
              </w:rPr>
            </w:pPr>
            <w:r w:rsidRPr="005200B8">
              <w:rPr>
                <w:rFonts w:ascii="Arial" w:hAnsi="Arial" w:cs="Arial"/>
                <w:sz w:val="22"/>
                <w:szCs w:val="22"/>
                <w:lang w:val="en-US"/>
              </w:rPr>
              <w:t xml:space="preserve">Mortality data. </w:t>
            </w:r>
          </w:p>
          <w:p w14:paraId="25BA8A65" w14:textId="01DA661D" w:rsidR="00313C15" w:rsidRPr="005200B8" w:rsidRDefault="00313C15" w:rsidP="00E12B5C">
            <w:pPr>
              <w:pStyle w:val="ListParagraph"/>
              <w:numPr>
                <w:ilvl w:val="0"/>
                <w:numId w:val="43"/>
              </w:numPr>
              <w:rPr>
                <w:rFonts w:ascii="Arial" w:hAnsi="Arial" w:cs="Arial"/>
                <w:sz w:val="22"/>
                <w:szCs w:val="22"/>
                <w:lang w:val="en-US"/>
              </w:rPr>
            </w:pPr>
            <w:r>
              <w:rPr>
                <w:rFonts w:ascii="Arial" w:hAnsi="Arial" w:cs="Arial"/>
                <w:sz w:val="22"/>
                <w:szCs w:val="22"/>
                <w:lang w:val="en-US"/>
              </w:rPr>
              <w:t>Mid-year population estimates.</w:t>
            </w:r>
          </w:p>
          <w:p w14:paraId="6B3D2BF0" w14:textId="2D4BC338" w:rsidR="00735337" w:rsidRPr="00313C15" w:rsidRDefault="00735337" w:rsidP="00313C15">
            <w:pPr>
              <w:rPr>
                <w:highlight w:val="lightGray"/>
              </w:rPr>
            </w:pPr>
          </w:p>
        </w:tc>
        <w:tc>
          <w:tcPr>
            <w:tcW w:w="3118" w:type="dxa"/>
          </w:tcPr>
          <w:p w14:paraId="501A7677" w14:textId="77777777" w:rsidR="00735337" w:rsidRPr="008C3900" w:rsidRDefault="00735337" w:rsidP="00735337">
            <w:pPr>
              <w:spacing w:before="120" w:after="120"/>
              <w:rPr>
                <w:rFonts w:ascii="Arial" w:hAnsi="Arial" w:cs="Arial"/>
                <w:color w:val="000000"/>
                <w:kern w:val="24"/>
                <w:sz w:val="22"/>
                <w:szCs w:val="22"/>
              </w:rPr>
            </w:pPr>
            <w:r w:rsidRPr="008C3900">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8C3900">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746DC757" w:rsidR="00735337" w:rsidRPr="00D74445" w:rsidRDefault="00835098" w:rsidP="003555C6">
            <w:pPr>
              <w:spacing w:before="120" w:after="120"/>
              <w:rPr>
                <w:rFonts w:cs="Arial"/>
                <w:sz w:val="22"/>
                <w:szCs w:val="22"/>
              </w:rPr>
            </w:pPr>
            <w:r w:rsidRPr="008C3900">
              <w:rPr>
                <w:rFonts w:ascii="Arial" w:hAnsi="Arial" w:cs="Arial"/>
                <w:sz w:val="22"/>
                <w:szCs w:val="22"/>
              </w:rPr>
              <w:t xml:space="preserve">The </w:t>
            </w:r>
            <w:hyperlink r:id="rId25" w:history="1">
              <w:r w:rsidRPr="008C3900">
                <w:rPr>
                  <w:rStyle w:val="Hyperlink"/>
                  <w:rFonts w:ascii="Arial" w:hAnsi="Arial" w:cs="Arial"/>
                  <w:sz w:val="22"/>
                  <w:szCs w:val="22"/>
                </w:rPr>
                <w:t>NHSOF quality statement for indicator 1.2</w:t>
              </w:r>
            </w:hyperlink>
            <w:r w:rsidRPr="008C3900">
              <w:rPr>
                <w:rFonts w:ascii="Arial" w:hAnsi="Arial" w:cs="Arial"/>
                <w:sz w:val="22"/>
                <w:szCs w:val="22"/>
              </w:rPr>
              <w:t xml:space="preserve"> </w:t>
            </w:r>
            <w:r w:rsidR="00B21BD7">
              <w:rPr>
                <w:rFonts w:ascii="Arial" w:hAnsi="Arial" w:cs="Arial"/>
                <w:sz w:val="22"/>
                <w:szCs w:val="22"/>
              </w:rPr>
              <w:t xml:space="preserve">(version 2.4 (May 2020) </w:t>
            </w:r>
            <w:r w:rsidR="003555C6" w:rsidRPr="003555C6">
              <w:rPr>
                <w:rFonts w:ascii="Arial" w:hAnsi="Arial" w:cs="Arial"/>
                <w:sz w:val="22"/>
                <w:szCs w:val="22"/>
              </w:rPr>
              <w:t>notes healthcare, public health and social care contribution to improvements in this indicator but also highlights that incidence of disease is greatly affected by demographic and cohort effects. Consideration therefore should be given to external factors when reviewing the progress of this indicator.</w:t>
            </w:r>
          </w:p>
        </w:tc>
        <w:tc>
          <w:tcPr>
            <w:tcW w:w="3118" w:type="dxa"/>
          </w:tcPr>
          <w:p w14:paraId="50C98A36" w14:textId="14C32902" w:rsidR="00735337" w:rsidRPr="00A47852" w:rsidRDefault="00735337" w:rsidP="00735337">
            <w:pPr>
              <w:pStyle w:val="Paragraph"/>
              <w:spacing w:before="120" w:after="120" w:line="240" w:lineRule="auto"/>
              <w:rPr>
                <w:highlight w:val="lightGray"/>
              </w:rPr>
            </w:pPr>
            <w:r w:rsidRPr="008C3900">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3C2B475B" w14:textId="27ACB9CA" w:rsidR="009F6CC7" w:rsidRPr="00980E3B" w:rsidRDefault="00B21BD7" w:rsidP="00400250">
            <w:pPr>
              <w:pStyle w:val="Paragraph"/>
              <w:spacing w:before="120" w:after="120" w:line="240" w:lineRule="auto"/>
              <w:rPr>
                <w:rFonts w:cs="Arial"/>
                <w:sz w:val="22"/>
                <w:szCs w:val="22"/>
              </w:rPr>
            </w:pPr>
            <w:r w:rsidRPr="00980E3B">
              <w:rPr>
                <w:rFonts w:cs="Arial"/>
                <w:sz w:val="22"/>
                <w:szCs w:val="22"/>
              </w:rPr>
              <w:t xml:space="preserve">Data is available from NHS England </w:t>
            </w:r>
            <w:r w:rsidR="00D74445" w:rsidRPr="00400250">
              <w:t xml:space="preserve">as part of the </w:t>
            </w:r>
            <w:hyperlink r:id="rId26" w:history="1">
              <w:r w:rsidR="00D74445" w:rsidRPr="00980E3B">
                <w:rPr>
                  <w:rStyle w:val="Hyperlink"/>
                  <w:rFonts w:cs="Arial"/>
                  <w:sz w:val="22"/>
                  <w:szCs w:val="22"/>
                </w:rPr>
                <w:t>NHSOF indicator 1.2</w:t>
              </w:r>
            </w:hyperlink>
            <w:r w:rsidR="00D74445" w:rsidRPr="00980E3B">
              <w:rPr>
                <w:rFonts w:cs="Arial"/>
                <w:sz w:val="22"/>
                <w:szCs w:val="22"/>
              </w:rPr>
              <w:t xml:space="preserve"> (data last published March 2022).</w:t>
            </w:r>
            <w:r w:rsidR="00835098" w:rsidRPr="00980E3B">
              <w:rPr>
                <w:rFonts w:cs="Arial"/>
                <w:sz w:val="22"/>
                <w:szCs w:val="22"/>
              </w:rPr>
              <w:t xml:space="preserve"> </w:t>
            </w:r>
          </w:p>
          <w:p w14:paraId="3AF0200A" w14:textId="264B1D67" w:rsidR="00735337" w:rsidRPr="00400250" w:rsidRDefault="00E25AF3" w:rsidP="00980E3B">
            <w:pPr>
              <w:pStyle w:val="Paragraph"/>
              <w:spacing w:before="120" w:after="120" w:line="240" w:lineRule="auto"/>
              <w:rPr>
                <w:sz w:val="22"/>
                <w:szCs w:val="22"/>
                <w:highlight w:val="lightGray"/>
              </w:rPr>
            </w:pPr>
            <w:r w:rsidRPr="00980E3B">
              <w:rPr>
                <w:rFonts w:cs="Arial"/>
                <w:sz w:val="22"/>
                <w:szCs w:val="22"/>
              </w:rPr>
              <w:t xml:space="preserve">Overall rates have </w:t>
            </w:r>
            <w:r w:rsidR="00B21BD7" w:rsidRPr="00980E3B">
              <w:rPr>
                <w:rFonts w:cs="Arial"/>
                <w:sz w:val="22"/>
                <w:szCs w:val="22"/>
              </w:rPr>
              <w:t>declined</w:t>
            </w:r>
            <w:r w:rsidRPr="00980E3B">
              <w:rPr>
                <w:rFonts w:cs="Arial"/>
                <w:sz w:val="22"/>
                <w:szCs w:val="22"/>
              </w:rPr>
              <w:t xml:space="preserve"> over time, however there is significant variation by region and deprivation decile.</w:t>
            </w:r>
          </w:p>
        </w:tc>
        <w:tc>
          <w:tcPr>
            <w:tcW w:w="3118" w:type="dxa"/>
          </w:tcPr>
          <w:p w14:paraId="2909F55A" w14:textId="37B839EE" w:rsidR="00735337" w:rsidRPr="00A47852" w:rsidRDefault="00835098" w:rsidP="00735337">
            <w:pPr>
              <w:pStyle w:val="Paragraph"/>
              <w:spacing w:before="120" w:after="120" w:line="240" w:lineRule="auto"/>
              <w:rPr>
                <w:highlight w:val="lightGray"/>
              </w:rPr>
            </w:pPr>
            <w:r w:rsidRPr="009F3FA9">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31C9850F" w14:textId="5428C1A3" w:rsidR="00835098" w:rsidRPr="00835098" w:rsidRDefault="00835098" w:rsidP="00400250">
            <w:pPr>
              <w:pStyle w:val="Paragraph"/>
              <w:spacing w:before="120" w:after="120" w:line="240" w:lineRule="auto"/>
              <w:rPr>
                <w:rFonts w:cs="Arial"/>
                <w:color w:val="000000"/>
                <w:kern w:val="24"/>
                <w:sz w:val="22"/>
                <w:szCs w:val="22"/>
                <w:lang w:eastAsia="en-GB"/>
              </w:rPr>
            </w:pPr>
            <w:r w:rsidRPr="00835098">
              <w:rPr>
                <w:rFonts w:cs="Arial"/>
                <w:color w:val="000000"/>
                <w:kern w:val="24"/>
                <w:sz w:val="22"/>
                <w:szCs w:val="22"/>
                <w:lang w:eastAsia="en-GB"/>
              </w:rPr>
              <w:t xml:space="preserve">Changes in methods for the underlying data may impact comparability of data over time. </w:t>
            </w:r>
          </w:p>
          <w:p w14:paraId="474CC3B3" w14:textId="0308087F" w:rsidR="00835098" w:rsidRPr="00835098" w:rsidRDefault="00835098" w:rsidP="00400250">
            <w:pPr>
              <w:pStyle w:val="Paragraph"/>
              <w:spacing w:before="120" w:after="120" w:line="240" w:lineRule="auto"/>
              <w:rPr>
                <w:rFonts w:cs="Arial"/>
                <w:color w:val="000000"/>
                <w:kern w:val="24"/>
                <w:sz w:val="22"/>
                <w:szCs w:val="22"/>
                <w:lang w:eastAsia="en-GB"/>
              </w:rPr>
            </w:pPr>
            <w:r w:rsidRPr="00835098">
              <w:rPr>
                <w:rFonts w:cs="Arial"/>
                <w:color w:val="000000"/>
                <w:kern w:val="24"/>
                <w:sz w:val="22"/>
                <w:szCs w:val="22"/>
                <w:lang w:eastAsia="en-GB"/>
              </w:rPr>
              <w:t xml:space="preserve">Changes in the software used to code death registrations in England and Wales may result in changes in cause of death. In 2014 the ONS made changes to the way cause of death is categorised (using IRIS ICD10 coding change). For respiratory disease it was estimated a 2.5% decrease in deaths would be the result of this change, so the decrease between 2013 and 2014 would be greater than if the changes hadn’t taken place. </w:t>
            </w:r>
          </w:p>
          <w:p w14:paraId="020DB9CC" w14:textId="2498C4C4" w:rsidR="00835098" w:rsidRPr="00835098" w:rsidRDefault="00C31ABE" w:rsidP="00400250">
            <w:pPr>
              <w:pStyle w:val="Paragraph"/>
              <w:spacing w:before="120" w:after="120" w:line="240" w:lineRule="auto"/>
              <w:rPr>
                <w:rFonts w:cs="Arial"/>
                <w:color w:val="000000"/>
                <w:kern w:val="24"/>
                <w:sz w:val="22"/>
                <w:szCs w:val="22"/>
                <w:lang w:eastAsia="en-GB"/>
              </w:rPr>
            </w:pPr>
            <w:r w:rsidRPr="00C31ABE">
              <w:rPr>
                <w:rFonts w:cs="Arial"/>
                <w:kern w:val="24"/>
                <w:sz w:val="22"/>
                <w:szCs w:val="22"/>
                <w:lang w:eastAsia="en-GB"/>
              </w:rPr>
              <w:t xml:space="preserve">There was a further change in coding from 2019 to 2020; deaths up to 2019 were adjusted in January 2020 to take account of the MUSE ICD10 coding change, as highlighted in supporting information for the </w:t>
            </w:r>
            <w:hyperlink r:id="rId27" w:history="1">
              <w:r w:rsidR="00D9212C" w:rsidRPr="00D9212C">
                <w:rPr>
                  <w:rStyle w:val="Hyperlink"/>
                  <w:rFonts w:cs="Arial"/>
                  <w:kern w:val="24"/>
                  <w:sz w:val="22"/>
                  <w:szCs w:val="22"/>
                  <w:lang w:eastAsia="en-GB"/>
                </w:rPr>
                <w:t>Public Health Outcomes Framework (PHOF)</w:t>
              </w:r>
            </w:hyperlink>
            <w:r w:rsidR="00D9212C" w:rsidRPr="00D9212C">
              <w:rPr>
                <w:rFonts w:cs="Arial"/>
                <w:kern w:val="24"/>
                <w:sz w:val="22"/>
                <w:szCs w:val="22"/>
                <w:lang w:eastAsia="en-GB"/>
              </w:rPr>
              <w:t xml:space="preserve"> </w:t>
            </w:r>
            <w:r w:rsidR="00D9212C" w:rsidRPr="005F6C29">
              <w:rPr>
                <w:rFonts w:cs="Arial"/>
                <w:kern w:val="24"/>
                <w:sz w:val="22"/>
                <w:szCs w:val="22"/>
                <w:lang w:eastAsia="en-GB"/>
              </w:rPr>
              <w:t>indicator E07a (</w:t>
            </w:r>
            <w:r w:rsidR="00B74125" w:rsidRPr="005F6C29">
              <w:rPr>
                <w:rFonts w:cs="Arial"/>
                <w:kern w:val="24"/>
                <w:sz w:val="22"/>
                <w:szCs w:val="22"/>
                <w:lang w:eastAsia="en-GB"/>
              </w:rPr>
              <w:t xml:space="preserve">indicator ID </w:t>
            </w:r>
            <w:r w:rsidR="00D9212C" w:rsidRPr="005F6C29">
              <w:rPr>
                <w:rFonts w:cs="Arial"/>
                <w:kern w:val="24"/>
                <w:sz w:val="22"/>
                <w:szCs w:val="22"/>
                <w:lang w:eastAsia="en-GB"/>
              </w:rPr>
              <w:t>40701): under 75 mortality rate from all respiratory diseases</w:t>
            </w:r>
            <w:r w:rsidR="00835098" w:rsidRPr="005F6C29">
              <w:rPr>
                <w:rFonts w:cs="Arial"/>
                <w:kern w:val="24"/>
                <w:sz w:val="22"/>
                <w:szCs w:val="22"/>
                <w:lang w:eastAsia="en-GB"/>
              </w:rPr>
              <w:t>.</w:t>
            </w:r>
            <w:r w:rsidR="00835098" w:rsidRPr="00835098">
              <w:rPr>
                <w:rFonts w:cs="Arial"/>
                <w:color w:val="000000"/>
                <w:kern w:val="24"/>
                <w:sz w:val="22"/>
                <w:szCs w:val="22"/>
                <w:lang w:eastAsia="en-GB"/>
              </w:rPr>
              <w:t xml:space="preserve"> </w:t>
            </w:r>
            <w:r w:rsidR="004E58D0" w:rsidRPr="00D74445">
              <w:rPr>
                <w:rFonts w:cs="Arial"/>
                <w:color w:val="000000"/>
                <w:kern w:val="24"/>
                <w:sz w:val="22"/>
                <w:szCs w:val="22"/>
                <w:lang w:eastAsia="en-GB"/>
              </w:rPr>
              <w:t>The data source is stated to be the Office for Health Improvement and Disparities, based on ONS data</w:t>
            </w:r>
            <w:r w:rsidR="00835098" w:rsidRPr="00D74445">
              <w:rPr>
                <w:rFonts w:cs="Arial"/>
                <w:color w:val="000000"/>
                <w:kern w:val="24"/>
                <w:sz w:val="22"/>
                <w:szCs w:val="22"/>
                <w:lang w:eastAsia="en-GB"/>
              </w:rPr>
              <w:t>.</w:t>
            </w:r>
            <w:r w:rsidR="00835098" w:rsidRPr="00835098">
              <w:rPr>
                <w:rFonts w:cs="Arial"/>
                <w:color w:val="000000"/>
                <w:kern w:val="24"/>
                <w:sz w:val="22"/>
                <w:szCs w:val="22"/>
                <w:lang w:eastAsia="en-GB"/>
              </w:rPr>
              <w:t xml:space="preserve"> </w:t>
            </w:r>
            <w:r w:rsidR="0013611B">
              <w:rPr>
                <w:rFonts w:cs="Arial"/>
                <w:color w:val="000000"/>
                <w:kern w:val="24"/>
                <w:sz w:val="22"/>
                <w:szCs w:val="22"/>
                <w:lang w:eastAsia="en-GB"/>
              </w:rPr>
              <w:t>T</w:t>
            </w:r>
            <w:r w:rsidR="00D74445" w:rsidRPr="00D74445">
              <w:rPr>
                <w:rFonts w:cs="Arial"/>
                <w:color w:val="000000"/>
                <w:kern w:val="24"/>
                <w:sz w:val="22"/>
                <w:szCs w:val="22"/>
                <w:lang w:eastAsia="en-GB"/>
              </w:rPr>
              <w:t>he</w:t>
            </w:r>
            <w:r w:rsidR="00835098" w:rsidRPr="00835098">
              <w:rPr>
                <w:rFonts w:cs="Arial"/>
                <w:color w:val="000000"/>
                <w:kern w:val="24"/>
                <w:sz w:val="22"/>
                <w:szCs w:val="22"/>
                <w:lang w:eastAsia="en-GB"/>
              </w:rPr>
              <w:t xml:space="preserve"> </w:t>
            </w:r>
            <w:r w:rsidR="0013611B" w:rsidRPr="0013611B">
              <w:rPr>
                <w:rFonts w:cs="Arial"/>
                <w:color w:val="000000"/>
                <w:kern w:val="24"/>
                <w:sz w:val="22"/>
                <w:szCs w:val="22"/>
                <w:lang w:eastAsia="en-GB"/>
              </w:rPr>
              <w:t>ONS (2020)</w:t>
            </w:r>
            <w:r w:rsidR="00D74445">
              <w:rPr>
                <w:rFonts w:cs="Arial"/>
                <w:color w:val="000000"/>
                <w:kern w:val="24"/>
                <w:sz w:val="22"/>
                <w:szCs w:val="22"/>
                <w:lang w:eastAsia="en-GB"/>
              </w:rPr>
              <w:t xml:space="preserve"> </w:t>
            </w:r>
            <w:r w:rsidR="00835098" w:rsidRPr="00835098">
              <w:rPr>
                <w:rFonts w:cs="Arial"/>
                <w:color w:val="000000"/>
                <w:kern w:val="24"/>
                <w:sz w:val="22"/>
                <w:szCs w:val="22"/>
                <w:lang w:eastAsia="en-GB"/>
              </w:rPr>
              <w:t xml:space="preserve">reports an estimated -0.6% change from previous </w:t>
            </w:r>
            <w:r w:rsidR="00B96A1D">
              <w:rPr>
                <w:rFonts w:cs="Arial"/>
                <w:color w:val="000000"/>
                <w:kern w:val="24"/>
                <w:sz w:val="22"/>
                <w:szCs w:val="22"/>
                <w:lang w:eastAsia="en-GB"/>
              </w:rPr>
              <w:t xml:space="preserve">coding </w:t>
            </w:r>
            <w:r w:rsidR="00835098" w:rsidRPr="00835098">
              <w:rPr>
                <w:rFonts w:cs="Arial"/>
                <w:color w:val="000000"/>
                <w:kern w:val="24"/>
                <w:sz w:val="22"/>
                <w:szCs w:val="22"/>
                <w:lang w:eastAsia="en-GB"/>
              </w:rPr>
              <w:t>for diseases of the respiratory system.</w:t>
            </w:r>
          </w:p>
          <w:p w14:paraId="639D71AB" w14:textId="6E2D14D9" w:rsidR="00835098" w:rsidRDefault="00835098">
            <w:pPr>
              <w:pStyle w:val="Paragraph"/>
              <w:spacing w:before="120" w:after="120" w:line="240" w:lineRule="auto"/>
              <w:rPr>
                <w:rFonts w:cs="Arial"/>
                <w:color w:val="000000"/>
                <w:kern w:val="24"/>
                <w:sz w:val="22"/>
                <w:szCs w:val="22"/>
                <w:lang w:eastAsia="en-GB"/>
              </w:rPr>
            </w:pPr>
            <w:r w:rsidRPr="00835098">
              <w:rPr>
                <w:rFonts w:cs="Arial"/>
                <w:color w:val="000000"/>
                <w:kern w:val="24"/>
                <w:sz w:val="22"/>
                <w:szCs w:val="22"/>
                <w:lang w:eastAsia="en-GB"/>
              </w:rPr>
              <w:t>ONS mid-year population estimates for 2020 were superseded by newer versions that use the same population estimates but incorporate new measures of statistical uncertainty. Census 2021 affects population estimates and so previous indicator data may not be comparable (</w:t>
            </w:r>
            <w:hyperlink r:id="rId28" w:anchor="page/6/gid/1000044/pat/159/par/K02000001/ati/15/are/E92000001/iid/40401/age/163/sex/4/cat/-1/ctp/-1/yrr/1/cid/4/tbm/1" w:history="1">
              <w:r w:rsidR="00D74445">
                <w:rPr>
                  <w:rStyle w:val="Hyperlink"/>
                  <w:rFonts w:cs="Arial"/>
                  <w:kern w:val="24"/>
                  <w:sz w:val="22"/>
                  <w:szCs w:val="22"/>
                  <w:lang w:eastAsia="en-GB"/>
                </w:rPr>
                <w:t>PHOF indicator E07a (40701); indicator definitions and supporting information</w:t>
              </w:r>
            </w:hyperlink>
            <w:r w:rsidR="006D7B18">
              <w:rPr>
                <w:color w:val="000000"/>
              </w:rPr>
              <w:t xml:space="preserve">, accessed </w:t>
            </w:r>
            <w:r w:rsidR="005200B8" w:rsidRPr="005200B8">
              <w:rPr>
                <w:rFonts w:cs="Arial"/>
                <w:color w:val="000000"/>
                <w:kern w:val="24"/>
                <w:sz w:val="22"/>
                <w:szCs w:val="22"/>
                <w:lang w:eastAsia="en-GB"/>
              </w:rPr>
              <w:t>22 October 2024).</w:t>
            </w:r>
          </w:p>
          <w:p w14:paraId="5D0DDE27" w14:textId="13C146E8" w:rsidR="004E58D0" w:rsidRPr="005F6C29" w:rsidRDefault="00373CF8" w:rsidP="009A3B46">
            <w:pPr>
              <w:pStyle w:val="Paragraph"/>
              <w:spacing w:before="120" w:after="120" w:line="240" w:lineRule="auto"/>
              <w:rPr>
                <w:strike/>
                <w:highlight w:val="lightGray"/>
              </w:rPr>
            </w:pPr>
            <w:r w:rsidRPr="00D74445">
              <w:rPr>
                <w:rFonts w:cs="Arial"/>
                <w:color w:val="000000"/>
                <w:kern w:val="24"/>
                <w:sz w:val="22"/>
                <w:szCs w:val="22"/>
                <w:lang w:eastAsia="en-GB"/>
              </w:rPr>
              <w:t xml:space="preserve">Statistics from 2020 mortality data should be interpreted with care as they may have been impacted by the COVID-19 pandemic. </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8C3900">
              <w:rPr>
                <w:rFonts w:cs="Arial"/>
                <w:color w:val="000000"/>
                <w:kern w:val="24"/>
                <w:sz w:val="22"/>
                <w:szCs w:val="22"/>
              </w:rPr>
              <w:t>The indicator has an acceptable risk of unintended consequences.</w:t>
            </w:r>
          </w:p>
        </w:tc>
      </w:tr>
    </w:tbl>
    <w:p w14:paraId="123085F8" w14:textId="46F76CC2" w:rsidR="00D73835" w:rsidRDefault="00D73835" w:rsidP="003605D5">
      <w:pPr>
        <w:pStyle w:val="Heading1"/>
      </w:pPr>
    </w:p>
    <w:sectPr w:rsidR="00D73835" w:rsidSect="003E4657">
      <w:headerReference w:type="default" r:id="rId29"/>
      <w:footerReference w:type="default" r:id="rId30"/>
      <w:headerReference w:type="first" r:id="rId31"/>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62541C38" w:rsidR="00BB14CA" w:rsidRPr="008C1C95" w:rsidRDefault="00980E04" w:rsidP="008C1C95">
    <w:pPr>
      <w:pStyle w:val="Footer"/>
      <w:jc w:val="right"/>
    </w:pPr>
    <w:r>
      <w:t>IND281</w:t>
    </w:r>
    <w:r w:rsidR="009B0E59">
      <w:t xml:space="preserve"> Validity assessment</w:t>
    </w:r>
    <w:r w:rsidR="00793724">
      <w:t xml:space="preserve"> </w:t>
    </w:r>
    <w:r w:rsidR="00BA6340">
      <w:t xml:space="preserve">August </w:t>
    </w:r>
    <w:r w:rsidR="00793724">
      <w:t>202</w:t>
    </w:r>
    <w:r w:rsidR="00BA6340">
      <w:t>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F65DB0"/>
    <w:multiLevelType w:val="hybridMultilevel"/>
    <w:tmpl w:val="C444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3E1568E"/>
    <w:multiLevelType w:val="hybridMultilevel"/>
    <w:tmpl w:val="AAC8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E76CD"/>
    <w:multiLevelType w:val="hybridMultilevel"/>
    <w:tmpl w:val="BB78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4B278F"/>
    <w:multiLevelType w:val="hybridMultilevel"/>
    <w:tmpl w:val="B828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4"/>
  </w:num>
  <w:num w:numId="2" w16cid:durableId="233853175">
    <w:abstractNumId w:val="12"/>
  </w:num>
  <w:num w:numId="3" w16cid:durableId="1529370562">
    <w:abstractNumId w:val="29"/>
  </w:num>
  <w:num w:numId="4" w16cid:durableId="657612754">
    <w:abstractNumId w:val="13"/>
  </w:num>
  <w:num w:numId="5" w16cid:durableId="1193808871">
    <w:abstractNumId w:val="26"/>
  </w:num>
  <w:num w:numId="6" w16cid:durableId="781268177">
    <w:abstractNumId w:val="1"/>
  </w:num>
  <w:num w:numId="7" w16cid:durableId="201872007">
    <w:abstractNumId w:val="11"/>
  </w:num>
  <w:num w:numId="8" w16cid:durableId="1295333019">
    <w:abstractNumId w:val="24"/>
  </w:num>
  <w:num w:numId="9" w16cid:durableId="513112173">
    <w:abstractNumId w:val="25"/>
  </w:num>
  <w:num w:numId="10" w16cid:durableId="2049523386">
    <w:abstractNumId w:val="5"/>
  </w:num>
  <w:num w:numId="11" w16cid:durableId="1370840847">
    <w:abstractNumId w:val="8"/>
  </w:num>
  <w:num w:numId="12" w16cid:durableId="1021859395">
    <w:abstractNumId w:val="2"/>
  </w:num>
  <w:num w:numId="13" w16cid:durableId="1167093030">
    <w:abstractNumId w:val="33"/>
  </w:num>
  <w:num w:numId="14" w16cid:durableId="1771392860">
    <w:abstractNumId w:val="15"/>
  </w:num>
  <w:num w:numId="15" w16cid:durableId="1260019971">
    <w:abstractNumId w:val="10"/>
  </w:num>
  <w:num w:numId="16" w16cid:durableId="546987736">
    <w:abstractNumId w:val="20"/>
  </w:num>
  <w:num w:numId="17" w16cid:durableId="2137412053">
    <w:abstractNumId w:val="17"/>
  </w:num>
  <w:num w:numId="18" w16cid:durableId="2039037637">
    <w:abstractNumId w:val="22"/>
  </w:num>
  <w:num w:numId="19" w16cid:durableId="1939945119">
    <w:abstractNumId w:val="27"/>
  </w:num>
  <w:num w:numId="20" w16cid:durableId="1057584041">
    <w:abstractNumId w:val="6"/>
  </w:num>
  <w:num w:numId="21" w16cid:durableId="1439716324">
    <w:abstractNumId w:val="30"/>
  </w:num>
  <w:num w:numId="22" w16cid:durableId="321355733">
    <w:abstractNumId w:val="0"/>
  </w:num>
  <w:num w:numId="23" w16cid:durableId="317730129">
    <w:abstractNumId w:val="4"/>
  </w:num>
  <w:num w:numId="24" w16cid:durableId="480850916">
    <w:abstractNumId w:val="28"/>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9"/>
  </w:num>
  <w:num w:numId="29" w16cid:durableId="1249540939">
    <w:abstractNumId w:val="5"/>
  </w:num>
  <w:num w:numId="30" w16cid:durableId="1681851572">
    <w:abstractNumId w:val="14"/>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1"/>
  </w:num>
  <w:num w:numId="39" w16cid:durableId="1357119577">
    <w:abstractNumId w:val="21"/>
  </w:num>
  <w:num w:numId="40" w16cid:durableId="1472091102">
    <w:abstractNumId w:val="3"/>
  </w:num>
  <w:num w:numId="41" w16cid:durableId="879324049">
    <w:abstractNumId w:val="35"/>
  </w:num>
  <w:num w:numId="42" w16cid:durableId="514224604">
    <w:abstractNumId w:val="23"/>
  </w:num>
  <w:num w:numId="43" w16cid:durableId="364209212">
    <w:abstractNumId w:val="7"/>
  </w:num>
  <w:num w:numId="44" w16cid:durableId="690883910">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2CD9"/>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3BC0"/>
    <w:rsid w:val="00035D96"/>
    <w:rsid w:val="00036EE4"/>
    <w:rsid w:val="00037552"/>
    <w:rsid w:val="000414CD"/>
    <w:rsid w:val="000453F8"/>
    <w:rsid w:val="0004619C"/>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1E3C"/>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11B"/>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5C62"/>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09D2"/>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3D38"/>
    <w:rsid w:val="00265142"/>
    <w:rsid w:val="00266AA6"/>
    <w:rsid w:val="00266B50"/>
    <w:rsid w:val="00270605"/>
    <w:rsid w:val="00271804"/>
    <w:rsid w:val="00271857"/>
    <w:rsid w:val="00274D8B"/>
    <w:rsid w:val="002750C2"/>
    <w:rsid w:val="00276AC9"/>
    <w:rsid w:val="00276DE9"/>
    <w:rsid w:val="00277ED2"/>
    <w:rsid w:val="00280F8A"/>
    <w:rsid w:val="00286537"/>
    <w:rsid w:val="00286C3A"/>
    <w:rsid w:val="00287467"/>
    <w:rsid w:val="00291A5B"/>
    <w:rsid w:val="00292B2C"/>
    <w:rsid w:val="0029330E"/>
    <w:rsid w:val="00296E2E"/>
    <w:rsid w:val="002A4B2C"/>
    <w:rsid w:val="002A5503"/>
    <w:rsid w:val="002A6812"/>
    <w:rsid w:val="002A7339"/>
    <w:rsid w:val="002A7775"/>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7AC"/>
    <w:rsid w:val="002F58D0"/>
    <w:rsid w:val="002F67D9"/>
    <w:rsid w:val="002F69F1"/>
    <w:rsid w:val="002F70E7"/>
    <w:rsid w:val="003015B5"/>
    <w:rsid w:val="0030244C"/>
    <w:rsid w:val="003030A7"/>
    <w:rsid w:val="00304581"/>
    <w:rsid w:val="00305030"/>
    <w:rsid w:val="003052E9"/>
    <w:rsid w:val="00310E3D"/>
    <w:rsid w:val="00311ED0"/>
    <w:rsid w:val="00311FE4"/>
    <w:rsid w:val="003125E6"/>
    <w:rsid w:val="003132FA"/>
    <w:rsid w:val="00313C15"/>
    <w:rsid w:val="00314933"/>
    <w:rsid w:val="0031497D"/>
    <w:rsid w:val="00316D48"/>
    <w:rsid w:val="00320EE5"/>
    <w:rsid w:val="003236DA"/>
    <w:rsid w:val="003244E5"/>
    <w:rsid w:val="00324C60"/>
    <w:rsid w:val="00326131"/>
    <w:rsid w:val="00326482"/>
    <w:rsid w:val="00330EED"/>
    <w:rsid w:val="00331B26"/>
    <w:rsid w:val="0033264F"/>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5C6"/>
    <w:rsid w:val="00355BED"/>
    <w:rsid w:val="0035645A"/>
    <w:rsid w:val="00357C1E"/>
    <w:rsid w:val="003604C3"/>
    <w:rsid w:val="003605D5"/>
    <w:rsid w:val="00361432"/>
    <w:rsid w:val="00362EE3"/>
    <w:rsid w:val="00363276"/>
    <w:rsid w:val="00365698"/>
    <w:rsid w:val="00367685"/>
    <w:rsid w:val="00367A82"/>
    <w:rsid w:val="00370930"/>
    <w:rsid w:val="00370ACD"/>
    <w:rsid w:val="00371E29"/>
    <w:rsid w:val="003722FA"/>
    <w:rsid w:val="003731E6"/>
    <w:rsid w:val="00373CF8"/>
    <w:rsid w:val="00373EA4"/>
    <w:rsid w:val="00374E31"/>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0D2C"/>
    <w:rsid w:val="00391F56"/>
    <w:rsid w:val="003953C7"/>
    <w:rsid w:val="003A03DC"/>
    <w:rsid w:val="003A1975"/>
    <w:rsid w:val="003A1DE1"/>
    <w:rsid w:val="003A39A0"/>
    <w:rsid w:val="003A3E2A"/>
    <w:rsid w:val="003B0286"/>
    <w:rsid w:val="003B0466"/>
    <w:rsid w:val="003B091A"/>
    <w:rsid w:val="003B1C33"/>
    <w:rsid w:val="003B254D"/>
    <w:rsid w:val="003B298F"/>
    <w:rsid w:val="003B69AA"/>
    <w:rsid w:val="003C1416"/>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1A03"/>
    <w:rsid w:val="003E22FC"/>
    <w:rsid w:val="003E4657"/>
    <w:rsid w:val="003F0EB9"/>
    <w:rsid w:val="003F2EC0"/>
    <w:rsid w:val="003F40D1"/>
    <w:rsid w:val="003F42F7"/>
    <w:rsid w:val="003F4970"/>
    <w:rsid w:val="003F540E"/>
    <w:rsid w:val="003F694A"/>
    <w:rsid w:val="003F6FB9"/>
    <w:rsid w:val="003F7CE6"/>
    <w:rsid w:val="003F7D78"/>
    <w:rsid w:val="00400250"/>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5BFA"/>
    <w:rsid w:val="0046709A"/>
    <w:rsid w:val="00472CEC"/>
    <w:rsid w:val="00474FE4"/>
    <w:rsid w:val="00475C7C"/>
    <w:rsid w:val="00475D8E"/>
    <w:rsid w:val="00476940"/>
    <w:rsid w:val="0047731B"/>
    <w:rsid w:val="004824B6"/>
    <w:rsid w:val="00482C01"/>
    <w:rsid w:val="00483498"/>
    <w:rsid w:val="0048353B"/>
    <w:rsid w:val="00486953"/>
    <w:rsid w:val="00486D81"/>
    <w:rsid w:val="00490638"/>
    <w:rsid w:val="004907E0"/>
    <w:rsid w:val="0049285D"/>
    <w:rsid w:val="00492AC8"/>
    <w:rsid w:val="00492CB6"/>
    <w:rsid w:val="00496B1E"/>
    <w:rsid w:val="00497AD3"/>
    <w:rsid w:val="004A13E2"/>
    <w:rsid w:val="004A1FB6"/>
    <w:rsid w:val="004A237B"/>
    <w:rsid w:val="004A517E"/>
    <w:rsid w:val="004A664D"/>
    <w:rsid w:val="004B1325"/>
    <w:rsid w:val="004B2700"/>
    <w:rsid w:val="004B4360"/>
    <w:rsid w:val="004B5F89"/>
    <w:rsid w:val="004B686A"/>
    <w:rsid w:val="004B688D"/>
    <w:rsid w:val="004B7792"/>
    <w:rsid w:val="004C101D"/>
    <w:rsid w:val="004C1C01"/>
    <w:rsid w:val="004C3670"/>
    <w:rsid w:val="004C3BFD"/>
    <w:rsid w:val="004C5C89"/>
    <w:rsid w:val="004D1267"/>
    <w:rsid w:val="004D26AD"/>
    <w:rsid w:val="004D2897"/>
    <w:rsid w:val="004D39E2"/>
    <w:rsid w:val="004D756F"/>
    <w:rsid w:val="004E0E78"/>
    <w:rsid w:val="004E4C4B"/>
    <w:rsid w:val="004E54B6"/>
    <w:rsid w:val="004E58D0"/>
    <w:rsid w:val="004F242D"/>
    <w:rsid w:val="004F3269"/>
    <w:rsid w:val="004F7D3A"/>
    <w:rsid w:val="005001FC"/>
    <w:rsid w:val="00500B02"/>
    <w:rsid w:val="005025A1"/>
    <w:rsid w:val="00502C4B"/>
    <w:rsid w:val="00503553"/>
    <w:rsid w:val="0050409D"/>
    <w:rsid w:val="00505407"/>
    <w:rsid w:val="00505DA4"/>
    <w:rsid w:val="00506302"/>
    <w:rsid w:val="00510FAD"/>
    <w:rsid w:val="00511471"/>
    <w:rsid w:val="00511887"/>
    <w:rsid w:val="005127C1"/>
    <w:rsid w:val="005138B7"/>
    <w:rsid w:val="005143BA"/>
    <w:rsid w:val="005200B8"/>
    <w:rsid w:val="00523BB4"/>
    <w:rsid w:val="005243EC"/>
    <w:rsid w:val="005249CF"/>
    <w:rsid w:val="00525DD1"/>
    <w:rsid w:val="00527A29"/>
    <w:rsid w:val="005343E1"/>
    <w:rsid w:val="005353CB"/>
    <w:rsid w:val="00535CCD"/>
    <w:rsid w:val="00545970"/>
    <w:rsid w:val="00547F79"/>
    <w:rsid w:val="00550783"/>
    <w:rsid w:val="005508EE"/>
    <w:rsid w:val="005536FB"/>
    <w:rsid w:val="00555CC8"/>
    <w:rsid w:val="00556B58"/>
    <w:rsid w:val="005577FA"/>
    <w:rsid w:val="00560680"/>
    <w:rsid w:val="0056425E"/>
    <w:rsid w:val="00565745"/>
    <w:rsid w:val="00566FFF"/>
    <w:rsid w:val="0056705D"/>
    <w:rsid w:val="00571370"/>
    <w:rsid w:val="00575207"/>
    <w:rsid w:val="005777F1"/>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092F"/>
    <w:rsid w:val="005A188D"/>
    <w:rsid w:val="005A1A5C"/>
    <w:rsid w:val="005A2F99"/>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C29"/>
    <w:rsid w:val="005F6F0A"/>
    <w:rsid w:val="005F7681"/>
    <w:rsid w:val="00601291"/>
    <w:rsid w:val="0060351B"/>
    <w:rsid w:val="00607959"/>
    <w:rsid w:val="0061221F"/>
    <w:rsid w:val="00614078"/>
    <w:rsid w:val="006150A0"/>
    <w:rsid w:val="0062122C"/>
    <w:rsid w:val="0062228B"/>
    <w:rsid w:val="00624430"/>
    <w:rsid w:val="00625AEE"/>
    <w:rsid w:val="00627687"/>
    <w:rsid w:val="006276D1"/>
    <w:rsid w:val="006279C2"/>
    <w:rsid w:val="00637F2A"/>
    <w:rsid w:val="00642C45"/>
    <w:rsid w:val="0064313B"/>
    <w:rsid w:val="0064319B"/>
    <w:rsid w:val="006434DF"/>
    <w:rsid w:val="0064604F"/>
    <w:rsid w:val="00646E39"/>
    <w:rsid w:val="0064786B"/>
    <w:rsid w:val="00651D20"/>
    <w:rsid w:val="006523CB"/>
    <w:rsid w:val="0065348A"/>
    <w:rsid w:val="006557A6"/>
    <w:rsid w:val="00657C65"/>
    <w:rsid w:val="006635D1"/>
    <w:rsid w:val="006639FD"/>
    <w:rsid w:val="00664F8F"/>
    <w:rsid w:val="00666A4E"/>
    <w:rsid w:val="00667C21"/>
    <w:rsid w:val="00667CFA"/>
    <w:rsid w:val="00670FFB"/>
    <w:rsid w:val="006773E1"/>
    <w:rsid w:val="006775AB"/>
    <w:rsid w:val="006802CA"/>
    <w:rsid w:val="006814B9"/>
    <w:rsid w:val="00683039"/>
    <w:rsid w:val="0068417E"/>
    <w:rsid w:val="00684913"/>
    <w:rsid w:val="00684E13"/>
    <w:rsid w:val="00685588"/>
    <w:rsid w:val="006862FD"/>
    <w:rsid w:val="00686D56"/>
    <w:rsid w:val="00690505"/>
    <w:rsid w:val="006921E1"/>
    <w:rsid w:val="00692F13"/>
    <w:rsid w:val="006937D0"/>
    <w:rsid w:val="00693996"/>
    <w:rsid w:val="006948AC"/>
    <w:rsid w:val="00696325"/>
    <w:rsid w:val="006966FC"/>
    <w:rsid w:val="006A25DA"/>
    <w:rsid w:val="006A2C36"/>
    <w:rsid w:val="006A5E06"/>
    <w:rsid w:val="006B17FD"/>
    <w:rsid w:val="006B44E2"/>
    <w:rsid w:val="006C0C61"/>
    <w:rsid w:val="006C3D61"/>
    <w:rsid w:val="006D4325"/>
    <w:rsid w:val="006D55A6"/>
    <w:rsid w:val="006D6BD0"/>
    <w:rsid w:val="006D7B18"/>
    <w:rsid w:val="006E09CB"/>
    <w:rsid w:val="006E2124"/>
    <w:rsid w:val="006E23A2"/>
    <w:rsid w:val="006E303F"/>
    <w:rsid w:val="006E46C1"/>
    <w:rsid w:val="006E4E37"/>
    <w:rsid w:val="006E5D76"/>
    <w:rsid w:val="006F17D4"/>
    <w:rsid w:val="006F255A"/>
    <w:rsid w:val="006F2843"/>
    <w:rsid w:val="006F2A22"/>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017"/>
    <w:rsid w:val="007434C4"/>
    <w:rsid w:val="007469C6"/>
    <w:rsid w:val="00746C13"/>
    <w:rsid w:val="00747087"/>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3724"/>
    <w:rsid w:val="007969DF"/>
    <w:rsid w:val="00796B64"/>
    <w:rsid w:val="0079772A"/>
    <w:rsid w:val="007977F2"/>
    <w:rsid w:val="007A511E"/>
    <w:rsid w:val="007B1A6C"/>
    <w:rsid w:val="007B5378"/>
    <w:rsid w:val="007B79AC"/>
    <w:rsid w:val="007C1642"/>
    <w:rsid w:val="007C33F3"/>
    <w:rsid w:val="007C4561"/>
    <w:rsid w:val="007C4814"/>
    <w:rsid w:val="007C516A"/>
    <w:rsid w:val="007C68D2"/>
    <w:rsid w:val="007C6CFD"/>
    <w:rsid w:val="007D28D7"/>
    <w:rsid w:val="007D31FD"/>
    <w:rsid w:val="007D5765"/>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277C7"/>
    <w:rsid w:val="008318F6"/>
    <w:rsid w:val="0083313E"/>
    <w:rsid w:val="008331BB"/>
    <w:rsid w:val="008338B5"/>
    <w:rsid w:val="00833D43"/>
    <w:rsid w:val="00835098"/>
    <w:rsid w:val="00840FF7"/>
    <w:rsid w:val="00841169"/>
    <w:rsid w:val="00844032"/>
    <w:rsid w:val="008443D8"/>
    <w:rsid w:val="008445E7"/>
    <w:rsid w:val="00847D3A"/>
    <w:rsid w:val="00855549"/>
    <w:rsid w:val="0086032D"/>
    <w:rsid w:val="00861B3D"/>
    <w:rsid w:val="00862838"/>
    <w:rsid w:val="00862879"/>
    <w:rsid w:val="00865C6A"/>
    <w:rsid w:val="00865CE7"/>
    <w:rsid w:val="0086701C"/>
    <w:rsid w:val="00867262"/>
    <w:rsid w:val="00870BDD"/>
    <w:rsid w:val="008717F1"/>
    <w:rsid w:val="00876D05"/>
    <w:rsid w:val="00876F5C"/>
    <w:rsid w:val="00880ED3"/>
    <w:rsid w:val="00881A7A"/>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900"/>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0BBD"/>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0E04"/>
    <w:rsid w:val="00980E3B"/>
    <w:rsid w:val="00983AF5"/>
    <w:rsid w:val="00986AA9"/>
    <w:rsid w:val="00987296"/>
    <w:rsid w:val="00987B83"/>
    <w:rsid w:val="00987E66"/>
    <w:rsid w:val="00990173"/>
    <w:rsid w:val="00992244"/>
    <w:rsid w:val="00993567"/>
    <w:rsid w:val="00994CE5"/>
    <w:rsid w:val="00995A38"/>
    <w:rsid w:val="009965E1"/>
    <w:rsid w:val="009A0E1D"/>
    <w:rsid w:val="009A23F7"/>
    <w:rsid w:val="009A2B2A"/>
    <w:rsid w:val="009A38DA"/>
    <w:rsid w:val="009A3B46"/>
    <w:rsid w:val="009A3F7F"/>
    <w:rsid w:val="009A4775"/>
    <w:rsid w:val="009A75C4"/>
    <w:rsid w:val="009B0897"/>
    <w:rsid w:val="009B0E59"/>
    <w:rsid w:val="009B1D1C"/>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5CAB"/>
    <w:rsid w:val="009D7602"/>
    <w:rsid w:val="009E3151"/>
    <w:rsid w:val="009E680B"/>
    <w:rsid w:val="009F1902"/>
    <w:rsid w:val="009F4086"/>
    <w:rsid w:val="009F4F44"/>
    <w:rsid w:val="009F6CC7"/>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62272"/>
    <w:rsid w:val="00A7018B"/>
    <w:rsid w:val="00A70A7A"/>
    <w:rsid w:val="00A71410"/>
    <w:rsid w:val="00A74AE2"/>
    <w:rsid w:val="00A756BB"/>
    <w:rsid w:val="00A77B63"/>
    <w:rsid w:val="00A80975"/>
    <w:rsid w:val="00A80F87"/>
    <w:rsid w:val="00A81B0E"/>
    <w:rsid w:val="00A8249A"/>
    <w:rsid w:val="00A85968"/>
    <w:rsid w:val="00A866E2"/>
    <w:rsid w:val="00A879B5"/>
    <w:rsid w:val="00A90FB2"/>
    <w:rsid w:val="00A922F5"/>
    <w:rsid w:val="00A9270F"/>
    <w:rsid w:val="00A96317"/>
    <w:rsid w:val="00A9690E"/>
    <w:rsid w:val="00A9779D"/>
    <w:rsid w:val="00AA061F"/>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71"/>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C07"/>
    <w:rsid w:val="00B02E55"/>
    <w:rsid w:val="00B03527"/>
    <w:rsid w:val="00B0389A"/>
    <w:rsid w:val="00B0538C"/>
    <w:rsid w:val="00B06D4E"/>
    <w:rsid w:val="00B11A62"/>
    <w:rsid w:val="00B14C5C"/>
    <w:rsid w:val="00B14C68"/>
    <w:rsid w:val="00B14DDE"/>
    <w:rsid w:val="00B157D0"/>
    <w:rsid w:val="00B15EF3"/>
    <w:rsid w:val="00B17751"/>
    <w:rsid w:val="00B17966"/>
    <w:rsid w:val="00B17CF8"/>
    <w:rsid w:val="00B17DE0"/>
    <w:rsid w:val="00B21BD7"/>
    <w:rsid w:val="00B22A36"/>
    <w:rsid w:val="00B265EB"/>
    <w:rsid w:val="00B27031"/>
    <w:rsid w:val="00B27576"/>
    <w:rsid w:val="00B307EC"/>
    <w:rsid w:val="00B32429"/>
    <w:rsid w:val="00B341DA"/>
    <w:rsid w:val="00B405A1"/>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4125"/>
    <w:rsid w:val="00B77084"/>
    <w:rsid w:val="00B80DC7"/>
    <w:rsid w:val="00B8205D"/>
    <w:rsid w:val="00B8239B"/>
    <w:rsid w:val="00B8344E"/>
    <w:rsid w:val="00B847E6"/>
    <w:rsid w:val="00B854AD"/>
    <w:rsid w:val="00B86B56"/>
    <w:rsid w:val="00B86D83"/>
    <w:rsid w:val="00B87486"/>
    <w:rsid w:val="00B909E1"/>
    <w:rsid w:val="00B91264"/>
    <w:rsid w:val="00B92B24"/>
    <w:rsid w:val="00B94316"/>
    <w:rsid w:val="00B9540A"/>
    <w:rsid w:val="00B956ED"/>
    <w:rsid w:val="00B95E5A"/>
    <w:rsid w:val="00B96A1D"/>
    <w:rsid w:val="00B96E71"/>
    <w:rsid w:val="00B97C95"/>
    <w:rsid w:val="00BA02F9"/>
    <w:rsid w:val="00BA164A"/>
    <w:rsid w:val="00BA31F9"/>
    <w:rsid w:val="00BA3317"/>
    <w:rsid w:val="00BA3553"/>
    <w:rsid w:val="00BA3FDA"/>
    <w:rsid w:val="00BA4313"/>
    <w:rsid w:val="00BA4784"/>
    <w:rsid w:val="00BA49EA"/>
    <w:rsid w:val="00BA4F42"/>
    <w:rsid w:val="00BA513C"/>
    <w:rsid w:val="00BA570A"/>
    <w:rsid w:val="00BA6340"/>
    <w:rsid w:val="00BA714E"/>
    <w:rsid w:val="00BA7AA3"/>
    <w:rsid w:val="00BB14CA"/>
    <w:rsid w:val="00BB2EB0"/>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ABE"/>
    <w:rsid w:val="00C31F4C"/>
    <w:rsid w:val="00C3209A"/>
    <w:rsid w:val="00C32ADC"/>
    <w:rsid w:val="00C35755"/>
    <w:rsid w:val="00C42E13"/>
    <w:rsid w:val="00C4427F"/>
    <w:rsid w:val="00C47DDE"/>
    <w:rsid w:val="00C50912"/>
    <w:rsid w:val="00C50FF0"/>
    <w:rsid w:val="00C53E02"/>
    <w:rsid w:val="00C56073"/>
    <w:rsid w:val="00C578C1"/>
    <w:rsid w:val="00C57E04"/>
    <w:rsid w:val="00C61696"/>
    <w:rsid w:val="00C63347"/>
    <w:rsid w:val="00C64D23"/>
    <w:rsid w:val="00C67B74"/>
    <w:rsid w:val="00C7123A"/>
    <w:rsid w:val="00C7128F"/>
    <w:rsid w:val="00C71666"/>
    <w:rsid w:val="00C7331B"/>
    <w:rsid w:val="00C73BAF"/>
    <w:rsid w:val="00C74667"/>
    <w:rsid w:val="00C74D07"/>
    <w:rsid w:val="00C803FD"/>
    <w:rsid w:val="00C80EB4"/>
    <w:rsid w:val="00C8156F"/>
    <w:rsid w:val="00C86682"/>
    <w:rsid w:val="00C90846"/>
    <w:rsid w:val="00C92700"/>
    <w:rsid w:val="00C92E3F"/>
    <w:rsid w:val="00C94681"/>
    <w:rsid w:val="00CA08B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3AA"/>
    <w:rsid w:val="00CE0526"/>
    <w:rsid w:val="00CE1ED9"/>
    <w:rsid w:val="00CE3665"/>
    <w:rsid w:val="00CE4F42"/>
    <w:rsid w:val="00CE5520"/>
    <w:rsid w:val="00CE5BCF"/>
    <w:rsid w:val="00CF0BB4"/>
    <w:rsid w:val="00CF1333"/>
    <w:rsid w:val="00CF1BB4"/>
    <w:rsid w:val="00CF2FF8"/>
    <w:rsid w:val="00CF3F6B"/>
    <w:rsid w:val="00CF4851"/>
    <w:rsid w:val="00CF4AF9"/>
    <w:rsid w:val="00CF58B7"/>
    <w:rsid w:val="00CF5DD6"/>
    <w:rsid w:val="00D0069F"/>
    <w:rsid w:val="00D007C0"/>
    <w:rsid w:val="00D05493"/>
    <w:rsid w:val="00D103E1"/>
    <w:rsid w:val="00D11C27"/>
    <w:rsid w:val="00D13EFE"/>
    <w:rsid w:val="00D148D5"/>
    <w:rsid w:val="00D16E6A"/>
    <w:rsid w:val="00D172EA"/>
    <w:rsid w:val="00D1792B"/>
    <w:rsid w:val="00D20AD2"/>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4445"/>
    <w:rsid w:val="00D76DF4"/>
    <w:rsid w:val="00D76F5A"/>
    <w:rsid w:val="00D7722A"/>
    <w:rsid w:val="00D8007E"/>
    <w:rsid w:val="00D80B1B"/>
    <w:rsid w:val="00D82293"/>
    <w:rsid w:val="00D8405B"/>
    <w:rsid w:val="00D84E7D"/>
    <w:rsid w:val="00D86BF0"/>
    <w:rsid w:val="00D86DCB"/>
    <w:rsid w:val="00D91BA1"/>
    <w:rsid w:val="00D9212C"/>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D69C1"/>
    <w:rsid w:val="00DD7179"/>
    <w:rsid w:val="00DE165D"/>
    <w:rsid w:val="00DE2FD7"/>
    <w:rsid w:val="00DE45A3"/>
    <w:rsid w:val="00DE466D"/>
    <w:rsid w:val="00DE5EE7"/>
    <w:rsid w:val="00DF06AD"/>
    <w:rsid w:val="00DF1EC1"/>
    <w:rsid w:val="00DF343E"/>
    <w:rsid w:val="00DF67C3"/>
    <w:rsid w:val="00DF6CEB"/>
    <w:rsid w:val="00E0098A"/>
    <w:rsid w:val="00E009D9"/>
    <w:rsid w:val="00E03F71"/>
    <w:rsid w:val="00E045EE"/>
    <w:rsid w:val="00E05162"/>
    <w:rsid w:val="00E06ED0"/>
    <w:rsid w:val="00E1082D"/>
    <w:rsid w:val="00E12B5C"/>
    <w:rsid w:val="00E130CB"/>
    <w:rsid w:val="00E14934"/>
    <w:rsid w:val="00E15C44"/>
    <w:rsid w:val="00E172BE"/>
    <w:rsid w:val="00E2160E"/>
    <w:rsid w:val="00E24E02"/>
    <w:rsid w:val="00E25895"/>
    <w:rsid w:val="00E25AF3"/>
    <w:rsid w:val="00E30CA9"/>
    <w:rsid w:val="00E32F48"/>
    <w:rsid w:val="00E34A54"/>
    <w:rsid w:val="00E405E1"/>
    <w:rsid w:val="00E408AB"/>
    <w:rsid w:val="00E41E68"/>
    <w:rsid w:val="00E43B2D"/>
    <w:rsid w:val="00E460A6"/>
    <w:rsid w:val="00E475A4"/>
    <w:rsid w:val="00E50CB6"/>
    <w:rsid w:val="00E517C5"/>
    <w:rsid w:val="00E51920"/>
    <w:rsid w:val="00E53A58"/>
    <w:rsid w:val="00E542FA"/>
    <w:rsid w:val="00E54D26"/>
    <w:rsid w:val="00E620CC"/>
    <w:rsid w:val="00E63ADD"/>
    <w:rsid w:val="00E64120"/>
    <w:rsid w:val="00E65FA3"/>
    <w:rsid w:val="00E678CB"/>
    <w:rsid w:val="00E67D1E"/>
    <w:rsid w:val="00E7019E"/>
    <w:rsid w:val="00E707FD"/>
    <w:rsid w:val="00E710D7"/>
    <w:rsid w:val="00E71348"/>
    <w:rsid w:val="00E71657"/>
    <w:rsid w:val="00E72EDE"/>
    <w:rsid w:val="00E745BB"/>
    <w:rsid w:val="00E77C80"/>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3100"/>
    <w:rsid w:val="00EA4221"/>
    <w:rsid w:val="00EB2FE6"/>
    <w:rsid w:val="00EB3CD8"/>
    <w:rsid w:val="00EB6F5F"/>
    <w:rsid w:val="00ED07B2"/>
    <w:rsid w:val="00ED246E"/>
    <w:rsid w:val="00ED379C"/>
    <w:rsid w:val="00ED3989"/>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67FE5"/>
    <w:rsid w:val="00F701C7"/>
    <w:rsid w:val="00F7531F"/>
    <w:rsid w:val="00F762D8"/>
    <w:rsid w:val="00F7721E"/>
    <w:rsid w:val="00F77823"/>
    <w:rsid w:val="00F77F03"/>
    <w:rsid w:val="00F77FD4"/>
    <w:rsid w:val="00F81C15"/>
    <w:rsid w:val="00F82391"/>
    <w:rsid w:val="00F8333E"/>
    <w:rsid w:val="00F858CA"/>
    <w:rsid w:val="00F862A5"/>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297"/>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16CC"/>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724"/>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440517">
      <w:bodyDiv w:val="1"/>
      <w:marLeft w:val="0"/>
      <w:marRight w:val="0"/>
      <w:marTop w:val="0"/>
      <w:marBottom w:val="0"/>
      <w:divBdr>
        <w:top w:val="none" w:sz="0" w:space="0" w:color="auto"/>
        <w:left w:val="none" w:sz="0" w:space="0" w:color="auto"/>
        <w:bottom w:val="none" w:sz="0" w:space="0" w:color="auto"/>
        <w:right w:val="none" w:sz="0" w:space="0" w:color="auto"/>
      </w:divBdr>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ongtermplan.nhs.uk/publication/nhs-long-term-plan/" TargetMode="External"/><Relationship Id="rId18" Type="http://schemas.openxmlformats.org/officeDocument/2006/relationships/hyperlink" Target="https://www.nice.org.uk/guidance/cg191" TargetMode="External"/><Relationship Id="rId26" Type="http://schemas.openxmlformats.org/officeDocument/2006/relationships/hyperlink" Target="https://digital.nhs.uk/data-and-information/publications/statistical/nhs-outcomes-framework/march-2022/domain-1---preventing-people-from-dying-prematurely-nof/1.2-under-75-mortality-rate-from-respiratory-disease" TargetMode="External"/><Relationship Id="rId3" Type="http://schemas.openxmlformats.org/officeDocument/2006/relationships/settings" Target="settings.xml"/><Relationship Id="rId21" Type="http://schemas.openxmlformats.org/officeDocument/2006/relationships/hyperlink" Target="https://www.nice.org.uk/guidance/qs207" TargetMode="External"/><Relationship Id="rId7" Type="http://schemas.openxmlformats.org/officeDocument/2006/relationships/hyperlink" Target="https://www.longtermplan.nhs.uk/publication/nhs-long-term-plan/" TargetMode="External"/><Relationship Id="rId12" Type="http://schemas.openxmlformats.org/officeDocument/2006/relationships/hyperlink" Target="https://digital.nhs.uk/data-and-information/publications/statistical/nhs-outcomes-framework/march-2022/domain-1---preventing-people-from-dying-prematurely-nof/1.2-under-75-mortality-rate-from-respiratory-disease" TargetMode="External"/><Relationship Id="rId17" Type="http://schemas.openxmlformats.org/officeDocument/2006/relationships/hyperlink" Target="https://www.nice.org.uk/guidance/ng70" TargetMode="External"/><Relationship Id="rId25" Type="http://schemas.openxmlformats.org/officeDocument/2006/relationships/hyperlink" Target="https://digital.nhs.uk/data-and-information/publications/statistical/nhs-outcomes-framework/march-2022/domain-1---preventing-people-from-dying-prematurely-nof/1.2-under-75-mortality-rate-from-respiratory-diseas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ce.org.uk/guidance/ng115" TargetMode="External"/><Relationship Id="rId20" Type="http://schemas.openxmlformats.org/officeDocument/2006/relationships/hyperlink" Target="https://www.nice.org.uk/guidance/NG11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385751/NHS_Outcomes_Tech_Appendix.pdf" TargetMode="External"/><Relationship Id="rId24" Type="http://schemas.openxmlformats.org/officeDocument/2006/relationships/hyperlink" Target="https://www.ons.gov.uk/peoplepopulationandcommunity/birthsdeathsandmarriages/deaths/methodologies/userguidetomortalitystatisticsjuly201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ice.org.uk/guidance/ng209" TargetMode="External"/><Relationship Id="rId23" Type="http://schemas.openxmlformats.org/officeDocument/2006/relationships/hyperlink" Target="https://www.nice.org.uk/guidance/qs110" TargetMode="External"/><Relationship Id="rId28" Type="http://schemas.openxmlformats.org/officeDocument/2006/relationships/hyperlink" Target="https://fingertips.phe.org.uk/profile/public-health-outcomes-framework/data" TargetMode="External"/><Relationship Id="rId10" Type="http://schemas.openxmlformats.org/officeDocument/2006/relationships/hyperlink" Target="https://digital.nhs.uk/data-and-information/publications/statistical/nhs-outcomes-framework/march-2022/domain-1---preventing-people-from-dying-prematurely-nof/1.2-under-75-mortality-rate-from-respiratory-disease" TargetMode="External"/><Relationship Id="rId19" Type="http://schemas.openxmlformats.org/officeDocument/2006/relationships/hyperlink" Target="https://www.nice.org.uk/guidance/qs25"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igital.nhs.uk/data-and-information/publications/statistical/nhs-outcomes-framework/march-2022/domain-1---preventing-people-from-dying-prematurely-nof/1.2-under-75-mortality-rate-from-respiratory-disease" TargetMode="External"/><Relationship Id="rId14" Type="http://schemas.openxmlformats.org/officeDocument/2006/relationships/hyperlink" Target="https://www.nice.org.uk/guidance/ng245" TargetMode="External"/><Relationship Id="rId22" Type="http://schemas.openxmlformats.org/officeDocument/2006/relationships/hyperlink" Target="https://www.nice.org.uk/guidance/qs181" TargetMode="External"/><Relationship Id="rId27" Type="http://schemas.openxmlformats.org/officeDocument/2006/relationships/hyperlink" Target="https://fingertips.phe.org.uk/profile/public-health-outcomes-framework" TargetMode="External"/><Relationship Id="rId30" Type="http://schemas.openxmlformats.org/officeDocument/2006/relationships/footer" Target="footer1.xml"/><Relationship Id="rId8" Type="http://schemas.openxmlformats.org/officeDocument/2006/relationships/hyperlink" Target="https://digital.nhs.uk/data-and-information/publications/statistical/nhs-outcomes-framework/march-2022/domain-1---preventing-people-from-dying-prematurely-nof/1.2-under-75-mortality-rate-from-respiratory-dise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2025-01-21T23:30:00Z</dcterms:created>
  <dcterms:modified xsi:type="dcterms:W3CDTF">2025-01-22T14:59:00Z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