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5C583359" w:rsidR="009B0E59" w:rsidRPr="009B0E59" w:rsidRDefault="009B0E59" w:rsidP="00192685">
      <w:pPr>
        <w:pStyle w:val="Heading1"/>
        <w:rPr>
          <w:lang w:eastAsia="en-GB"/>
        </w:rPr>
      </w:pPr>
      <w:r w:rsidRPr="009B0E59">
        <w:rPr>
          <w:lang w:eastAsia="en-GB"/>
        </w:rPr>
        <w:t xml:space="preserve">Indicator </w:t>
      </w:r>
      <w:r w:rsidR="000741CB">
        <w:rPr>
          <w:lang w:eastAsia="en-GB"/>
        </w:rPr>
        <w:t>IND283</w:t>
      </w:r>
    </w:p>
    <w:p w14:paraId="40BBDD20" w14:textId="77777777" w:rsidR="001211CD" w:rsidRDefault="001211CD" w:rsidP="00192685">
      <w:pPr>
        <w:pStyle w:val="Heading1"/>
        <w:rPr>
          <w:b w:val="0"/>
          <w:bCs w:val="0"/>
          <w:kern w:val="0"/>
          <w:sz w:val="24"/>
          <w:szCs w:val="24"/>
          <w:lang w:eastAsia="en-GB"/>
        </w:rPr>
      </w:pPr>
      <w:r w:rsidRPr="001211CD">
        <w:rPr>
          <w:b w:val="0"/>
          <w:bCs w:val="0"/>
          <w:kern w:val="0"/>
          <w:sz w:val="24"/>
          <w:szCs w:val="24"/>
          <w:lang w:eastAsia="en-GB"/>
        </w:rPr>
        <w:t>Infant mortality.</w:t>
      </w:r>
    </w:p>
    <w:p w14:paraId="6CBA005E" w14:textId="4F27B0F1" w:rsidR="00236060" w:rsidRDefault="00236060" w:rsidP="00192685">
      <w:pPr>
        <w:pStyle w:val="Heading1"/>
      </w:pPr>
      <w:r>
        <w:t xml:space="preserve">Indicator type </w:t>
      </w:r>
    </w:p>
    <w:p w14:paraId="46523583" w14:textId="3EB6C09D" w:rsidR="00210B0B" w:rsidRPr="00210B0B" w:rsidRDefault="00210B0B" w:rsidP="00212A5C">
      <w:pPr>
        <w:pStyle w:val="Paragraph"/>
      </w:pPr>
      <w:r w:rsidRPr="00210B0B">
        <w:t xml:space="preserve">Network / system level indicator. </w:t>
      </w:r>
    </w:p>
    <w:p w14:paraId="7C25BFBC" w14:textId="56EC3C23"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D76244">
        <w:trPr>
          <w:trHeight w:val="984"/>
        </w:trPr>
        <w:tc>
          <w:tcPr>
            <w:tcW w:w="5949" w:type="dxa"/>
          </w:tcPr>
          <w:p w14:paraId="6F338971" w14:textId="4873A929" w:rsidR="00B42331" w:rsidRPr="00B42331" w:rsidRDefault="001211CD" w:rsidP="001211CD">
            <w:pPr>
              <w:pStyle w:val="Paragraph"/>
              <w:spacing w:before="120" w:after="120" w:line="240" w:lineRule="auto"/>
              <w:rPr>
                <w:rFonts w:cs="Arial"/>
                <w:sz w:val="22"/>
                <w:szCs w:val="22"/>
              </w:rPr>
            </w:pPr>
            <w:r w:rsidRPr="001211CD">
              <w:rPr>
                <w:rFonts w:cs="Arial"/>
                <w:sz w:val="22"/>
                <w:szCs w:val="22"/>
              </w:rPr>
              <w:t xml:space="preserve">The </w:t>
            </w:r>
            <w:hyperlink r:id="rId8" w:history="1">
              <w:r w:rsidRPr="001211CD">
                <w:rPr>
                  <w:rStyle w:val="Hyperlink"/>
                  <w:rFonts w:cs="Arial"/>
                  <w:sz w:val="22"/>
                  <w:szCs w:val="22"/>
                </w:rPr>
                <w:t>NHS Long Term Plan</w:t>
              </w:r>
            </w:hyperlink>
            <w:r w:rsidRPr="001211CD">
              <w:rPr>
                <w:rFonts w:cs="Arial"/>
                <w:sz w:val="22"/>
                <w:szCs w:val="22"/>
              </w:rPr>
              <w:t xml:space="preserve"> details ambitions to improve maternity and neonatal services.</w:t>
            </w:r>
          </w:p>
        </w:tc>
        <w:tc>
          <w:tcPr>
            <w:tcW w:w="3118" w:type="dxa"/>
          </w:tcPr>
          <w:p w14:paraId="272CA0EC" w14:textId="42A7E803" w:rsidR="002338EB" w:rsidRPr="00D76244" w:rsidRDefault="002338EB" w:rsidP="00D76244">
            <w:pPr>
              <w:spacing w:before="120" w:after="120"/>
              <w:rPr>
                <w:rFonts w:ascii="Arial" w:hAnsi="Arial" w:cs="Arial"/>
                <w:color w:val="000000"/>
                <w:kern w:val="24"/>
                <w:sz w:val="22"/>
                <w:szCs w:val="22"/>
                <w:lang w:val="en-US"/>
              </w:rPr>
            </w:pPr>
            <w:r w:rsidRPr="001211CD">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378D38FD" w14:textId="732287B3" w:rsidR="00210B0B" w:rsidRPr="002338EB" w:rsidRDefault="00D76244" w:rsidP="00735337">
            <w:pPr>
              <w:pStyle w:val="Paragraph"/>
              <w:spacing w:before="120" w:after="120" w:line="240" w:lineRule="auto"/>
              <w:rPr>
                <w:highlight w:val="lightGray"/>
              </w:rPr>
            </w:pPr>
            <w:r w:rsidRPr="00D76244">
              <w:rPr>
                <w:rFonts w:cs="Arial"/>
                <w:sz w:val="22"/>
                <w:szCs w:val="22"/>
              </w:rPr>
              <w:t>Nationally rates have been falling over time, from a rate per 1,000 of 5.7 in 1999 to 3.6 in 2020. Variation exists by deprivation (higher in most deprived areas), by age of mother (higher in mothers under 20 and over 40) and across geographies</w:t>
            </w:r>
            <w:r>
              <w:rPr>
                <w:rFonts w:cs="Arial"/>
                <w:sz w:val="22"/>
                <w:szCs w:val="22"/>
              </w:rPr>
              <w:t xml:space="preserve"> </w:t>
            </w:r>
            <w:r w:rsidR="001211CD" w:rsidRPr="001211CD">
              <w:rPr>
                <w:rFonts w:cs="Arial"/>
                <w:sz w:val="22"/>
                <w:szCs w:val="22"/>
              </w:rPr>
              <w:t>(</w:t>
            </w:r>
            <w:hyperlink r:id="rId9" w:history="1">
              <w:r>
                <w:rPr>
                  <w:rStyle w:val="Hyperlink"/>
                  <w:rFonts w:cs="Arial"/>
                  <w:sz w:val="22"/>
                  <w:szCs w:val="22"/>
                </w:rPr>
                <w:t>NHS Outcomes Framework (NHSOF) data for indicator 1.6.i</w:t>
              </w:r>
            </w:hyperlink>
            <w:r w:rsidRPr="00D76244">
              <w:t xml:space="preserve"> (</w:t>
            </w:r>
            <w:r w:rsidR="001211CD" w:rsidRPr="001211CD">
              <w:rPr>
                <w:rFonts w:cs="Arial"/>
                <w:sz w:val="22"/>
                <w:szCs w:val="22"/>
              </w:rPr>
              <w:t>March 2022)</w:t>
            </w:r>
            <w:r>
              <w:rPr>
                <w:rFonts w:cs="Arial"/>
                <w:sz w:val="22"/>
                <w:szCs w:val="22"/>
              </w:rPr>
              <w:t>).</w:t>
            </w:r>
          </w:p>
        </w:tc>
        <w:tc>
          <w:tcPr>
            <w:tcW w:w="3118" w:type="dxa"/>
          </w:tcPr>
          <w:p w14:paraId="3C8B1CA2" w14:textId="77777777" w:rsidR="00735337" w:rsidRPr="001211CD" w:rsidRDefault="00735337" w:rsidP="00735337">
            <w:pPr>
              <w:spacing w:before="120" w:after="120"/>
              <w:rPr>
                <w:rFonts w:ascii="Arial" w:hAnsi="Arial" w:cs="Arial"/>
                <w:color w:val="000000"/>
                <w:kern w:val="24"/>
                <w:sz w:val="22"/>
                <w:szCs w:val="22"/>
                <w:lang w:val="en-US"/>
              </w:rPr>
            </w:pPr>
            <w:r w:rsidRPr="001211CD">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1211CD">
              <w:rPr>
                <w:rFonts w:cs="Arial"/>
                <w:color w:val="000000"/>
                <w:kern w:val="24"/>
                <w:sz w:val="22"/>
                <w:szCs w:val="22"/>
                <w:lang w:val="en-US"/>
              </w:rPr>
              <w:t>The indicator addresses under-treatment.</w:t>
            </w:r>
          </w:p>
        </w:tc>
      </w:tr>
      <w:tr w:rsidR="00735337" w14:paraId="373D8AA4" w14:textId="77777777" w:rsidTr="00212A5C">
        <w:trPr>
          <w:trHeight w:val="557"/>
        </w:trPr>
        <w:tc>
          <w:tcPr>
            <w:tcW w:w="5949" w:type="dxa"/>
          </w:tcPr>
          <w:p w14:paraId="4D25B184" w14:textId="1693FD24" w:rsidR="001211CD" w:rsidRPr="001211CD" w:rsidRDefault="00B42331" w:rsidP="001211CD">
            <w:pPr>
              <w:spacing w:before="120" w:after="120"/>
              <w:rPr>
                <w:rFonts w:ascii="Arial" w:hAnsi="Arial" w:cs="Arial"/>
                <w:sz w:val="22"/>
                <w:szCs w:val="22"/>
              </w:rPr>
            </w:pPr>
            <w:r>
              <w:rPr>
                <w:rFonts w:ascii="Arial" w:hAnsi="Arial" w:cs="Arial"/>
                <w:sz w:val="22"/>
                <w:szCs w:val="22"/>
              </w:rPr>
              <w:t>‘</w:t>
            </w:r>
            <w:r w:rsidR="001211CD" w:rsidRPr="001211CD">
              <w:rPr>
                <w:rFonts w:ascii="Arial" w:hAnsi="Arial" w:cs="Arial"/>
                <w:sz w:val="22"/>
                <w:szCs w:val="22"/>
              </w:rPr>
              <w:t xml:space="preserve">Deaths under </w:t>
            </w:r>
            <w:r w:rsidR="00CD71C4">
              <w:rPr>
                <w:rFonts w:ascii="Arial" w:hAnsi="Arial" w:cs="Arial"/>
                <w:sz w:val="22"/>
                <w:szCs w:val="22"/>
              </w:rPr>
              <w:t>1</w:t>
            </w:r>
            <w:r w:rsidR="00CD71C4" w:rsidRPr="001211CD">
              <w:rPr>
                <w:rFonts w:ascii="Arial" w:hAnsi="Arial" w:cs="Arial"/>
                <w:sz w:val="22"/>
                <w:szCs w:val="22"/>
              </w:rPr>
              <w:t xml:space="preserve"> </w:t>
            </w:r>
            <w:r w:rsidR="001211CD" w:rsidRPr="001211CD">
              <w:rPr>
                <w:rFonts w:ascii="Arial" w:hAnsi="Arial" w:cs="Arial"/>
                <w:sz w:val="22"/>
                <w:szCs w:val="22"/>
              </w:rPr>
              <w:t>year of age are considered a key international indicator of a country’s population health and quality of health care services. The infant mortality rate is particularly important for monitoring outcomes for high-risk groups such as pre-term babies and growth restricted babies.</w:t>
            </w:r>
          </w:p>
          <w:p w14:paraId="3A17FB88" w14:textId="063B1AE9" w:rsidR="001211CD" w:rsidRDefault="001211CD" w:rsidP="001211CD">
            <w:pPr>
              <w:spacing w:before="120" w:after="120"/>
              <w:rPr>
                <w:rFonts w:ascii="Arial" w:hAnsi="Arial" w:cs="Arial"/>
                <w:sz w:val="22"/>
                <w:szCs w:val="22"/>
              </w:rPr>
            </w:pPr>
            <w:r w:rsidRPr="001211CD">
              <w:rPr>
                <w:rFonts w:ascii="Arial" w:hAnsi="Arial" w:cs="Arial"/>
                <w:sz w:val="22"/>
                <w:szCs w:val="22"/>
              </w:rPr>
              <w:t xml:space="preserve">Historically, infant mortality claimed a considerable percentage of children born, but rates have significantly declined in the UK mainly due to improvements in basic health care and technological advances. Many post-neonatal deaths occur </w:t>
            </w:r>
            <w:proofErr w:type="gramStart"/>
            <w:r w:rsidRPr="001211CD">
              <w:rPr>
                <w:rFonts w:ascii="Arial" w:hAnsi="Arial" w:cs="Arial"/>
                <w:sz w:val="22"/>
                <w:szCs w:val="22"/>
              </w:rPr>
              <w:t>as a result of</w:t>
            </w:r>
            <w:proofErr w:type="gramEnd"/>
            <w:r w:rsidRPr="001211CD">
              <w:rPr>
                <w:rFonts w:ascii="Arial" w:hAnsi="Arial" w:cs="Arial"/>
                <w:sz w:val="22"/>
                <w:szCs w:val="22"/>
              </w:rPr>
              <w:t xml:space="preserve"> improvements in neonatal care postponing deaths which might otherwise have occurred earlier</w:t>
            </w:r>
            <w:r w:rsidR="00B42331">
              <w:rPr>
                <w:rFonts w:ascii="Arial" w:hAnsi="Arial" w:cs="Arial"/>
                <w:sz w:val="22"/>
                <w:szCs w:val="22"/>
              </w:rPr>
              <w:t>’</w:t>
            </w:r>
            <w:r w:rsidR="00110427">
              <w:rPr>
                <w:rFonts w:ascii="Arial" w:hAnsi="Arial" w:cs="Arial"/>
                <w:sz w:val="22"/>
                <w:szCs w:val="22"/>
              </w:rPr>
              <w:t>.</w:t>
            </w:r>
          </w:p>
          <w:p w14:paraId="085C2314" w14:textId="2A6CDEB5" w:rsidR="00D76244" w:rsidRDefault="00804D50" w:rsidP="00804D50">
            <w:pPr>
              <w:spacing w:before="120" w:after="120"/>
              <w:rPr>
                <w:rFonts w:ascii="Arial" w:hAnsi="Arial" w:cs="Arial"/>
                <w:sz w:val="22"/>
                <w:szCs w:val="22"/>
              </w:rPr>
            </w:pPr>
            <w:r>
              <w:rPr>
                <w:rFonts w:ascii="Arial" w:hAnsi="Arial" w:cs="Arial"/>
                <w:sz w:val="22"/>
                <w:szCs w:val="22"/>
              </w:rPr>
              <w:t xml:space="preserve">Reducing deaths in babies age under 1 and reducing the gap between the richest and poorest formed part of the </w:t>
            </w:r>
            <w:hyperlink r:id="rId10" w:history="1">
              <w:r w:rsidRPr="00B42331">
                <w:rPr>
                  <w:rStyle w:val="Hyperlink"/>
                  <w:rFonts w:ascii="Arial" w:hAnsi="Arial" w:cs="Arial"/>
                  <w:sz w:val="22"/>
                  <w:szCs w:val="22"/>
                </w:rPr>
                <w:t>Government’s strategy for public health</w:t>
              </w:r>
            </w:hyperlink>
            <w:r w:rsidR="00110427">
              <w:rPr>
                <w:rFonts w:ascii="Arial" w:hAnsi="Arial" w:cs="Arial"/>
                <w:sz w:val="22"/>
                <w:szCs w:val="22"/>
              </w:rPr>
              <w:t xml:space="preserve"> </w:t>
            </w:r>
          </w:p>
          <w:p w14:paraId="79EA1380" w14:textId="7B092F6A" w:rsidR="00D76244" w:rsidRPr="00D76244" w:rsidRDefault="00D76244" w:rsidP="00804D50">
            <w:pPr>
              <w:spacing w:before="120" w:after="120"/>
            </w:pPr>
            <w:r>
              <w:rPr>
                <w:rFonts w:ascii="Arial" w:hAnsi="Arial" w:cs="Arial"/>
                <w:sz w:val="22"/>
                <w:szCs w:val="22"/>
              </w:rPr>
              <w:t>(</w:t>
            </w:r>
            <w:hyperlink r:id="rId11" w:history="1">
              <w:r>
                <w:rPr>
                  <w:rStyle w:val="Hyperlink"/>
                  <w:rFonts w:ascii="Arial" w:hAnsi="Arial" w:cs="Arial"/>
                  <w:sz w:val="22"/>
                  <w:szCs w:val="22"/>
                </w:rPr>
                <w:t>NHSOF quality statement for indicator 1.6.i</w:t>
              </w:r>
            </w:hyperlink>
            <w:r>
              <w:rPr>
                <w:rFonts w:ascii="Arial" w:hAnsi="Arial" w:cs="Arial"/>
                <w:sz w:val="22"/>
                <w:szCs w:val="22"/>
              </w:rPr>
              <w:t>, version 2.4 (</w:t>
            </w:r>
            <w:r w:rsidRPr="00B42331">
              <w:rPr>
                <w:rFonts w:ascii="Arial" w:hAnsi="Arial" w:cs="Arial"/>
                <w:sz w:val="22"/>
                <w:szCs w:val="22"/>
              </w:rPr>
              <w:t>May 2020</w:t>
            </w:r>
            <w:r>
              <w:rPr>
                <w:rFonts w:ascii="Arial" w:hAnsi="Arial" w:cs="Arial"/>
                <w:sz w:val="22"/>
                <w:szCs w:val="22"/>
              </w:rPr>
              <w:t>).</w:t>
            </w:r>
          </w:p>
          <w:p w14:paraId="40A2EA38" w14:textId="152C9FAF" w:rsidR="00804D50" w:rsidRPr="001211CD" w:rsidRDefault="00110427" w:rsidP="001211CD">
            <w:pPr>
              <w:spacing w:before="120" w:after="120"/>
              <w:rPr>
                <w:rFonts w:ascii="Arial" w:hAnsi="Arial" w:cs="Arial"/>
                <w:sz w:val="22"/>
                <w:szCs w:val="22"/>
              </w:rPr>
            </w:pPr>
            <w:r>
              <w:rPr>
                <w:rFonts w:ascii="Arial" w:hAnsi="Arial" w:cs="Arial"/>
                <w:sz w:val="22"/>
                <w:szCs w:val="22"/>
              </w:rPr>
              <w:t>M</w:t>
            </w:r>
            <w:r w:rsidR="00697AE9">
              <w:rPr>
                <w:rFonts w:ascii="Arial" w:hAnsi="Arial" w:cs="Arial"/>
                <w:sz w:val="22"/>
                <w:szCs w:val="22"/>
              </w:rPr>
              <w:t xml:space="preserve">aternity </w:t>
            </w:r>
            <w:r>
              <w:rPr>
                <w:rFonts w:ascii="Arial" w:hAnsi="Arial" w:cs="Arial"/>
                <w:sz w:val="22"/>
                <w:szCs w:val="22"/>
              </w:rPr>
              <w:t xml:space="preserve">- </w:t>
            </w:r>
            <w:r w:rsidR="00697AE9">
              <w:rPr>
                <w:rFonts w:ascii="Arial" w:hAnsi="Arial" w:cs="Arial"/>
                <w:sz w:val="22"/>
                <w:szCs w:val="22"/>
              </w:rPr>
              <w:t xml:space="preserve">ensuring continuity of care for women </w:t>
            </w:r>
            <w:r>
              <w:rPr>
                <w:rFonts w:ascii="Arial" w:hAnsi="Arial" w:cs="Arial"/>
                <w:sz w:val="22"/>
                <w:szCs w:val="22"/>
              </w:rPr>
              <w:t xml:space="preserve">from Black, Asian and minority ethnic communities and from </w:t>
            </w:r>
            <w:r w:rsidR="00697AE9">
              <w:rPr>
                <w:rFonts w:ascii="Arial" w:hAnsi="Arial" w:cs="Arial"/>
                <w:sz w:val="22"/>
                <w:szCs w:val="22"/>
              </w:rPr>
              <w:t>the most deprived groups</w:t>
            </w:r>
            <w:r>
              <w:rPr>
                <w:rFonts w:ascii="Arial" w:hAnsi="Arial" w:cs="Arial"/>
                <w:sz w:val="22"/>
                <w:szCs w:val="22"/>
              </w:rPr>
              <w:t xml:space="preserve"> – is </w:t>
            </w:r>
            <w:r w:rsidR="00697AE9">
              <w:rPr>
                <w:rFonts w:ascii="Arial" w:hAnsi="Arial" w:cs="Arial"/>
                <w:sz w:val="22"/>
                <w:szCs w:val="22"/>
              </w:rPr>
              <w:t xml:space="preserve">identified as one of 5 key </w:t>
            </w:r>
            <w:r w:rsidR="00697AE9">
              <w:rPr>
                <w:rFonts w:ascii="Arial" w:hAnsi="Arial" w:cs="Arial"/>
                <w:sz w:val="22"/>
                <w:szCs w:val="22"/>
              </w:rPr>
              <w:lastRenderedPageBreak/>
              <w:t>clinicals area of health inequalities</w:t>
            </w:r>
            <w:r>
              <w:rPr>
                <w:rFonts w:ascii="Arial" w:hAnsi="Arial" w:cs="Arial"/>
                <w:sz w:val="22"/>
                <w:szCs w:val="22"/>
              </w:rPr>
              <w:t xml:space="preserve"> (</w:t>
            </w:r>
            <w:hyperlink r:id="rId12" w:history="1">
              <w:r>
                <w:rPr>
                  <w:rStyle w:val="Hyperlink"/>
                  <w:rFonts w:ascii="Arial" w:hAnsi="Arial" w:cs="Arial"/>
                  <w:sz w:val="22"/>
                  <w:szCs w:val="22"/>
                </w:rPr>
                <w:t>NHSE's CORE20PLUS5</w:t>
              </w:r>
            </w:hyperlink>
            <w:r w:rsidR="00697AE9" w:rsidRPr="00804D50">
              <w:rPr>
                <w:rFonts w:ascii="Arial" w:hAnsi="Arial" w:cs="Arial"/>
                <w:sz w:val="22"/>
                <w:szCs w:val="22"/>
              </w:rPr>
              <w:t>).</w:t>
            </w:r>
          </w:p>
        </w:tc>
        <w:tc>
          <w:tcPr>
            <w:tcW w:w="3118" w:type="dxa"/>
          </w:tcPr>
          <w:p w14:paraId="380FC230" w14:textId="77777777" w:rsidR="00735337" w:rsidRPr="001211CD" w:rsidRDefault="00735337" w:rsidP="00735337">
            <w:pPr>
              <w:spacing w:before="120" w:after="120"/>
              <w:rPr>
                <w:rFonts w:ascii="Arial" w:hAnsi="Arial" w:cs="Arial"/>
                <w:color w:val="000000"/>
                <w:kern w:val="24"/>
                <w:sz w:val="22"/>
                <w:szCs w:val="22"/>
                <w:lang w:val="en-US"/>
              </w:rPr>
            </w:pPr>
            <w:r w:rsidRPr="001211CD">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1211CD" w:rsidRDefault="00735337" w:rsidP="00735337">
            <w:pPr>
              <w:spacing w:before="120" w:after="120"/>
              <w:rPr>
                <w:rFonts w:ascii="Arial" w:hAnsi="Arial" w:cs="Arial"/>
                <w:color w:val="000000"/>
                <w:kern w:val="24"/>
                <w:sz w:val="22"/>
                <w:szCs w:val="22"/>
                <w:lang w:val="en-US"/>
              </w:rPr>
            </w:pP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AA66477" w14:textId="7315CBBD" w:rsidR="001211CD" w:rsidRDefault="001211CD" w:rsidP="001211CD">
            <w:pPr>
              <w:spacing w:before="120" w:after="120"/>
              <w:rPr>
                <w:rFonts w:ascii="Arial" w:hAnsi="Arial" w:cs="Arial"/>
                <w:color w:val="000000"/>
                <w:kern w:val="24"/>
                <w:sz w:val="22"/>
                <w:szCs w:val="22"/>
                <w:lang w:eastAsia="en-GB"/>
              </w:rPr>
            </w:pPr>
            <w:r w:rsidRPr="001211CD">
              <w:rPr>
                <w:rFonts w:ascii="Arial" w:hAnsi="Arial" w:cs="Arial"/>
                <w:color w:val="000000"/>
                <w:kern w:val="24"/>
                <w:sz w:val="22"/>
                <w:szCs w:val="22"/>
                <w:lang w:eastAsia="en-GB"/>
              </w:rPr>
              <w:t xml:space="preserve">Deaths under </w:t>
            </w:r>
            <w:r w:rsidR="00CD71C4">
              <w:rPr>
                <w:rFonts w:ascii="Arial" w:hAnsi="Arial" w:cs="Arial"/>
                <w:color w:val="000000"/>
                <w:kern w:val="24"/>
                <w:sz w:val="22"/>
                <w:szCs w:val="22"/>
                <w:lang w:eastAsia="en-GB"/>
              </w:rPr>
              <w:t>1</w:t>
            </w:r>
            <w:r w:rsidR="00CD71C4" w:rsidRPr="001211CD">
              <w:rPr>
                <w:rFonts w:ascii="Arial" w:hAnsi="Arial" w:cs="Arial"/>
                <w:color w:val="000000"/>
                <w:kern w:val="24"/>
                <w:sz w:val="22"/>
                <w:szCs w:val="22"/>
                <w:lang w:eastAsia="en-GB"/>
              </w:rPr>
              <w:t xml:space="preserve"> </w:t>
            </w:r>
            <w:r w:rsidRPr="001211CD">
              <w:rPr>
                <w:rFonts w:ascii="Arial" w:hAnsi="Arial" w:cs="Arial"/>
                <w:color w:val="000000"/>
                <w:kern w:val="24"/>
                <w:sz w:val="22"/>
                <w:szCs w:val="22"/>
                <w:lang w:eastAsia="en-GB"/>
              </w:rPr>
              <w:t>year of age are considered a key international indicator of a country’s population health and quality of health care services. The infant mortality rate is particularly important for monitoring outcomes for high- risk groups such as pre-term babies and growth restricted babies.</w:t>
            </w:r>
            <w:r w:rsidR="003036B5">
              <w:rPr>
                <w:rFonts w:ascii="Arial" w:hAnsi="Arial" w:cs="Arial"/>
                <w:color w:val="000000"/>
                <w:kern w:val="24"/>
                <w:sz w:val="22"/>
                <w:szCs w:val="22"/>
                <w:lang w:eastAsia="en-GB"/>
              </w:rPr>
              <w:t xml:space="preserve"> </w:t>
            </w:r>
          </w:p>
          <w:p w14:paraId="3D2E575F" w14:textId="73F50889" w:rsidR="003036B5" w:rsidRPr="001211CD" w:rsidRDefault="00D76244" w:rsidP="001211CD">
            <w:pPr>
              <w:spacing w:before="120" w:after="120"/>
              <w:rPr>
                <w:rFonts w:ascii="Arial" w:hAnsi="Arial" w:cs="Arial"/>
                <w:color w:val="000000"/>
                <w:kern w:val="24"/>
                <w:sz w:val="22"/>
                <w:szCs w:val="22"/>
                <w:lang w:eastAsia="en-GB"/>
              </w:rPr>
            </w:pPr>
            <w:hyperlink r:id="rId13" w:history="1">
              <w:r>
                <w:rPr>
                  <w:rStyle w:val="Hyperlink"/>
                  <w:rFonts w:ascii="Arial" w:hAnsi="Arial" w:cs="Arial"/>
                  <w:kern w:val="24"/>
                  <w:sz w:val="22"/>
                  <w:szCs w:val="22"/>
                  <w:lang w:eastAsia="en-GB"/>
                </w:rPr>
                <w:t>NHSOF quality statement for indicator 1.6i</w:t>
              </w:r>
            </w:hyperlink>
            <w:r>
              <w:rPr>
                <w:rStyle w:val="Hyperlink"/>
                <w:rFonts w:ascii="Arial" w:hAnsi="Arial" w:cs="Arial"/>
                <w:kern w:val="24"/>
                <w:sz w:val="22"/>
                <w:szCs w:val="22"/>
                <w:lang w:eastAsia="en-GB"/>
              </w:rPr>
              <w:t>,</w:t>
            </w:r>
            <w:r w:rsidR="003036B5" w:rsidRPr="003036B5">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version 2.4 (</w:t>
            </w:r>
            <w:r w:rsidR="003036B5" w:rsidRPr="003036B5">
              <w:rPr>
                <w:rFonts w:ascii="Arial" w:hAnsi="Arial" w:cs="Arial"/>
                <w:color w:val="000000"/>
                <w:kern w:val="24"/>
                <w:sz w:val="22"/>
                <w:szCs w:val="22"/>
                <w:lang w:eastAsia="en-GB"/>
              </w:rPr>
              <w:t>May 2020).</w:t>
            </w:r>
          </w:p>
          <w:p w14:paraId="1359C26D" w14:textId="3F2A1FF1" w:rsidR="002338EB" w:rsidRPr="005965BC" w:rsidRDefault="00CD71C4" w:rsidP="00212A5C">
            <w:pPr>
              <w:spacing w:before="120" w:after="120"/>
            </w:pPr>
            <w:r>
              <w:rPr>
                <w:rFonts w:ascii="Arial" w:hAnsi="Arial" w:cs="Arial"/>
                <w:color w:val="000000"/>
                <w:kern w:val="24"/>
                <w:sz w:val="22"/>
                <w:szCs w:val="22"/>
                <w:lang w:eastAsia="en-GB"/>
              </w:rPr>
              <w:t>Also aligns with</w:t>
            </w:r>
            <w:r w:rsidR="005965BC">
              <w:rPr>
                <w:rFonts w:ascii="Arial" w:hAnsi="Arial" w:cs="Arial"/>
                <w:color w:val="000000"/>
                <w:kern w:val="24"/>
                <w:sz w:val="22"/>
                <w:szCs w:val="22"/>
                <w:lang w:eastAsia="en-GB"/>
              </w:rPr>
              <w:t xml:space="preserve"> NICE’s guidelines on </w:t>
            </w:r>
            <w:hyperlink r:id="rId14" w:history="1">
              <w:r w:rsidR="005965BC" w:rsidRPr="005965BC">
                <w:rPr>
                  <w:rStyle w:val="Hyperlink"/>
                  <w:rFonts w:ascii="Arial" w:hAnsi="Arial" w:cs="Arial"/>
                  <w:kern w:val="24"/>
                  <w:sz w:val="22"/>
                  <w:szCs w:val="22"/>
                  <w:lang w:eastAsia="en-GB"/>
                </w:rPr>
                <w:t>antenatal care</w:t>
              </w:r>
            </w:hyperlink>
            <w:r w:rsidR="005965BC">
              <w:rPr>
                <w:rFonts w:ascii="Arial" w:hAnsi="Arial" w:cs="Arial"/>
                <w:color w:val="000000"/>
                <w:kern w:val="24"/>
                <w:sz w:val="22"/>
                <w:szCs w:val="22"/>
                <w:lang w:eastAsia="en-GB"/>
              </w:rPr>
              <w:t xml:space="preserve">, </w:t>
            </w:r>
            <w:hyperlink r:id="rId15" w:history="1">
              <w:r w:rsidR="005965BC" w:rsidRPr="005965BC">
                <w:rPr>
                  <w:rStyle w:val="Hyperlink"/>
                  <w:rFonts w:ascii="Arial" w:hAnsi="Arial" w:cs="Arial"/>
                  <w:kern w:val="24"/>
                  <w:sz w:val="22"/>
                  <w:szCs w:val="22"/>
                  <w:lang w:eastAsia="en-GB"/>
                </w:rPr>
                <w:t>intrapartum care</w:t>
              </w:r>
            </w:hyperlink>
            <w:r w:rsidR="005965BC">
              <w:rPr>
                <w:rFonts w:ascii="Arial" w:hAnsi="Arial" w:cs="Arial"/>
                <w:color w:val="000000"/>
                <w:kern w:val="24"/>
                <w:sz w:val="22"/>
                <w:szCs w:val="22"/>
                <w:lang w:eastAsia="en-GB"/>
              </w:rPr>
              <w:t xml:space="preserve"> and </w:t>
            </w:r>
            <w:hyperlink r:id="rId16" w:history="1">
              <w:r w:rsidR="00B10FC7">
                <w:rPr>
                  <w:rStyle w:val="Hyperlink"/>
                  <w:rFonts w:ascii="Arial" w:hAnsi="Arial" w:cs="Arial"/>
                  <w:kern w:val="24"/>
                  <w:sz w:val="22"/>
                  <w:szCs w:val="22"/>
                  <w:lang w:eastAsia="en-GB"/>
                </w:rPr>
                <w:t>postnatal care</w:t>
              </w:r>
            </w:hyperlink>
            <w:r w:rsidR="005965BC">
              <w:rPr>
                <w:rFonts w:ascii="Arial" w:hAnsi="Arial" w:cs="Arial"/>
                <w:color w:val="000000"/>
                <w:kern w:val="24"/>
                <w:sz w:val="22"/>
                <w:szCs w:val="22"/>
                <w:lang w:eastAsia="en-GB"/>
              </w:rPr>
              <w:t xml:space="preserve">, on which NICE’s quality standards on </w:t>
            </w:r>
            <w:hyperlink r:id="rId17" w:history="1">
              <w:r w:rsidR="005965BC">
                <w:rPr>
                  <w:rStyle w:val="Hyperlink"/>
                  <w:rFonts w:ascii="Arial" w:hAnsi="Arial" w:cs="Arial"/>
                  <w:kern w:val="24"/>
                  <w:sz w:val="22"/>
                  <w:szCs w:val="22"/>
                  <w:lang w:eastAsia="en-GB"/>
                </w:rPr>
                <w:t>antenatal care QS22</w:t>
              </w:r>
            </w:hyperlink>
            <w:r w:rsidR="001211CD" w:rsidRPr="001211CD">
              <w:rPr>
                <w:rFonts w:ascii="Arial" w:hAnsi="Arial" w:cs="Arial"/>
                <w:color w:val="000000"/>
                <w:kern w:val="24"/>
                <w:sz w:val="22"/>
                <w:szCs w:val="22"/>
                <w:lang w:eastAsia="en-GB"/>
              </w:rPr>
              <w:t xml:space="preserve">, </w:t>
            </w:r>
            <w:hyperlink r:id="rId18" w:history="1">
              <w:r w:rsidR="005965BC">
                <w:rPr>
                  <w:rStyle w:val="Hyperlink"/>
                  <w:rFonts w:ascii="Arial" w:hAnsi="Arial" w:cs="Arial"/>
                  <w:kern w:val="24"/>
                  <w:sz w:val="22"/>
                  <w:szCs w:val="22"/>
                  <w:lang w:eastAsia="en-GB"/>
                </w:rPr>
                <w:t>intrapartum care 105</w:t>
              </w:r>
            </w:hyperlink>
            <w:r w:rsidR="00697AE9">
              <w:rPr>
                <w:rFonts w:ascii="Arial" w:hAnsi="Arial" w:cs="Arial"/>
                <w:color w:val="000000"/>
                <w:kern w:val="24"/>
                <w:sz w:val="22"/>
                <w:szCs w:val="22"/>
                <w:lang w:eastAsia="en-GB"/>
              </w:rPr>
              <w:t xml:space="preserve"> </w:t>
            </w:r>
            <w:r w:rsidR="005965BC">
              <w:rPr>
                <w:rFonts w:ascii="Arial" w:hAnsi="Arial" w:cs="Arial"/>
                <w:color w:val="000000"/>
                <w:kern w:val="24"/>
                <w:sz w:val="22"/>
                <w:szCs w:val="22"/>
                <w:lang w:eastAsia="en-GB"/>
              </w:rPr>
              <w:t xml:space="preserve">and </w:t>
            </w:r>
            <w:hyperlink r:id="rId19" w:history="1">
              <w:r w:rsidR="00B10FC7">
                <w:rPr>
                  <w:rStyle w:val="Hyperlink"/>
                  <w:rFonts w:ascii="Arial" w:hAnsi="Arial" w:cs="Arial"/>
                  <w:kern w:val="24"/>
                  <w:sz w:val="22"/>
                  <w:szCs w:val="22"/>
                  <w:lang w:eastAsia="en-GB"/>
                </w:rPr>
                <w:t>caesarean birth QS37</w:t>
              </w:r>
            </w:hyperlink>
            <w:r w:rsidR="005965BC">
              <w:rPr>
                <w:rStyle w:val="Hyperlink"/>
                <w:rFonts w:ascii="Arial" w:hAnsi="Arial" w:cs="Arial"/>
                <w:kern w:val="24"/>
                <w:sz w:val="22"/>
                <w:szCs w:val="22"/>
                <w:lang w:eastAsia="en-GB"/>
              </w:rPr>
              <w:t xml:space="preserve"> </w:t>
            </w:r>
            <w:r w:rsidR="005965BC" w:rsidRPr="005965BC">
              <w:rPr>
                <w:rFonts w:ascii="Arial" w:hAnsi="Arial" w:cs="Arial"/>
                <w:color w:val="000000"/>
                <w:sz w:val="22"/>
                <w:szCs w:val="22"/>
              </w:rPr>
              <w:t>are based</w:t>
            </w:r>
            <w:r w:rsidR="005965BC">
              <w:rPr>
                <w:rFonts w:ascii="Arial" w:hAnsi="Arial" w:cs="Arial"/>
                <w:color w:val="000000"/>
                <w:sz w:val="22"/>
                <w:szCs w:val="22"/>
              </w:rPr>
              <w:t xml:space="preserve">. </w:t>
            </w:r>
            <w:r w:rsidR="000B02C5" w:rsidRPr="000B02C5">
              <w:rPr>
                <w:rFonts w:ascii="Arial" w:hAnsi="Arial" w:cs="Arial"/>
                <w:color w:val="000000"/>
                <w:kern w:val="24"/>
                <w:sz w:val="22"/>
                <w:szCs w:val="22"/>
                <w:lang w:eastAsia="en-GB"/>
              </w:rPr>
              <w:t>QS22</w:t>
            </w:r>
            <w:r w:rsidR="00697AE9">
              <w:rPr>
                <w:rFonts w:ascii="Arial" w:hAnsi="Arial" w:cs="Arial"/>
                <w:color w:val="000000"/>
                <w:kern w:val="24"/>
                <w:sz w:val="22"/>
                <w:szCs w:val="22"/>
                <w:lang w:eastAsia="en-GB"/>
              </w:rPr>
              <w:t xml:space="preserve"> highlights the association between poor maternal outcomes (maternal death and stillbirth rates) and living in the most deprived areas. </w:t>
            </w:r>
          </w:p>
        </w:tc>
        <w:tc>
          <w:tcPr>
            <w:tcW w:w="3118" w:type="dxa"/>
          </w:tcPr>
          <w:p w14:paraId="3F247785" w14:textId="0408145D" w:rsidR="005965BC" w:rsidRPr="000741CB" w:rsidRDefault="002338EB" w:rsidP="000741CB">
            <w:pPr>
              <w:spacing w:before="120" w:after="120"/>
              <w:rPr>
                <w:rFonts w:ascii="Arial" w:hAnsi="Arial" w:cs="Arial"/>
                <w:color w:val="000000"/>
                <w:kern w:val="24"/>
                <w:sz w:val="22"/>
                <w:szCs w:val="22"/>
                <w:lang w:val="en-US"/>
              </w:rPr>
            </w:pPr>
            <w:r w:rsidRPr="001211CD">
              <w:rPr>
                <w:rFonts w:ascii="Arial" w:hAnsi="Arial" w:cs="Arial"/>
                <w:color w:val="000000"/>
                <w:kern w:val="24"/>
                <w:sz w:val="22"/>
                <w:szCs w:val="22"/>
                <w:lang w:val="en-US"/>
              </w:rPr>
              <w:t xml:space="preserve">The indicator is derived from a high-quality evidence base. </w:t>
            </w:r>
          </w:p>
          <w:p w14:paraId="75848804" w14:textId="5172E0BC" w:rsidR="002338EB" w:rsidRPr="002338EB" w:rsidRDefault="002338EB" w:rsidP="002338EB">
            <w:pPr>
              <w:pStyle w:val="Paragraph"/>
              <w:spacing w:before="120" w:after="120" w:line="240" w:lineRule="auto"/>
              <w:rPr>
                <w:highlight w:val="lightGray"/>
              </w:rPr>
            </w:pPr>
            <w:r w:rsidRPr="001211CD">
              <w:rPr>
                <w:rFonts w:cs="Arial"/>
                <w:color w:val="000000"/>
                <w:kern w:val="24"/>
                <w:sz w:val="22"/>
                <w:szCs w:val="22"/>
                <w:lang w:val="en-US"/>
              </w:rPr>
              <w:t xml:space="preserve">The indicator aligns with </w:t>
            </w:r>
            <w:r w:rsidR="00CD71C4">
              <w:rPr>
                <w:rFonts w:cs="Arial"/>
                <w:color w:val="000000"/>
                <w:kern w:val="24"/>
                <w:sz w:val="22"/>
                <w:szCs w:val="22"/>
                <w:lang w:val="en-US"/>
              </w:rPr>
              <w:t>N</w:t>
            </w:r>
            <w:r w:rsidR="00931A6A">
              <w:rPr>
                <w:rFonts w:cs="Arial"/>
                <w:color w:val="000000"/>
                <w:kern w:val="24"/>
                <w:sz w:val="22"/>
                <w:szCs w:val="22"/>
                <w:lang w:val="en-US"/>
              </w:rPr>
              <w:t>ICE guidance.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3896386" w14:textId="70A2DC5D"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Numerator: Number of deaths of infants </w:t>
            </w:r>
            <w:r w:rsidR="00FF69FC">
              <w:rPr>
                <w:rFonts w:ascii="Arial" w:hAnsi="Arial" w:cs="Arial"/>
                <w:color w:val="000000"/>
                <w:kern w:val="24"/>
                <w:sz w:val="22"/>
                <w:szCs w:val="22"/>
                <w:lang w:eastAsia="en-GB"/>
              </w:rPr>
              <w:t xml:space="preserve">(aged under 1) </w:t>
            </w:r>
            <w:r w:rsidRPr="00ED38C9">
              <w:rPr>
                <w:rFonts w:ascii="Arial" w:hAnsi="Arial" w:cs="Arial"/>
                <w:color w:val="000000"/>
                <w:kern w:val="24"/>
                <w:sz w:val="22"/>
                <w:szCs w:val="22"/>
                <w:lang w:eastAsia="en-GB"/>
              </w:rPr>
              <w:t>occurring within the year.</w:t>
            </w:r>
          </w:p>
          <w:p w14:paraId="68BBCB11" w14:textId="77777777"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Denominator: Number of live births occurring within the year. </w:t>
            </w:r>
          </w:p>
          <w:p w14:paraId="076A3EA5" w14:textId="484EDCD8"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Calculation: Rate per </w:t>
            </w:r>
            <w:r w:rsidR="000B02C5">
              <w:rPr>
                <w:rFonts w:ascii="Arial" w:hAnsi="Arial" w:cs="Arial"/>
                <w:color w:val="000000"/>
                <w:kern w:val="24"/>
                <w:sz w:val="22"/>
                <w:szCs w:val="22"/>
                <w:lang w:eastAsia="en-GB"/>
              </w:rPr>
              <w:t>1,000</w:t>
            </w:r>
            <w:r w:rsidRPr="00ED38C9">
              <w:rPr>
                <w:rFonts w:ascii="Arial" w:hAnsi="Arial" w:cs="Arial"/>
                <w:color w:val="000000"/>
                <w:kern w:val="24"/>
                <w:sz w:val="22"/>
                <w:szCs w:val="22"/>
                <w:lang w:eastAsia="en-GB"/>
              </w:rPr>
              <w:t xml:space="preserve"> live births.</w:t>
            </w:r>
          </w:p>
          <w:p w14:paraId="4E9A6653" w14:textId="6D061767" w:rsidR="000B02C5" w:rsidRDefault="000B02C5" w:rsidP="00ED38C9">
            <w:pPr>
              <w:spacing w:before="120" w:after="120"/>
              <w:rPr>
                <w:rFonts w:ascii="Arial" w:hAnsi="Arial" w:cs="Arial"/>
                <w:color w:val="000000"/>
                <w:kern w:val="24"/>
                <w:sz w:val="22"/>
                <w:szCs w:val="22"/>
                <w:lang w:eastAsia="en-GB"/>
              </w:rPr>
            </w:pPr>
            <w:r w:rsidRPr="000B02C5">
              <w:rPr>
                <w:rFonts w:ascii="Arial" w:hAnsi="Arial" w:cs="Arial"/>
                <w:color w:val="000000"/>
                <w:kern w:val="24"/>
                <w:sz w:val="22"/>
                <w:szCs w:val="22"/>
                <w:lang w:eastAsia="en-GB"/>
              </w:rPr>
              <w:t>Exclusions: None</w:t>
            </w:r>
            <w:r>
              <w:rPr>
                <w:rFonts w:ascii="Arial" w:hAnsi="Arial" w:cs="Arial"/>
                <w:color w:val="000000"/>
                <w:kern w:val="24"/>
                <w:sz w:val="22"/>
                <w:szCs w:val="22"/>
                <w:lang w:eastAsia="en-GB"/>
              </w:rPr>
              <w:t xml:space="preserve"> identified</w:t>
            </w:r>
            <w:r w:rsidRPr="000B02C5">
              <w:rPr>
                <w:rFonts w:ascii="Arial" w:hAnsi="Arial" w:cs="Arial"/>
                <w:color w:val="000000"/>
                <w:kern w:val="24"/>
                <w:sz w:val="22"/>
                <w:szCs w:val="22"/>
                <w:lang w:eastAsia="en-GB"/>
              </w:rPr>
              <w:t>.</w:t>
            </w:r>
          </w:p>
          <w:p w14:paraId="098D07A0" w14:textId="3E39E887"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Definitions: Infant mortality is defined as the number of deaths at ages under </w:t>
            </w:r>
            <w:r w:rsidR="00CD71C4">
              <w:rPr>
                <w:rFonts w:ascii="Arial" w:hAnsi="Arial" w:cs="Arial"/>
                <w:color w:val="000000"/>
                <w:kern w:val="24"/>
                <w:sz w:val="22"/>
                <w:szCs w:val="22"/>
                <w:lang w:eastAsia="en-GB"/>
              </w:rPr>
              <w:t>1</w:t>
            </w:r>
            <w:r w:rsidR="00CD71C4" w:rsidRPr="00ED38C9">
              <w:rPr>
                <w:rFonts w:ascii="Arial" w:hAnsi="Arial" w:cs="Arial"/>
                <w:color w:val="000000"/>
                <w:kern w:val="24"/>
                <w:sz w:val="22"/>
                <w:szCs w:val="22"/>
                <w:lang w:eastAsia="en-GB"/>
              </w:rPr>
              <w:t xml:space="preserve"> </w:t>
            </w:r>
            <w:r w:rsidRPr="00ED38C9">
              <w:rPr>
                <w:rFonts w:ascii="Arial" w:hAnsi="Arial" w:cs="Arial"/>
                <w:color w:val="000000"/>
                <w:kern w:val="24"/>
                <w:sz w:val="22"/>
                <w:szCs w:val="22"/>
                <w:lang w:eastAsia="en-GB"/>
              </w:rPr>
              <w:t>year</w:t>
            </w:r>
            <w:r w:rsidR="00FF69FC">
              <w:rPr>
                <w:rFonts w:ascii="Arial" w:hAnsi="Arial" w:cs="Arial"/>
                <w:color w:val="000000"/>
                <w:kern w:val="24"/>
                <w:sz w:val="22"/>
                <w:szCs w:val="22"/>
                <w:lang w:eastAsia="en-GB"/>
              </w:rPr>
              <w:t>, per 1,000 births</w:t>
            </w:r>
            <w:r w:rsidR="00CD71C4">
              <w:rPr>
                <w:rFonts w:ascii="Arial" w:hAnsi="Arial" w:cs="Arial"/>
                <w:color w:val="000000"/>
                <w:kern w:val="24"/>
                <w:sz w:val="22"/>
                <w:szCs w:val="22"/>
                <w:lang w:eastAsia="en-GB"/>
              </w:rPr>
              <w:t>.</w:t>
            </w:r>
          </w:p>
          <w:p w14:paraId="026A3A07" w14:textId="77777777"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Geography: England, region, lower tier local authority. </w:t>
            </w:r>
          </w:p>
          <w:p w14:paraId="4040DB29" w14:textId="4AA4B587" w:rsidR="00ED38C9" w:rsidRPr="00ED38C9" w:rsidRDefault="00ED38C9" w:rsidP="00ED38C9">
            <w:pPr>
              <w:spacing w:before="120" w:after="120"/>
              <w:rPr>
                <w:rFonts w:ascii="Arial" w:hAnsi="Arial" w:cs="Arial"/>
                <w:color w:val="000000"/>
                <w:kern w:val="24"/>
                <w:sz w:val="22"/>
                <w:szCs w:val="22"/>
                <w:lang w:eastAsia="en-GB"/>
              </w:rPr>
            </w:pPr>
            <w:r w:rsidRPr="00ED38C9">
              <w:rPr>
                <w:rFonts w:ascii="Arial" w:hAnsi="Arial" w:cs="Arial"/>
                <w:color w:val="000000"/>
                <w:kern w:val="24"/>
                <w:sz w:val="22"/>
                <w:szCs w:val="22"/>
                <w:lang w:eastAsia="en-GB"/>
              </w:rPr>
              <w:t xml:space="preserve">Data </w:t>
            </w:r>
            <w:r w:rsidR="00FF69FC">
              <w:rPr>
                <w:rFonts w:ascii="Arial" w:hAnsi="Arial" w:cs="Arial"/>
                <w:color w:val="000000"/>
                <w:kern w:val="24"/>
                <w:sz w:val="22"/>
                <w:szCs w:val="22"/>
                <w:lang w:eastAsia="en-GB"/>
              </w:rPr>
              <w:t>s</w:t>
            </w:r>
            <w:r w:rsidRPr="00ED38C9">
              <w:rPr>
                <w:rFonts w:ascii="Arial" w:hAnsi="Arial" w:cs="Arial"/>
                <w:color w:val="000000"/>
                <w:kern w:val="24"/>
                <w:sz w:val="22"/>
                <w:szCs w:val="22"/>
                <w:lang w:eastAsia="en-GB"/>
              </w:rPr>
              <w:t xml:space="preserve">ource: Office for National Statistics (ONS) births and </w:t>
            </w:r>
            <w:r w:rsidR="00BE50BD">
              <w:rPr>
                <w:rFonts w:ascii="Arial" w:hAnsi="Arial" w:cs="Arial"/>
                <w:color w:val="000000"/>
                <w:kern w:val="24"/>
                <w:sz w:val="22"/>
                <w:szCs w:val="22"/>
                <w:lang w:eastAsia="en-GB"/>
              </w:rPr>
              <w:t>mortality</w:t>
            </w:r>
            <w:r w:rsidR="00BE50BD" w:rsidRPr="00ED38C9">
              <w:rPr>
                <w:rFonts w:ascii="Arial" w:hAnsi="Arial" w:cs="Arial"/>
                <w:color w:val="000000"/>
                <w:kern w:val="24"/>
                <w:sz w:val="22"/>
                <w:szCs w:val="22"/>
                <w:lang w:eastAsia="en-GB"/>
              </w:rPr>
              <w:t xml:space="preserve"> </w:t>
            </w:r>
            <w:r w:rsidRPr="00ED38C9">
              <w:rPr>
                <w:rFonts w:ascii="Arial" w:hAnsi="Arial" w:cs="Arial"/>
                <w:color w:val="000000"/>
                <w:kern w:val="24"/>
                <w:sz w:val="22"/>
                <w:szCs w:val="22"/>
                <w:lang w:eastAsia="en-GB"/>
              </w:rPr>
              <w:t>data</w:t>
            </w:r>
            <w:r w:rsidR="00FF69FC">
              <w:rPr>
                <w:rFonts w:ascii="Arial" w:hAnsi="Arial" w:cs="Arial"/>
                <w:color w:val="000000"/>
                <w:kern w:val="24"/>
                <w:sz w:val="22"/>
                <w:szCs w:val="22"/>
                <w:lang w:eastAsia="en-GB"/>
              </w:rPr>
              <w:t>.</w:t>
            </w:r>
            <w:r w:rsidRPr="00ED38C9">
              <w:rPr>
                <w:rFonts w:ascii="Arial" w:hAnsi="Arial" w:cs="Arial"/>
                <w:color w:val="000000"/>
                <w:kern w:val="24"/>
                <w:sz w:val="22"/>
                <w:szCs w:val="22"/>
                <w:lang w:eastAsia="en-GB"/>
              </w:rPr>
              <w:t xml:space="preserve"> </w:t>
            </w:r>
          </w:p>
          <w:p w14:paraId="1A8C1D16" w14:textId="0475DAA1" w:rsidR="00735337" w:rsidRPr="002338EB" w:rsidRDefault="00ED38C9" w:rsidP="00ED38C9">
            <w:pPr>
              <w:pStyle w:val="Paragraph"/>
              <w:spacing w:before="120" w:after="120" w:line="240" w:lineRule="auto"/>
              <w:rPr>
                <w:highlight w:val="lightGray"/>
              </w:rPr>
            </w:pPr>
            <w:r w:rsidRPr="00ED38C9">
              <w:rPr>
                <w:rFonts w:cs="Arial"/>
                <w:color w:val="000000"/>
                <w:kern w:val="24"/>
                <w:sz w:val="22"/>
                <w:szCs w:val="22"/>
                <w:lang w:eastAsia="en-GB"/>
              </w:rPr>
              <w:t>Disclosure control:</w:t>
            </w:r>
            <w:r w:rsidR="00931A6A">
              <w:rPr>
                <w:rFonts w:cs="Arial"/>
                <w:color w:val="000000"/>
                <w:kern w:val="24"/>
                <w:sz w:val="22"/>
                <w:szCs w:val="22"/>
                <w:lang w:eastAsia="en-GB"/>
              </w:rPr>
              <w:t xml:space="preserve"> </w:t>
            </w:r>
            <w:r w:rsidR="00B13EE0" w:rsidRPr="00B13EE0">
              <w:rPr>
                <w:rFonts w:cs="Arial"/>
                <w:color w:val="000000"/>
                <w:kern w:val="24"/>
                <w:sz w:val="22"/>
                <w:szCs w:val="22"/>
                <w:lang w:eastAsia="en-GB"/>
              </w:rPr>
              <w:t xml:space="preserve">Consideration should be given to whether </w:t>
            </w:r>
            <w:proofErr w:type="gramStart"/>
            <w:r w:rsidR="00B13EE0" w:rsidRPr="00B13EE0">
              <w:rPr>
                <w:rFonts w:cs="Arial"/>
                <w:color w:val="000000"/>
                <w:kern w:val="24"/>
                <w:sz w:val="22"/>
                <w:szCs w:val="22"/>
                <w:lang w:eastAsia="en-GB"/>
              </w:rPr>
              <w:t>the majority of</w:t>
            </w:r>
            <w:proofErr w:type="gramEnd"/>
            <w:r w:rsidR="00B13EE0" w:rsidRPr="00B13EE0">
              <w:rPr>
                <w:rFonts w:cs="Arial"/>
                <w:color w:val="000000"/>
                <w:kern w:val="24"/>
                <w:sz w:val="22"/>
                <w:szCs w:val="22"/>
                <w:lang w:eastAsia="en-GB"/>
              </w:rPr>
              <w:t xml:space="preserve"> results would require suppression because of small numbers; areas with small numbers of deaths may need to be merged</w:t>
            </w:r>
            <w:r w:rsidR="00B13EE0">
              <w:rPr>
                <w:rFonts w:cs="Arial"/>
                <w:color w:val="000000"/>
                <w:kern w:val="24"/>
                <w:sz w:val="22"/>
                <w:szCs w:val="22"/>
                <w:lang w:eastAsia="en-GB"/>
              </w:rPr>
              <w:t>.</w:t>
            </w:r>
          </w:p>
        </w:tc>
        <w:tc>
          <w:tcPr>
            <w:tcW w:w="3118" w:type="dxa"/>
          </w:tcPr>
          <w:p w14:paraId="1439227D" w14:textId="5A1A009F" w:rsidR="002338EB" w:rsidRPr="00ED38C9" w:rsidRDefault="002338EB" w:rsidP="002338EB">
            <w:pPr>
              <w:spacing w:before="120" w:after="120"/>
              <w:rPr>
                <w:rFonts w:ascii="Arial" w:hAnsi="Arial" w:cs="Arial"/>
                <w:color w:val="000000"/>
                <w:kern w:val="24"/>
                <w:sz w:val="22"/>
                <w:szCs w:val="22"/>
              </w:rPr>
            </w:pPr>
            <w:r w:rsidRPr="00ED38C9">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0F10F706" w:rsidR="002C1326" w:rsidRPr="00ED38C9" w:rsidRDefault="001F598A" w:rsidP="00212A5C">
            <w:pPr>
              <w:pStyle w:val="Paragraph"/>
              <w:spacing w:before="120" w:after="120" w:line="240" w:lineRule="auto"/>
            </w:pPr>
            <w:hyperlink r:id="rId20" w:history="1">
              <w:r>
                <w:rPr>
                  <w:rStyle w:val="Hyperlink"/>
                  <w:sz w:val="22"/>
                  <w:szCs w:val="22"/>
                </w:rPr>
                <w:t>ONS NOMIS live births in England and Wales: births down to local authority areas</w:t>
              </w:r>
            </w:hyperlink>
            <w:r w:rsidR="00ED38C9" w:rsidRPr="00ED38C9">
              <w:rPr>
                <w:sz w:val="22"/>
                <w:szCs w:val="22"/>
              </w:rPr>
              <w:t xml:space="preserve"> and</w:t>
            </w:r>
            <w:r w:rsidR="00ED38C9" w:rsidRPr="00212A5C">
              <w:rPr>
                <w:sz w:val="20"/>
                <w:szCs w:val="20"/>
              </w:rPr>
              <w:t xml:space="preserve"> </w:t>
            </w:r>
            <w:hyperlink r:id="rId21" w:history="1">
              <w:r w:rsidR="005C2FB7" w:rsidRPr="005705B2">
                <w:rPr>
                  <w:rStyle w:val="Hyperlink"/>
                  <w:sz w:val="22"/>
                  <w:szCs w:val="22"/>
                </w:rPr>
                <w:t>ONS (2024)'s Estimates of the population for the UK, England, Wales, Scotland, and Northern Ireland, mid-202</w:t>
              </w:r>
              <w:r w:rsidR="005C2FB7">
                <w:rPr>
                  <w:rStyle w:val="Hyperlink"/>
                  <w:sz w:val="22"/>
                  <w:szCs w:val="22"/>
                </w:rPr>
                <w:t>3</w:t>
              </w:r>
              <w:r w:rsidR="005C2FB7" w:rsidRPr="005705B2">
                <w:rPr>
                  <w:rStyle w:val="Hyperlink"/>
                  <w:sz w:val="22"/>
                  <w:szCs w:val="22"/>
                </w:rPr>
                <w:t xml:space="preserve"> edition, MYE1</w:t>
              </w:r>
            </w:hyperlink>
            <w:r w:rsidR="00ED38C9" w:rsidRPr="00ED38C9">
              <w:rPr>
                <w:sz w:val="22"/>
                <w:szCs w:val="22"/>
              </w:rPr>
              <w:t xml:space="preserve"> for England </w:t>
            </w:r>
            <w:r w:rsidR="00ED38C9" w:rsidRPr="00ED38C9">
              <w:rPr>
                <w:sz w:val="22"/>
                <w:szCs w:val="22"/>
              </w:rPr>
              <w:lastRenderedPageBreak/>
              <w:t>202</w:t>
            </w:r>
            <w:r w:rsidR="005C2FB7">
              <w:rPr>
                <w:sz w:val="22"/>
                <w:szCs w:val="22"/>
              </w:rPr>
              <w:t>3</w:t>
            </w:r>
            <w:r w:rsidR="00ED38C9" w:rsidRPr="00ED38C9">
              <w:rPr>
                <w:sz w:val="22"/>
                <w:szCs w:val="22"/>
              </w:rPr>
              <w:t xml:space="preserve"> shows that live births accounted for 1.</w:t>
            </w:r>
            <w:r w:rsidR="00E5294B">
              <w:rPr>
                <w:sz w:val="22"/>
                <w:szCs w:val="22"/>
              </w:rPr>
              <w:t>0</w:t>
            </w:r>
            <w:r w:rsidR="00ED38C9" w:rsidRPr="00ED38C9">
              <w:rPr>
                <w:sz w:val="22"/>
                <w:szCs w:val="22"/>
              </w:rPr>
              <w:t>% (</w:t>
            </w:r>
            <w:r w:rsidR="00E5294B" w:rsidRPr="00E5294B">
              <w:rPr>
                <w:sz w:val="22"/>
                <w:szCs w:val="22"/>
              </w:rPr>
              <w:t xml:space="preserve">563,561 </w:t>
            </w:r>
            <w:r w:rsidR="00ED38C9" w:rsidRPr="00ED38C9">
              <w:rPr>
                <w:sz w:val="22"/>
                <w:szCs w:val="22"/>
              </w:rPr>
              <w:t xml:space="preserve">divided by </w:t>
            </w:r>
            <w:r w:rsidR="00E5294B" w:rsidRPr="00E5294B">
              <w:rPr>
                <w:sz w:val="22"/>
                <w:szCs w:val="22"/>
              </w:rPr>
              <w:t>57,690,323</w:t>
            </w:r>
            <w:r w:rsidR="00ED38C9" w:rsidRPr="00ED38C9">
              <w:rPr>
                <w:sz w:val="22"/>
                <w:szCs w:val="22"/>
              </w:rPr>
              <w:t xml:space="preserve">) of the mid-year population estimate: </w:t>
            </w:r>
            <w:r w:rsidR="00E5294B">
              <w:rPr>
                <w:sz w:val="22"/>
                <w:szCs w:val="22"/>
              </w:rPr>
              <w:t xml:space="preserve">98 </w:t>
            </w:r>
            <w:r w:rsidR="00ED38C9" w:rsidRPr="00ED38C9">
              <w:rPr>
                <w:sz w:val="22"/>
                <w:szCs w:val="22"/>
              </w:rPr>
              <w:t xml:space="preserve">per 10,000 services by a network. However, consideration should be given to whether </w:t>
            </w:r>
            <w:proofErr w:type="gramStart"/>
            <w:r w:rsidR="00ED38C9" w:rsidRPr="00ED38C9">
              <w:rPr>
                <w:sz w:val="22"/>
                <w:szCs w:val="22"/>
              </w:rPr>
              <w:t>the majority of</w:t>
            </w:r>
            <w:proofErr w:type="gramEnd"/>
            <w:r w:rsidR="00ED38C9" w:rsidRPr="00ED38C9">
              <w:rPr>
                <w:sz w:val="22"/>
                <w:szCs w:val="22"/>
              </w:rPr>
              <w:t xml:space="preserve"> results would require suppression because of small numbers.</w:t>
            </w:r>
          </w:p>
        </w:tc>
        <w:tc>
          <w:tcPr>
            <w:tcW w:w="3118" w:type="dxa"/>
          </w:tcPr>
          <w:p w14:paraId="1567BE59" w14:textId="1C5BB9B6" w:rsidR="002338EB" w:rsidRPr="00ED38C9" w:rsidRDefault="002338EB" w:rsidP="00CD71C4">
            <w:pPr>
              <w:pStyle w:val="Paragraph"/>
              <w:spacing w:before="120" w:after="120" w:line="240" w:lineRule="auto"/>
              <w:rPr>
                <w:rFonts w:cs="Arial"/>
                <w:color w:val="000000"/>
                <w:kern w:val="24"/>
                <w:sz w:val="22"/>
                <w:szCs w:val="22"/>
              </w:rPr>
            </w:pPr>
            <w:r w:rsidRPr="00ED38C9">
              <w:rPr>
                <w:rFonts w:cs="Arial"/>
                <w:color w:val="000000"/>
                <w:kern w:val="24"/>
                <w:sz w:val="22"/>
                <w:szCs w:val="22"/>
              </w:rPr>
              <w:lastRenderedPageBreak/>
              <w:t>The indicator does not outline minimum numbers of patients needed to be confident in the assessment of variation.</w:t>
            </w:r>
            <w:r w:rsidR="000741CB">
              <w:rPr>
                <w:rFonts w:cs="Arial"/>
                <w:color w:val="000000"/>
                <w:kern w:val="24"/>
                <w:sz w:val="22"/>
                <w:szCs w:val="22"/>
              </w:rPr>
              <w:t xml:space="preserve"> </w:t>
            </w:r>
            <w:r w:rsidR="000741CB" w:rsidRPr="000741CB">
              <w:rPr>
                <w:rFonts w:cs="Arial"/>
                <w:color w:val="000000"/>
                <w:kern w:val="24"/>
                <w:sz w:val="22"/>
                <w:szCs w:val="22"/>
              </w:rPr>
              <w:t xml:space="preserve">No </w:t>
            </w:r>
            <w:r w:rsidR="000741CB" w:rsidRPr="000741CB">
              <w:rPr>
                <w:rFonts w:cs="Arial"/>
                <w:color w:val="000000"/>
                <w:kern w:val="24"/>
                <w:sz w:val="22"/>
                <w:szCs w:val="22"/>
              </w:rPr>
              <w:lastRenderedPageBreak/>
              <w:t>minimum number of patients is required for network level indicators.</w:t>
            </w:r>
          </w:p>
          <w:p w14:paraId="38DE6D48" w14:textId="6D591CA1" w:rsidR="000C4A97" w:rsidRPr="00ED38C9" w:rsidRDefault="000C4A97" w:rsidP="00CD71C4">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ED38C9">
        <w:tc>
          <w:tcPr>
            <w:tcW w:w="5949" w:type="dxa"/>
          </w:tcPr>
          <w:p w14:paraId="3ABE91E5" w14:textId="36BEB6F6" w:rsidR="00306693" w:rsidRPr="00306693" w:rsidRDefault="00CD71C4" w:rsidP="00212A5C">
            <w:pPr>
              <w:pStyle w:val="Paragraph"/>
              <w:spacing w:before="120" w:after="120" w:line="240" w:lineRule="auto"/>
              <w:rPr>
                <w:rFonts w:cs="Arial"/>
                <w:sz w:val="22"/>
                <w:szCs w:val="22"/>
              </w:rPr>
            </w:pPr>
            <w:r w:rsidRPr="00CD71C4">
              <w:rPr>
                <w:rFonts w:cs="Arial"/>
                <w:sz w:val="22"/>
                <w:szCs w:val="22"/>
              </w:rPr>
              <w:t>Data for the numerator and denominator are collected from ongoing routinely collected data.</w:t>
            </w:r>
            <w:r w:rsidR="00403AED">
              <w:rPr>
                <w:rFonts w:cs="Arial"/>
                <w:sz w:val="22"/>
                <w:szCs w:val="22"/>
              </w:rPr>
              <w:t xml:space="preserve"> </w:t>
            </w:r>
          </w:p>
        </w:tc>
        <w:tc>
          <w:tcPr>
            <w:tcW w:w="3118" w:type="dxa"/>
            <w:shd w:val="clear" w:color="auto" w:fill="auto"/>
          </w:tcPr>
          <w:p w14:paraId="7E07F302" w14:textId="5F984164" w:rsidR="00735337" w:rsidRPr="00ED38C9" w:rsidRDefault="00735337" w:rsidP="00735337">
            <w:pPr>
              <w:spacing w:before="120" w:after="120"/>
              <w:rPr>
                <w:rFonts w:ascii="Arial" w:hAnsi="Arial" w:cs="Arial"/>
                <w:color w:val="000000"/>
                <w:kern w:val="24"/>
                <w:sz w:val="22"/>
                <w:szCs w:val="22"/>
              </w:rPr>
            </w:pPr>
            <w:r w:rsidRPr="00ED38C9">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306693">
        <w:trPr>
          <w:trHeight w:val="1329"/>
        </w:trPr>
        <w:tc>
          <w:tcPr>
            <w:tcW w:w="5949" w:type="dxa"/>
          </w:tcPr>
          <w:p w14:paraId="7A6B4296" w14:textId="77777777" w:rsidR="000B02C5" w:rsidRDefault="00CD71C4" w:rsidP="00403AED">
            <w:pPr>
              <w:spacing w:before="120" w:after="120"/>
              <w:contextualSpacing/>
              <w:rPr>
                <w:rFonts w:ascii="Arial" w:hAnsi="Arial" w:cs="Arial"/>
                <w:sz w:val="22"/>
                <w:szCs w:val="22"/>
              </w:rPr>
            </w:pPr>
            <w:r w:rsidRPr="00CD71C4">
              <w:rPr>
                <w:rFonts w:ascii="Arial" w:hAnsi="Arial" w:cs="Arial"/>
                <w:sz w:val="22"/>
                <w:szCs w:val="22"/>
              </w:rPr>
              <w:t xml:space="preserve">Data is </w:t>
            </w:r>
            <w:r w:rsidR="001C41DE">
              <w:rPr>
                <w:rFonts w:ascii="Arial" w:hAnsi="Arial" w:cs="Arial"/>
                <w:sz w:val="22"/>
                <w:szCs w:val="22"/>
              </w:rPr>
              <w:t>available from the ONS</w:t>
            </w:r>
            <w:r w:rsidR="000B02C5">
              <w:rPr>
                <w:rFonts w:ascii="Arial" w:hAnsi="Arial" w:cs="Arial"/>
                <w:sz w:val="22"/>
                <w:szCs w:val="22"/>
              </w:rPr>
              <w:t>:</w:t>
            </w:r>
          </w:p>
          <w:p w14:paraId="75549302" w14:textId="7195927B" w:rsidR="000B02C5" w:rsidRDefault="000B02C5" w:rsidP="000B02C5">
            <w:pPr>
              <w:pStyle w:val="ListParagraph"/>
              <w:numPr>
                <w:ilvl w:val="0"/>
                <w:numId w:val="44"/>
              </w:numPr>
              <w:spacing w:before="120" w:after="120"/>
              <w:rPr>
                <w:rFonts w:ascii="Arial" w:hAnsi="Arial" w:cs="Arial"/>
                <w:sz w:val="22"/>
                <w:szCs w:val="22"/>
              </w:rPr>
            </w:pPr>
            <w:r>
              <w:rPr>
                <w:rFonts w:ascii="Arial" w:hAnsi="Arial" w:cs="Arial"/>
                <w:sz w:val="22"/>
                <w:szCs w:val="22"/>
              </w:rPr>
              <w:t>b</w:t>
            </w:r>
            <w:r w:rsidR="001C41DE" w:rsidRPr="000B02C5">
              <w:rPr>
                <w:rFonts w:ascii="Arial" w:hAnsi="Arial" w:cs="Arial"/>
                <w:sz w:val="22"/>
                <w:szCs w:val="22"/>
              </w:rPr>
              <w:t>irths</w:t>
            </w:r>
          </w:p>
          <w:p w14:paraId="11D6F861" w14:textId="65E5670F" w:rsidR="00CD71C4" w:rsidRPr="000B02C5" w:rsidRDefault="001C41DE" w:rsidP="000B02C5">
            <w:pPr>
              <w:pStyle w:val="ListParagraph"/>
              <w:numPr>
                <w:ilvl w:val="0"/>
                <w:numId w:val="44"/>
              </w:numPr>
              <w:spacing w:before="120" w:after="120"/>
              <w:rPr>
                <w:rFonts w:ascii="Arial" w:hAnsi="Arial" w:cs="Arial"/>
                <w:sz w:val="22"/>
                <w:szCs w:val="22"/>
              </w:rPr>
            </w:pPr>
            <w:r w:rsidRPr="000B02C5">
              <w:rPr>
                <w:rFonts w:ascii="Arial" w:hAnsi="Arial" w:cs="Arial"/>
                <w:sz w:val="22"/>
                <w:szCs w:val="22"/>
              </w:rPr>
              <w:t xml:space="preserve">mortality data. </w:t>
            </w:r>
          </w:p>
          <w:p w14:paraId="6B3D2BF0" w14:textId="015654A6" w:rsidR="00306693" w:rsidRPr="00212A5C" w:rsidRDefault="00403AED" w:rsidP="00212A5C">
            <w:pPr>
              <w:spacing w:before="120" w:after="120"/>
              <w:rPr>
                <w:rFonts w:ascii="Arial" w:hAnsi="Arial" w:cs="Arial"/>
                <w:sz w:val="22"/>
                <w:szCs w:val="22"/>
              </w:rPr>
            </w:pPr>
            <w:r w:rsidRPr="00403AED">
              <w:rPr>
                <w:rFonts w:ascii="Arial" w:hAnsi="Arial" w:cs="Arial"/>
                <w:sz w:val="22"/>
                <w:szCs w:val="22"/>
              </w:rPr>
              <w:t xml:space="preserve"> </w:t>
            </w:r>
          </w:p>
        </w:tc>
        <w:tc>
          <w:tcPr>
            <w:tcW w:w="3118" w:type="dxa"/>
          </w:tcPr>
          <w:p w14:paraId="501A7677" w14:textId="77777777" w:rsidR="00735337" w:rsidRPr="00306693" w:rsidRDefault="00735337" w:rsidP="00735337">
            <w:pPr>
              <w:spacing w:before="120" w:after="120"/>
              <w:rPr>
                <w:rFonts w:ascii="Arial" w:hAnsi="Arial" w:cs="Arial"/>
                <w:color w:val="000000"/>
                <w:kern w:val="24"/>
                <w:sz w:val="22"/>
                <w:szCs w:val="22"/>
              </w:rPr>
            </w:pPr>
            <w:r w:rsidRPr="00306693">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306693">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4F3DB41D" w:rsidR="00383AA6" w:rsidRPr="00212A5C" w:rsidRDefault="00BE50BD" w:rsidP="00735337">
            <w:pPr>
              <w:pStyle w:val="Paragraph"/>
              <w:spacing w:before="120" w:after="120" w:line="240" w:lineRule="auto"/>
              <w:rPr>
                <w:rFonts w:cs="Arial"/>
                <w:sz w:val="22"/>
                <w:szCs w:val="22"/>
              </w:rPr>
            </w:pPr>
            <w:r w:rsidRPr="00BE50BD">
              <w:rPr>
                <w:rFonts w:cs="Arial"/>
                <w:sz w:val="22"/>
                <w:szCs w:val="22"/>
              </w:rPr>
              <w:t>NHS, public health and social care services contribute to improvements in this indicator</w:t>
            </w:r>
            <w:r w:rsidR="000B02C5">
              <w:rPr>
                <w:rFonts w:cs="Arial"/>
                <w:sz w:val="22"/>
                <w:szCs w:val="22"/>
              </w:rPr>
              <w:t xml:space="preserve"> but also </w:t>
            </w:r>
            <w:r w:rsidR="000B02C5" w:rsidRPr="000B02C5">
              <w:rPr>
                <w:rFonts w:cs="Arial"/>
                <w:sz w:val="22"/>
                <w:szCs w:val="22"/>
              </w:rPr>
              <w:t xml:space="preserve">highlights that incidence of disease is greatly affected by demographic and </w:t>
            </w:r>
            <w:r w:rsidR="000B02C5">
              <w:rPr>
                <w:rFonts w:cs="Arial"/>
                <w:sz w:val="22"/>
                <w:szCs w:val="22"/>
              </w:rPr>
              <w:t>environmental</w:t>
            </w:r>
            <w:r w:rsidR="000B02C5" w:rsidRPr="000B02C5">
              <w:rPr>
                <w:rFonts w:cs="Arial"/>
                <w:sz w:val="22"/>
                <w:szCs w:val="22"/>
              </w:rPr>
              <w:t xml:space="preserve"> effects. Consideration therefore should be given to external factors when reviewing the progress of this indicator</w:t>
            </w:r>
            <w:r w:rsidR="00C2200E">
              <w:rPr>
                <w:rFonts w:cs="Arial"/>
                <w:sz w:val="22"/>
                <w:szCs w:val="22"/>
              </w:rPr>
              <w:t xml:space="preserve"> (</w:t>
            </w:r>
            <w:hyperlink r:id="rId22" w:history="1">
              <w:r w:rsidR="00C2200E">
                <w:rPr>
                  <w:rStyle w:val="Hyperlink"/>
                  <w:rFonts w:cs="Arial"/>
                  <w:sz w:val="22"/>
                  <w:szCs w:val="22"/>
                </w:rPr>
                <w:t>NHSOF quality statement for indicator 1.6.i</w:t>
              </w:r>
            </w:hyperlink>
            <w:r w:rsidR="00C2200E">
              <w:rPr>
                <w:rStyle w:val="Hyperlink"/>
                <w:rFonts w:cs="Arial"/>
              </w:rPr>
              <w:t>,</w:t>
            </w:r>
            <w:r w:rsidR="00C2200E" w:rsidRPr="00BE50BD">
              <w:rPr>
                <w:rFonts w:cs="Arial"/>
                <w:sz w:val="22"/>
                <w:szCs w:val="22"/>
              </w:rPr>
              <w:t xml:space="preserve"> </w:t>
            </w:r>
            <w:r w:rsidR="00C2200E">
              <w:rPr>
                <w:rFonts w:cs="Arial"/>
                <w:sz w:val="22"/>
                <w:szCs w:val="22"/>
              </w:rPr>
              <w:t>version 2.4 (2020))</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A90DE6">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0239C9BD" w14:textId="77777777" w:rsidR="000B02C5" w:rsidRDefault="000B02C5" w:rsidP="00212A5C">
            <w:pPr>
              <w:pStyle w:val="Paragraph"/>
              <w:spacing w:before="120" w:after="120" w:line="240" w:lineRule="auto"/>
              <w:rPr>
                <w:rFonts w:cs="Arial"/>
                <w:sz w:val="22"/>
                <w:szCs w:val="22"/>
              </w:rPr>
            </w:pPr>
            <w:r w:rsidRPr="000B02C5">
              <w:rPr>
                <w:rFonts w:cs="Arial"/>
                <w:sz w:val="22"/>
                <w:szCs w:val="22"/>
              </w:rPr>
              <w:t xml:space="preserve">Data is available from NHS England </w:t>
            </w:r>
            <w:r w:rsidR="00BE50BD" w:rsidRPr="00BE50BD">
              <w:rPr>
                <w:rFonts w:cs="Arial"/>
                <w:sz w:val="22"/>
                <w:szCs w:val="22"/>
              </w:rPr>
              <w:t xml:space="preserve">as part of the </w:t>
            </w:r>
            <w:hyperlink r:id="rId23" w:history="1">
              <w:r w:rsidR="005B579B">
                <w:rPr>
                  <w:rStyle w:val="Hyperlink"/>
                  <w:rFonts w:cs="Arial"/>
                  <w:sz w:val="22"/>
                  <w:szCs w:val="22"/>
                </w:rPr>
                <w:t>NHSOF data for indicator 1.6</w:t>
              </w:r>
              <w:r w:rsidR="00717273">
                <w:rPr>
                  <w:rStyle w:val="Hyperlink"/>
                  <w:rFonts w:cs="Arial"/>
                  <w:sz w:val="22"/>
                  <w:szCs w:val="22"/>
                </w:rPr>
                <w:t>.</w:t>
              </w:r>
              <w:r w:rsidR="005B579B">
                <w:rPr>
                  <w:rStyle w:val="Hyperlink"/>
                  <w:rFonts w:cs="Arial"/>
                  <w:sz w:val="22"/>
                  <w:szCs w:val="22"/>
                </w:rPr>
                <w:t>i</w:t>
              </w:r>
            </w:hyperlink>
            <w:r w:rsidR="005B579B">
              <w:rPr>
                <w:rFonts w:cs="Arial"/>
                <w:sz w:val="22"/>
                <w:szCs w:val="22"/>
              </w:rPr>
              <w:t xml:space="preserve"> </w:t>
            </w:r>
            <w:r w:rsidR="00717273">
              <w:rPr>
                <w:rFonts w:cs="Arial"/>
                <w:sz w:val="22"/>
                <w:szCs w:val="22"/>
              </w:rPr>
              <w:t xml:space="preserve">in </w:t>
            </w:r>
            <w:r w:rsidR="00383AA6">
              <w:rPr>
                <w:rFonts w:cs="Arial"/>
                <w:sz w:val="22"/>
                <w:szCs w:val="22"/>
              </w:rPr>
              <w:t>March 2022.</w:t>
            </w:r>
            <w:r w:rsidR="00717273">
              <w:rPr>
                <w:rFonts w:cs="Arial"/>
                <w:sz w:val="22"/>
                <w:szCs w:val="22"/>
              </w:rPr>
              <w:t xml:space="preserve"> </w:t>
            </w:r>
          </w:p>
          <w:p w14:paraId="3AF0200A" w14:textId="030F9DED" w:rsidR="00BE50BD" w:rsidRPr="00A90DE6" w:rsidRDefault="00383AA6" w:rsidP="00383AA6">
            <w:pPr>
              <w:pStyle w:val="Paragraph"/>
              <w:spacing w:before="120" w:after="120" w:line="240" w:lineRule="auto"/>
              <w:rPr>
                <w:rFonts w:cs="Arial"/>
                <w:sz w:val="22"/>
                <w:szCs w:val="22"/>
              </w:rPr>
            </w:pPr>
            <w:r w:rsidRPr="00383AA6">
              <w:rPr>
                <w:rFonts w:cs="Arial"/>
                <w:sz w:val="22"/>
                <w:szCs w:val="22"/>
              </w:rPr>
              <w:t>Overall rates have been decreasing over time, suggesting improvement</w:t>
            </w:r>
            <w:r w:rsidR="00717273">
              <w:rPr>
                <w:rFonts w:cs="Arial"/>
                <w:sz w:val="22"/>
                <w:szCs w:val="22"/>
              </w:rPr>
              <w:t>.</w:t>
            </w:r>
            <w:r w:rsidR="0089176D">
              <w:rPr>
                <w:rFonts w:cs="Arial"/>
                <w:sz w:val="22"/>
                <w:szCs w:val="22"/>
              </w:rPr>
              <w:t xml:space="preserve"> </w:t>
            </w:r>
            <w:r w:rsidRPr="00383AA6">
              <w:rPr>
                <w:rFonts w:cs="Arial"/>
                <w:sz w:val="22"/>
                <w:szCs w:val="22"/>
              </w:rPr>
              <w:t>Variation exists across geography, age of mother and sex of baby.</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A90DE6">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rsidRPr="000741CB" w14:paraId="2365E62E" w14:textId="77777777" w:rsidTr="001C517D">
        <w:tc>
          <w:tcPr>
            <w:tcW w:w="5949" w:type="dxa"/>
          </w:tcPr>
          <w:p w14:paraId="5D0DDE27" w14:textId="15FDDFB5" w:rsidR="00A47852" w:rsidRPr="000741CB" w:rsidRDefault="00E5294B" w:rsidP="00A47852">
            <w:pPr>
              <w:pStyle w:val="Paragraph"/>
              <w:spacing w:before="120" w:after="120" w:line="240" w:lineRule="auto"/>
              <w:rPr>
                <w:rFonts w:cs="Arial"/>
                <w:color w:val="000000"/>
                <w:kern w:val="24"/>
                <w:sz w:val="22"/>
                <w:szCs w:val="22"/>
                <w:lang w:eastAsia="en-GB"/>
              </w:rPr>
            </w:pPr>
            <w:r w:rsidRPr="000741CB">
              <w:rPr>
                <w:rFonts w:cs="Arial"/>
                <w:color w:val="000000"/>
                <w:kern w:val="24"/>
                <w:sz w:val="22"/>
                <w:szCs w:val="22"/>
              </w:rPr>
              <w:lastRenderedPageBreak/>
              <w:t>No risks identified</w:t>
            </w:r>
          </w:p>
        </w:tc>
        <w:tc>
          <w:tcPr>
            <w:tcW w:w="3118" w:type="dxa"/>
          </w:tcPr>
          <w:p w14:paraId="29FB2923" w14:textId="020C0CE4" w:rsidR="00A47852" w:rsidRPr="000741CB" w:rsidRDefault="00046E8D" w:rsidP="00A47852">
            <w:pPr>
              <w:pStyle w:val="Paragraph"/>
              <w:spacing w:before="120" w:after="120" w:line="240" w:lineRule="auto"/>
              <w:rPr>
                <w:sz w:val="22"/>
                <w:szCs w:val="22"/>
              </w:rPr>
            </w:pPr>
            <w:r w:rsidRPr="000741CB">
              <w:rPr>
                <w:sz w:val="22"/>
                <w:szCs w:val="22"/>
              </w:rPr>
              <w:t>The indicator has an acceptable risk of unintended consequences.</w:t>
            </w:r>
          </w:p>
        </w:tc>
      </w:tr>
    </w:tbl>
    <w:p w14:paraId="123085F8" w14:textId="46F76CC2" w:rsidR="00D73835" w:rsidRDefault="00D73835" w:rsidP="00A90DE6">
      <w:pPr>
        <w:pStyle w:val="Heading1"/>
      </w:pPr>
    </w:p>
    <w:sectPr w:rsidR="00D73835" w:rsidSect="003E4657">
      <w:headerReference w:type="default" r:id="rId24"/>
      <w:footerReference w:type="default" r:id="rId25"/>
      <w:headerReference w:type="first" r:id="rId2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22FD3835" w:rsidR="00BB14CA" w:rsidRPr="008C1C95" w:rsidRDefault="000741CB" w:rsidP="008C1C95">
    <w:pPr>
      <w:pStyle w:val="Footer"/>
      <w:jc w:val="right"/>
    </w:pPr>
    <w:r>
      <w:t>IND283</w:t>
    </w:r>
    <w:r w:rsidR="009B0E59">
      <w:t xml:space="preserve"> Validity assessment </w:t>
    </w:r>
    <w:r w:rsidR="00E5294B">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3685344"/>
    <w:multiLevelType w:val="hybridMultilevel"/>
    <w:tmpl w:val="423C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095543"/>
    <w:multiLevelType w:val="hybridMultilevel"/>
    <w:tmpl w:val="5C70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FFF0C6E"/>
    <w:multiLevelType w:val="hybridMultilevel"/>
    <w:tmpl w:val="F4BC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725A6"/>
    <w:multiLevelType w:val="hybridMultilevel"/>
    <w:tmpl w:val="20CEC1E0"/>
    <w:lvl w:ilvl="0" w:tplc="5E380D3C">
      <w:start w:val="1"/>
      <w:numFmt w:val="bullet"/>
      <w:lvlText w:val=""/>
      <w:lvlJc w:val="left"/>
      <w:pPr>
        <w:ind w:left="1080" w:hanging="360"/>
      </w:pPr>
      <w:rPr>
        <w:rFonts w:ascii="Symbol" w:hAnsi="Symbol"/>
      </w:rPr>
    </w:lvl>
    <w:lvl w:ilvl="1" w:tplc="FC446C54">
      <w:start w:val="1"/>
      <w:numFmt w:val="bullet"/>
      <w:lvlText w:val=""/>
      <w:lvlJc w:val="left"/>
      <w:pPr>
        <w:ind w:left="1080" w:hanging="360"/>
      </w:pPr>
      <w:rPr>
        <w:rFonts w:ascii="Symbol" w:hAnsi="Symbol"/>
      </w:rPr>
    </w:lvl>
    <w:lvl w:ilvl="2" w:tplc="5CB86D9E">
      <w:start w:val="1"/>
      <w:numFmt w:val="bullet"/>
      <w:lvlText w:val=""/>
      <w:lvlJc w:val="left"/>
      <w:pPr>
        <w:ind w:left="1080" w:hanging="360"/>
      </w:pPr>
      <w:rPr>
        <w:rFonts w:ascii="Symbol" w:hAnsi="Symbol"/>
      </w:rPr>
    </w:lvl>
    <w:lvl w:ilvl="3" w:tplc="C916DEEC">
      <w:start w:val="1"/>
      <w:numFmt w:val="bullet"/>
      <w:lvlText w:val=""/>
      <w:lvlJc w:val="left"/>
      <w:pPr>
        <w:ind w:left="1080" w:hanging="360"/>
      </w:pPr>
      <w:rPr>
        <w:rFonts w:ascii="Symbol" w:hAnsi="Symbol"/>
      </w:rPr>
    </w:lvl>
    <w:lvl w:ilvl="4" w:tplc="A9743D80">
      <w:start w:val="1"/>
      <w:numFmt w:val="bullet"/>
      <w:lvlText w:val=""/>
      <w:lvlJc w:val="left"/>
      <w:pPr>
        <w:ind w:left="1080" w:hanging="360"/>
      </w:pPr>
      <w:rPr>
        <w:rFonts w:ascii="Symbol" w:hAnsi="Symbol"/>
      </w:rPr>
    </w:lvl>
    <w:lvl w:ilvl="5" w:tplc="AA2C0F54">
      <w:start w:val="1"/>
      <w:numFmt w:val="bullet"/>
      <w:lvlText w:val=""/>
      <w:lvlJc w:val="left"/>
      <w:pPr>
        <w:ind w:left="1080" w:hanging="360"/>
      </w:pPr>
      <w:rPr>
        <w:rFonts w:ascii="Symbol" w:hAnsi="Symbol"/>
      </w:rPr>
    </w:lvl>
    <w:lvl w:ilvl="6" w:tplc="5F1C5444">
      <w:start w:val="1"/>
      <w:numFmt w:val="bullet"/>
      <w:lvlText w:val=""/>
      <w:lvlJc w:val="left"/>
      <w:pPr>
        <w:ind w:left="1080" w:hanging="360"/>
      </w:pPr>
      <w:rPr>
        <w:rFonts w:ascii="Symbol" w:hAnsi="Symbol"/>
      </w:rPr>
    </w:lvl>
    <w:lvl w:ilvl="7" w:tplc="422CEE2A">
      <w:start w:val="1"/>
      <w:numFmt w:val="bullet"/>
      <w:lvlText w:val=""/>
      <w:lvlJc w:val="left"/>
      <w:pPr>
        <w:ind w:left="1080" w:hanging="360"/>
      </w:pPr>
      <w:rPr>
        <w:rFonts w:ascii="Symbol" w:hAnsi="Symbol"/>
      </w:rPr>
    </w:lvl>
    <w:lvl w:ilvl="8" w:tplc="49E07340">
      <w:start w:val="1"/>
      <w:numFmt w:val="bullet"/>
      <w:lvlText w:val=""/>
      <w:lvlJc w:val="left"/>
      <w:pPr>
        <w:ind w:left="1080" w:hanging="360"/>
      </w:pPr>
      <w:rPr>
        <w:rFonts w:ascii="Symbol" w:hAnsi="Symbol"/>
      </w:rPr>
    </w:lvl>
  </w:abstractNum>
  <w:abstractNum w:abstractNumId="33"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5"/>
  </w:num>
  <w:num w:numId="2" w16cid:durableId="233853175">
    <w:abstractNumId w:val="13"/>
  </w:num>
  <w:num w:numId="3" w16cid:durableId="1529370562">
    <w:abstractNumId w:val="29"/>
  </w:num>
  <w:num w:numId="4" w16cid:durableId="657612754">
    <w:abstractNumId w:val="14"/>
  </w:num>
  <w:num w:numId="5" w16cid:durableId="1193808871">
    <w:abstractNumId w:val="26"/>
  </w:num>
  <w:num w:numId="6" w16cid:durableId="781268177">
    <w:abstractNumId w:val="2"/>
  </w:num>
  <w:num w:numId="7" w16cid:durableId="201872007">
    <w:abstractNumId w:val="12"/>
  </w:num>
  <w:num w:numId="8" w16cid:durableId="1295333019">
    <w:abstractNumId w:val="24"/>
  </w:num>
  <w:num w:numId="9" w16cid:durableId="513112173">
    <w:abstractNumId w:val="25"/>
  </w:num>
  <w:num w:numId="10" w16cid:durableId="2049523386">
    <w:abstractNumId w:val="7"/>
  </w:num>
  <w:num w:numId="11" w16cid:durableId="1370840847">
    <w:abstractNumId w:val="9"/>
  </w:num>
  <w:num w:numId="12" w16cid:durableId="1021859395">
    <w:abstractNumId w:val="3"/>
  </w:num>
  <w:num w:numId="13" w16cid:durableId="1167093030">
    <w:abstractNumId w:val="34"/>
  </w:num>
  <w:num w:numId="14" w16cid:durableId="1771392860">
    <w:abstractNumId w:val="16"/>
  </w:num>
  <w:num w:numId="15" w16cid:durableId="1260019971">
    <w:abstractNumId w:val="11"/>
  </w:num>
  <w:num w:numId="16" w16cid:durableId="546987736">
    <w:abstractNumId w:val="21"/>
  </w:num>
  <w:num w:numId="17" w16cid:durableId="2137412053">
    <w:abstractNumId w:val="18"/>
  </w:num>
  <w:num w:numId="18" w16cid:durableId="2039037637">
    <w:abstractNumId w:val="23"/>
  </w:num>
  <w:num w:numId="19" w16cid:durableId="1939945119">
    <w:abstractNumId w:val="27"/>
  </w:num>
  <w:num w:numId="20" w16cid:durableId="1057584041">
    <w:abstractNumId w:val="8"/>
  </w:num>
  <w:num w:numId="21" w16cid:durableId="1439716324">
    <w:abstractNumId w:val="30"/>
  </w:num>
  <w:num w:numId="22" w16cid:durableId="321355733">
    <w:abstractNumId w:val="0"/>
  </w:num>
  <w:num w:numId="23" w16cid:durableId="317730129">
    <w:abstractNumId w:val="6"/>
  </w:num>
  <w:num w:numId="24" w16cid:durableId="480850916">
    <w:abstractNumId w:val="28"/>
  </w:num>
  <w:num w:numId="25" w16cid:durableId="130027160">
    <w:abstractNumId w:val="20"/>
  </w:num>
  <w:num w:numId="26" w16cid:durableId="58794158">
    <w:abstractNumId w:val="19"/>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5"/>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3"/>
  </w:num>
  <w:num w:numId="39" w16cid:durableId="1357119577">
    <w:abstractNumId w:val="22"/>
  </w:num>
  <w:num w:numId="40" w16cid:durableId="1472091102">
    <w:abstractNumId w:val="5"/>
  </w:num>
  <w:num w:numId="41" w16cid:durableId="1664700762">
    <w:abstractNumId w:val="32"/>
  </w:num>
  <w:num w:numId="42" w16cid:durableId="632713350">
    <w:abstractNumId w:val="1"/>
  </w:num>
  <w:num w:numId="43" w16cid:durableId="518932356">
    <w:abstractNumId w:val="31"/>
  </w:num>
  <w:num w:numId="44" w16cid:durableId="25776157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82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46E8D"/>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41CB"/>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02C5"/>
    <w:rsid w:val="000B1301"/>
    <w:rsid w:val="000B1CBF"/>
    <w:rsid w:val="000B33BD"/>
    <w:rsid w:val="000B34B8"/>
    <w:rsid w:val="000B5939"/>
    <w:rsid w:val="000B5EBE"/>
    <w:rsid w:val="000C22B9"/>
    <w:rsid w:val="000C4A97"/>
    <w:rsid w:val="000C4D57"/>
    <w:rsid w:val="000C4EE8"/>
    <w:rsid w:val="000C5D78"/>
    <w:rsid w:val="000C7A5D"/>
    <w:rsid w:val="000D04B0"/>
    <w:rsid w:val="000D1487"/>
    <w:rsid w:val="000D3776"/>
    <w:rsid w:val="000D7C0A"/>
    <w:rsid w:val="000E0E0D"/>
    <w:rsid w:val="000E4899"/>
    <w:rsid w:val="000E7E3C"/>
    <w:rsid w:val="000F3B49"/>
    <w:rsid w:val="000F6502"/>
    <w:rsid w:val="001043B0"/>
    <w:rsid w:val="00110427"/>
    <w:rsid w:val="00110A94"/>
    <w:rsid w:val="00110AD8"/>
    <w:rsid w:val="00112FAE"/>
    <w:rsid w:val="001131E2"/>
    <w:rsid w:val="001134E7"/>
    <w:rsid w:val="001211CD"/>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AF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41DE"/>
    <w:rsid w:val="001C74F4"/>
    <w:rsid w:val="001D0D90"/>
    <w:rsid w:val="001D24D0"/>
    <w:rsid w:val="001D298F"/>
    <w:rsid w:val="001D3D36"/>
    <w:rsid w:val="001D6DFD"/>
    <w:rsid w:val="001D6E16"/>
    <w:rsid w:val="001E08E9"/>
    <w:rsid w:val="001E0B63"/>
    <w:rsid w:val="001E0E8C"/>
    <w:rsid w:val="001E586B"/>
    <w:rsid w:val="001E6740"/>
    <w:rsid w:val="001E6F20"/>
    <w:rsid w:val="001F1315"/>
    <w:rsid w:val="001F1957"/>
    <w:rsid w:val="001F1D2D"/>
    <w:rsid w:val="001F3C47"/>
    <w:rsid w:val="001F598A"/>
    <w:rsid w:val="001F6AB0"/>
    <w:rsid w:val="00201090"/>
    <w:rsid w:val="0020340C"/>
    <w:rsid w:val="00203B08"/>
    <w:rsid w:val="00204572"/>
    <w:rsid w:val="00205A28"/>
    <w:rsid w:val="00205FBE"/>
    <w:rsid w:val="00207174"/>
    <w:rsid w:val="00210375"/>
    <w:rsid w:val="00210B0B"/>
    <w:rsid w:val="002128D3"/>
    <w:rsid w:val="00212A5C"/>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6B5"/>
    <w:rsid w:val="00304581"/>
    <w:rsid w:val="00305030"/>
    <w:rsid w:val="003052E9"/>
    <w:rsid w:val="00306693"/>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3AA6"/>
    <w:rsid w:val="00384141"/>
    <w:rsid w:val="003856AA"/>
    <w:rsid w:val="00386007"/>
    <w:rsid w:val="003861AC"/>
    <w:rsid w:val="003862A5"/>
    <w:rsid w:val="00386F5A"/>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4750"/>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3AED"/>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86D81"/>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4596"/>
    <w:rsid w:val="004D756F"/>
    <w:rsid w:val="004E0E78"/>
    <w:rsid w:val="004E4C4B"/>
    <w:rsid w:val="004E54B6"/>
    <w:rsid w:val="004F242D"/>
    <w:rsid w:val="004F3269"/>
    <w:rsid w:val="004F7D3A"/>
    <w:rsid w:val="005001FC"/>
    <w:rsid w:val="00500B02"/>
    <w:rsid w:val="005025A1"/>
    <w:rsid w:val="00502C4B"/>
    <w:rsid w:val="0050409D"/>
    <w:rsid w:val="00505407"/>
    <w:rsid w:val="00505DA4"/>
    <w:rsid w:val="00506302"/>
    <w:rsid w:val="00510FAD"/>
    <w:rsid w:val="00511471"/>
    <w:rsid w:val="00511887"/>
    <w:rsid w:val="005127C1"/>
    <w:rsid w:val="005138B7"/>
    <w:rsid w:val="005143BA"/>
    <w:rsid w:val="005237FB"/>
    <w:rsid w:val="00523BB4"/>
    <w:rsid w:val="005243EC"/>
    <w:rsid w:val="005249CF"/>
    <w:rsid w:val="00525DD1"/>
    <w:rsid w:val="00527A29"/>
    <w:rsid w:val="005343E1"/>
    <w:rsid w:val="005353CB"/>
    <w:rsid w:val="00535CCD"/>
    <w:rsid w:val="00545970"/>
    <w:rsid w:val="00550783"/>
    <w:rsid w:val="005508EE"/>
    <w:rsid w:val="00551468"/>
    <w:rsid w:val="005536FB"/>
    <w:rsid w:val="00555CC8"/>
    <w:rsid w:val="00556B58"/>
    <w:rsid w:val="005577FA"/>
    <w:rsid w:val="0056425E"/>
    <w:rsid w:val="00565745"/>
    <w:rsid w:val="00566FFF"/>
    <w:rsid w:val="0056705D"/>
    <w:rsid w:val="00571370"/>
    <w:rsid w:val="00575207"/>
    <w:rsid w:val="00577C83"/>
    <w:rsid w:val="00580FF4"/>
    <w:rsid w:val="0058351F"/>
    <w:rsid w:val="00583913"/>
    <w:rsid w:val="005842A7"/>
    <w:rsid w:val="00584C95"/>
    <w:rsid w:val="00584CC9"/>
    <w:rsid w:val="00585C10"/>
    <w:rsid w:val="00585FCF"/>
    <w:rsid w:val="00586210"/>
    <w:rsid w:val="00586316"/>
    <w:rsid w:val="00590E29"/>
    <w:rsid w:val="005935C0"/>
    <w:rsid w:val="005965BC"/>
    <w:rsid w:val="00596607"/>
    <w:rsid w:val="005A014D"/>
    <w:rsid w:val="005A188D"/>
    <w:rsid w:val="005A1A5C"/>
    <w:rsid w:val="005A4AD8"/>
    <w:rsid w:val="005A50D3"/>
    <w:rsid w:val="005A576F"/>
    <w:rsid w:val="005A64F3"/>
    <w:rsid w:val="005A6AB3"/>
    <w:rsid w:val="005B0095"/>
    <w:rsid w:val="005B34CC"/>
    <w:rsid w:val="005B579B"/>
    <w:rsid w:val="005B5C8B"/>
    <w:rsid w:val="005B6D38"/>
    <w:rsid w:val="005B73E7"/>
    <w:rsid w:val="005C05E1"/>
    <w:rsid w:val="005C2FB7"/>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2BA4"/>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AD5"/>
    <w:rsid w:val="00664F8F"/>
    <w:rsid w:val="00666A4E"/>
    <w:rsid w:val="00667C21"/>
    <w:rsid w:val="00667CFA"/>
    <w:rsid w:val="0067001E"/>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7AE9"/>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18EB"/>
    <w:rsid w:val="0070542C"/>
    <w:rsid w:val="007067D1"/>
    <w:rsid w:val="00713287"/>
    <w:rsid w:val="007136A7"/>
    <w:rsid w:val="007139DD"/>
    <w:rsid w:val="007143AC"/>
    <w:rsid w:val="00716007"/>
    <w:rsid w:val="00716835"/>
    <w:rsid w:val="00716ACF"/>
    <w:rsid w:val="00717273"/>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4D50"/>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176D"/>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541"/>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13D"/>
    <w:rsid w:val="00925F15"/>
    <w:rsid w:val="0092757A"/>
    <w:rsid w:val="00930715"/>
    <w:rsid w:val="0093101C"/>
    <w:rsid w:val="00931A6A"/>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03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3558"/>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1B0E"/>
    <w:rsid w:val="00A8249A"/>
    <w:rsid w:val="00A85968"/>
    <w:rsid w:val="00A866E2"/>
    <w:rsid w:val="00A879B5"/>
    <w:rsid w:val="00A90DE6"/>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FC7"/>
    <w:rsid w:val="00B11A62"/>
    <w:rsid w:val="00B13EE0"/>
    <w:rsid w:val="00B14C5C"/>
    <w:rsid w:val="00B14C68"/>
    <w:rsid w:val="00B14DDE"/>
    <w:rsid w:val="00B157D0"/>
    <w:rsid w:val="00B15EF3"/>
    <w:rsid w:val="00B17751"/>
    <w:rsid w:val="00B17DE0"/>
    <w:rsid w:val="00B22A36"/>
    <w:rsid w:val="00B2401C"/>
    <w:rsid w:val="00B265EB"/>
    <w:rsid w:val="00B27031"/>
    <w:rsid w:val="00B307EC"/>
    <w:rsid w:val="00B32429"/>
    <w:rsid w:val="00B341DA"/>
    <w:rsid w:val="00B42331"/>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D7"/>
    <w:rsid w:val="00B956ED"/>
    <w:rsid w:val="00B95E5A"/>
    <w:rsid w:val="00B96E71"/>
    <w:rsid w:val="00B97C95"/>
    <w:rsid w:val="00BA02F9"/>
    <w:rsid w:val="00BA164A"/>
    <w:rsid w:val="00BA31F9"/>
    <w:rsid w:val="00BA3317"/>
    <w:rsid w:val="00BA3FDA"/>
    <w:rsid w:val="00BA4313"/>
    <w:rsid w:val="00BA4784"/>
    <w:rsid w:val="00BA49EA"/>
    <w:rsid w:val="00BA4B8E"/>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0BD"/>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00E"/>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08B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D71C4"/>
    <w:rsid w:val="00CE0526"/>
    <w:rsid w:val="00CE1ED9"/>
    <w:rsid w:val="00CE3665"/>
    <w:rsid w:val="00CE4F42"/>
    <w:rsid w:val="00CE5520"/>
    <w:rsid w:val="00CF0B5E"/>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244"/>
    <w:rsid w:val="00D76F5A"/>
    <w:rsid w:val="00D7722A"/>
    <w:rsid w:val="00D80B1B"/>
    <w:rsid w:val="00D82293"/>
    <w:rsid w:val="00D8284D"/>
    <w:rsid w:val="00D8405B"/>
    <w:rsid w:val="00D84E7D"/>
    <w:rsid w:val="00D86BF0"/>
    <w:rsid w:val="00D86DCB"/>
    <w:rsid w:val="00D91BA1"/>
    <w:rsid w:val="00D939B7"/>
    <w:rsid w:val="00D950D8"/>
    <w:rsid w:val="00D95477"/>
    <w:rsid w:val="00D959C3"/>
    <w:rsid w:val="00D961B8"/>
    <w:rsid w:val="00DA1511"/>
    <w:rsid w:val="00DA6FB8"/>
    <w:rsid w:val="00DA7082"/>
    <w:rsid w:val="00DA777A"/>
    <w:rsid w:val="00DB0188"/>
    <w:rsid w:val="00DB26A8"/>
    <w:rsid w:val="00DB3C58"/>
    <w:rsid w:val="00DB4F9F"/>
    <w:rsid w:val="00DB5728"/>
    <w:rsid w:val="00DB5AE0"/>
    <w:rsid w:val="00DB6161"/>
    <w:rsid w:val="00DB65B9"/>
    <w:rsid w:val="00DB70FB"/>
    <w:rsid w:val="00DC0CD5"/>
    <w:rsid w:val="00DC334D"/>
    <w:rsid w:val="00DC6AAD"/>
    <w:rsid w:val="00DD7179"/>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294B"/>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2F5"/>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38C9"/>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05B57"/>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56C60"/>
    <w:rsid w:val="00F63D66"/>
    <w:rsid w:val="00F64504"/>
    <w:rsid w:val="00F6458C"/>
    <w:rsid w:val="00F6478A"/>
    <w:rsid w:val="00F6661C"/>
    <w:rsid w:val="00F6682D"/>
    <w:rsid w:val="00F677D7"/>
    <w:rsid w:val="00F67FE5"/>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5F4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9FC"/>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AE9"/>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49527729">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652754971">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61967088">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 TargetMode="External"/><Relationship Id="rId13" Type="http://schemas.openxmlformats.org/officeDocument/2006/relationships/hyperlink" Target="https://digital.nhs.uk/data-and-information/publications/statistical/nhs-outcomes-framework/march-2022/domain-1---preventing-people-from-dying-prematurely-nof/1.6.i-infant-mortality" TargetMode="External"/><Relationship Id="rId18" Type="http://schemas.openxmlformats.org/officeDocument/2006/relationships/hyperlink" Target="https://www.nice.org.uk/guidance/qs10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ons.gov.uk/peoplepopulationandcommunity/populationandmigration/populationestimates/datasets/populationestimatesforukenglandandwalesscotlandandnorthernireland" TargetMode="External"/><Relationship Id="rId7" Type="http://schemas.openxmlformats.org/officeDocument/2006/relationships/endnotes" Target="endnotes.xml"/><Relationship Id="rId12" Type="http://schemas.openxmlformats.org/officeDocument/2006/relationships/hyperlink" Target="https://www.england.nhs.uk/about/equality/equality-hub/national-healthcare-inequalities-improvement-programme/core20plus5/" TargetMode="External"/><Relationship Id="rId17" Type="http://schemas.openxmlformats.org/officeDocument/2006/relationships/hyperlink" Target="https://www.nice.org.uk/guidance/qs2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ng94" TargetMode="External"/><Relationship Id="rId20" Type="http://schemas.openxmlformats.org/officeDocument/2006/relationships/hyperlink" Target="https://www.nomisweb.co.uk/query/construct/summary.asp?reset=yes&amp;mode=construct&amp;dataset=207&amp;version=0&amp;ana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nhs-outcomes-framework/march-2022/domain-1---preventing-people-from-dying-prematurely-nof/1.6.i-infant-mortali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guidance/ng235" TargetMode="External"/><Relationship Id="rId23" Type="http://schemas.openxmlformats.org/officeDocument/2006/relationships/hyperlink" Target="https://digital.nhs.uk/data-and-information/publications/statistical/nhs-outcomes-framework/march-2022/domain-1---preventing-people-from-dying-prematurely-nof/1.6.i-infant-mortality" TargetMode="External"/><Relationship Id="rId28" Type="http://schemas.openxmlformats.org/officeDocument/2006/relationships/theme" Target="theme/theme1.xml"/><Relationship Id="rId10" Type="http://schemas.openxmlformats.org/officeDocument/2006/relationships/hyperlink" Target="https://www.gov.uk/government/publications/healthy-lives-healthy-people-our-strategy-for-public-health-in-england" TargetMode="External"/><Relationship Id="rId19" Type="http://schemas.openxmlformats.org/officeDocument/2006/relationships/hyperlink" Target="https://www.nice.org.uk/guidance/qs37"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nhs-outcomes-framework/march-2022/domain-1---preventing-people-from-dying-prematurely-nof/1.6.i-infant-mortality" TargetMode="External"/><Relationship Id="rId14" Type="http://schemas.openxmlformats.org/officeDocument/2006/relationships/hyperlink" Target="https://www.nice.org.uk/guidance/ng201" TargetMode="External"/><Relationship Id="rId22" Type="http://schemas.openxmlformats.org/officeDocument/2006/relationships/hyperlink" Target="https://digital.nhs.uk/data-and-information/publications/statistical/nhs-outcomes-framework/march-2022/domain-1---preventing-people-from-dying-prematurely-nof/1.6.i-infant-mortalit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B84BC-9C78-4033-8319-5D9A4076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6686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2025-01-22T00:01:00Z</dcterms:created>
  <dcterms:modified xsi:type="dcterms:W3CDTF">2025-01-23T10:27:00Z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