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D449" w14:textId="77777777" w:rsidR="00AC6A2B" w:rsidRPr="009C60B5" w:rsidRDefault="000528AA" w:rsidP="009C60B5">
      <w:pPr>
        <w:pStyle w:val="Paragraph"/>
        <w:jc w:val="center"/>
        <w:rPr>
          <w:b/>
          <w:bCs/>
          <w:sz w:val="40"/>
          <w:szCs w:val="40"/>
        </w:rPr>
      </w:pPr>
      <w:bookmarkStart w:id="0" w:name="_Hlk161153965"/>
      <w:r w:rsidRPr="009C60B5">
        <w:rPr>
          <w:b/>
          <w:bCs/>
          <w:sz w:val="40"/>
          <w:szCs w:val="40"/>
        </w:rPr>
        <w:t>NATIONAL INSTITUTE FOR HEALTH AND CARE EXCELLENCE</w:t>
      </w:r>
    </w:p>
    <w:p w14:paraId="3BE5DD45" w14:textId="77777777" w:rsidR="00AC6A2B" w:rsidRDefault="00AC6A2B" w:rsidP="00AC6A2B">
      <w:pPr>
        <w:pStyle w:val="Paragraphnonumbers"/>
        <w:jc w:val="center"/>
        <w:rPr>
          <w:b/>
          <w:bCs/>
          <w:sz w:val="40"/>
          <w:szCs w:val="40"/>
        </w:rPr>
      </w:pPr>
    </w:p>
    <w:p w14:paraId="0DA56CF6" w14:textId="67DBE6C1" w:rsidR="00AC7B73" w:rsidRPr="004C1ECB" w:rsidRDefault="00AC6A2B" w:rsidP="004C1ECB">
      <w:pPr>
        <w:pStyle w:val="Paragraph"/>
        <w:jc w:val="center"/>
        <w:rPr>
          <w:b/>
          <w:bCs/>
        </w:rPr>
      </w:pPr>
      <w:r w:rsidRPr="009C60B5">
        <w:rPr>
          <w:b/>
          <w:bCs/>
          <w:sz w:val="32"/>
          <w:szCs w:val="32"/>
        </w:rPr>
        <w:t>E</w:t>
      </w:r>
      <w:r w:rsidR="0045211E" w:rsidRPr="009C60B5">
        <w:rPr>
          <w:b/>
          <w:bCs/>
          <w:sz w:val="32"/>
          <w:szCs w:val="32"/>
        </w:rPr>
        <w:t>quality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and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health</w:t>
      </w:r>
      <w:r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inequalities</w:t>
      </w:r>
      <w:r w:rsidR="006248D8" w:rsidRPr="009C60B5">
        <w:rPr>
          <w:b/>
          <w:bCs/>
          <w:sz w:val="32"/>
          <w:szCs w:val="32"/>
        </w:rPr>
        <w:t xml:space="preserve"> </w:t>
      </w:r>
      <w:r w:rsidR="0045211E" w:rsidRPr="009C60B5">
        <w:rPr>
          <w:b/>
          <w:bCs/>
          <w:sz w:val="32"/>
          <w:szCs w:val="32"/>
        </w:rPr>
        <w:t>assessment</w:t>
      </w:r>
      <w:r w:rsidR="006248D8" w:rsidRPr="009C60B5">
        <w:rPr>
          <w:b/>
          <w:bCs/>
          <w:sz w:val="32"/>
          <w:szCs w:val="32"/>
        </w:rPr>
        <w:t xml:space="preserve"> (EHIA)</w:t>
      </w:r>
      <w:r w:rsidRPr="009C60B5">
        <w:rPr>
          <w:b/>
          <w:bCs/>
        </w:rPr>
        <w:br/>
      </w:r>
      <w:r w:rsidR="0085227A" w:rsidRPr="009C60B5">
        <w:rPr>
          <w:b/>
          <w:bCs/>
        </w:rPr>
        <w:br w:type="page"/>
      </w:r>
    </w:p>
    <w:p w14:paraId="1E51D96F" w14:textId="77777777" w:rsidR="008D1F91" w:rsidRDefault="008D1F91" w:rsidP="008D1F91">
      <w:pPr>
        <w:rPr>
          <w:rFonts w:ascii="Arial" w:eastAsia="Calibri" w:hAnsi="Arial" w:cs="Arial"/>
          <w:bCs/>
          <w:lang w:eastAsia="en-US"/>
        </w:rPr>
      </w:pPr>
    </w:p>
    <w:p w14:paraId="450F366A" w14:textId="77777777" w:rsidR="005640F6" w:rsidRPr="000C36A2" w:rsidRDefault="008D1F91" w:rsidP="008D1F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C36A2">
        <w:rPr>
          <w:rFonts w:ascii="Arial" w:hAnsi="Arial" w:cs="Arial"/>
          <w:b/>
          <w:bCs/>
          <w:sz w:val="32"/>
          <w:szCs w:val="32"/>
        </w:rPr>
        <w:t>NA</w:t>
      </w:r>
      <w:r w:rsidR="005640F6" w:rsidRPr="000C36A2">
        <w:rPr>
          <w:rFonts w:ascii="Arial" w:hAnsi="Arial" w:cs="Arial"/>
          <w:b/>
          <w:bCs/>
          <w:sz w:val="32"/>
          <w:szCs w:val="32"/>
        </w:rPr>
        <w:t>TIONAL INSTITUTE FOR HEALTH AND CARE EXCELLENCE</w:t>
      </w:r>
    </w:p>
    <w:p w14:paraId="73A75819" w14:textId="77777777" w:rsidR="008D1F91" w:rsidRDefault="008D1F91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75EB9DE1" w14:textId="77777777" w:rsidR="005640F6" w:rsidRDefault="00D87EDC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 xml:space="preserve">NICE </w:t>
      </w:r>
      <w:r w:rsidR="00D93623">
        <w:rPr>
          <w:b/>
          <w:bCs/>
          <w:sz w:val="32"/>
          <w:szCs w:val="32"/>
        </w:rPr>
        <w:t>Centre for Guidelines</w:t>
      </w:r>
    </w:p>
    <w:p w14:paraId="6B14C908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17712155" w14:textId="77777777" w:rsidR="00D131D5" w:rsidRDefault="00D131D5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Indicator development programme</w:t>
      </w:r>
    </w:p>
    <w:p w14:paraId="6A18833B" w14:textId="77777777" w:rsidR="00E3419E" w:rsidRPr="00310467" w:rsidRDefault="00E3419E" w:rsidP="00A50587">
      <w:pPr>
        <w:pStyle w:val="Paragraphnonumbers"/>
        <w:spacing w:after="0"/>
        <w:jc w:val="center"/>
        <w:rPr>
          <w:b/>
          <w:bCs/>
          <w:sz w:val="32"/>
          <w:szCs w:val="32"/>
        </w:rPr>
      </w:pPr>
    </w:p>
    <w:p w14:paraId="496F67F8" w14:textId="77777777" w:rsidR="005640F6" w:rsidRPr="001B335E" w:rsidRDefault="005640F6" w:rsidP="001B335E">
      <w:pPr>
        <w:pStyle w:val="Paragraphnonumbers"/>
        <w:jc w:val="center"/>
        <w:rPr>
          <w:b/>
          <w:bCs/>
          <w:sz w:val="32"/>
          <w:szCs w:val="32"/>
        </w:rPr>
      </w:pPr>
      <w:r w:rsidRPr="00310467">
        <w:rPr>
          <w:b/>
          <w:bCs/>
          <w:sz w:val="32"/>
          <w:szCs w:val="32"/>
        </w:rPr>
        <w:t>Equality</w:t>
      </w:r>
      <w:r w:rsidR="00D93B85" w:rsidRPr="00310467">
        <w:rPr>
          <w:b/>
          <w:bCs/>
          <w:sz w:val="32"/>
          <w:szCs w:val="32"/>
        </w:rPr>
        <w:t xml:space="preserve"> and health inequalities</w:t>
      </w:r>
      <w:r w:rsidRPr="00310467">
        <w:rPr>
          <w:b/>
          <w:bCs/>
          <w:sz w:val="32"/>
          <w:szCs w:val="32"/>
        </w:rPr>
        <w:t xml:space="preserve"> assessment</w:t>
      </w:r>
      <w:r w:rsidR="00C43618">
        <w:rPr>
          <w:b/>
          <w:bCs/>
          <w:sz w:val="32"/>
          <w:szCs w:val="32"/>
        </w:rPr>
        <w:t xml:space="preserve"> </w:t>
      </w:r>
      <w:r w:rsidR="0008249E" w:rsidRPr="00310467">
        <w:rPr>
          <w:b/>
          <w:bCs/>
          <w:sz w:val="32"/>
          <w:szCs w:val="32"/>
        </w:rPr>
        <w:t>(</w:t>
      </w:r>
      <w:r w:rsidR="006248D8">
        <w:rPr>
          <w:b/>
          <w:bCs/>
          <w:sz w:val="32"/>
          <w:szCs w:val="32"/>
        </w:rPr>
        <w:t>EHIA</w:t>
      </w:r>
      <w:r w:rsidR="0008249E" w:rsidRPr="00310467">
        <w:rPr>
          <w:b/>
          <w:bCs/>
          <w:sz w:val="32"/>
          <w:szCs w:val="32"/>
        </w:rPr>
        <w:t>)</w:t>
      </w:r>
      <w:r w:rsidR="00310467" w:rsidRPr="00310467">
        <w:rPr>
          <w:b/>
          <w:bCs/>
          <w:sz w:val="32"/>
          <w:szCs w:val="32"/>
        </w:rPr>
        <w:t xml:space="preserve"> </w:t>
      </w:r>
    </w:p>
    <w:p w14:paraId="51F46065" w14:textId="0CA4570D" w:rsidR="00A82E2A" w:rsidRDefault="00353ABF" w:rsidP="00A82E2A">
      <w:pPr>
        <w:pStyle w:val="Heading1"/>
        <w:jc w:val="center"/>
      </w:pPr>
      <w:r>
        <w:t>IND287</w:t>
      </w:r>
      <w:r w:rsidR="00A82E2A">
        <w:t xml:space="preserve"> </w:t>
      </w:r>
      <w:r w:rsidRPr="00353ABF">
        <w:t>Cardiovascular disease prevention: lipid lowering therapy for people newly diagnosed with hypertension or T2DM</w:t>
      </w:r>
    </w:p>
    <w:p w14:paraId="2722F196" w14:textId="77777777" w:rsidR="00A82E2A" w:rsidRDefault="00A82E2A" w:rsidP="00A82E2A">
      <w:pPr>
        <w:pStyle w:val="Paragraphnonumbers"/>
      </w:pPr>
      <w:r w:rsidRPr="0078563E">
        <w:t xml:space="preserve">The </w:t>
      </w:r>
      <w:r>
        <w:t>considerations and potential impact on</w:t>
      </w:r>
      <w:r w:rsidRPr="0078563E">
        <w:t xml:space="preserve"> equality </w:t>
      </w:r>
      <w:r>
        <w:t xml:space="preserve">and health inequalities </w:t>
      </w:r>
      <w:r w:rsidRPr="0078563E">
        <w:t>ha</w:t>
      </w:r>
      <w:r>
        <w:t>ve</w:t>
      </w:r>
      <w:r w:rsidRPr="0078563E">
        <w:t xml:space="preserve"> been </w:t>
      </w:r>
      <w:r>
        <w:t>considered</w:t>
      </w:r>
      <w:r w:rsidRPr="0078563E">
        <w:t xml:space="preserve"> </w:t>
      </w:r>
      <w:r>
        <w:t>throughout the</w:t>
      </w:r>
      <w:r w:rsidRPr="0078563E">
        <w:t xml:space="preserve"> </w:t>
      </w:r>
      <w:r>
        <w:t>indicator</w:t>
      </w:r>
      <w:r w:rsidRPr="0078563E">
        <w:t xml:space="preserve"> development</w:t>
      </w:r>
      <w:r>
        <w:t xml:space="preserve">, process </w:t>
      </w:r>
      <w:r w:rsidRPr="0078563E">
        <w:t>according to the principles of the NICE equality policy</w:t>
      </w:r>
      <w:r>
        <w:t xml:space="preserve"> and those outlined in </w:t>
      </w:r>
      <w:hyperlink r:id="rId9" w:anchor="how-we-develop-indicators" w:history="1">
        <w:r>
          <w:rPr>
            <w:rStyle w:val="Hyperlink"/>
          </w:rPr>
          <w:t>Indicators process guide</w:t>
        </w:r>
      </w:hyperlink>
      <w:r>
        <w:t>.</w:t>
      </w:r>
    </w:p>
    <w:p w14:paraId="029ADABE" w14:textId="77777777" w:rsidR="00DF46C0" w:rsidRPr="000A213F" w:rsidRDefault="00FE16C4" w:rsidP="006320D4">
      <w:pPr>
        <w:pStyle w:val="Paragraphnonumbers"/>
        <w:spacing w:after="0"/>
        <w:jc w:val="center"/>
        <w:rPr>
          <w:b/>
          <w:bCs/>
          <w:sz w:val="32"/>
          <w:szCs w:val="32"/>
          <w:shd w:val="clear" w:color="auto" w:fill="BFBFBF"/>
        </w:rPr>
      </w:pPr>
      <w:r>
        <w:br w:type="page"/>
      </w:r>
      <w:bookmarkStart w:id="1" w:name="_Toc109224098"/>
    </w:p>
    <w:p w14:paraId="09C656EF" w14:textId="77777777" w:rsidR="00570494" w:rsidRDefault="003778FE" w:rsidP="0096171A">
      <w:pPr>
        <w:pStyle w:val="Heading1"/>
      </w:pPr>
      <w:bookmarkStart w:id="2" w:name="_Toc138944320"/>
      <w:bookmarkEnd w:id="0"/>
      <w:r>
        <w:lastRenderedPageBreak/>
        <w:t xml:space="preserve">STAGE </w:t>
      </w:r>
      <w:r w:rsidR="006320D4">
        <w:t>1</w:t>
      </w:r>
      <w:r w:rsidR="009C60B5">
        <w:t>.</w:t>
      </w:r>
      <w:r w:rsidR="00840E51">
        <w:t xml:space="preserve"> </w:t>
      </w:r>
      <w:bookmarkEnd w:id="2"/>
      <w:r w:rsidR="00803C1C">
        <w:t>Consultation</w:t>
      </w:r>
      <w:r w:rsidR="00840E51">
        <w:t xml:space="preserve"> </w:t>
      </w:r>
      <w:r w:rsidR="005F14B5">
        <w:t xml:space="preserve">  </w:t>
      </w:r>
      <w:bookmarkEnd w:id="1"/>
      <w:r w:rsidR="005F14B5">
        <w:t xml:space="preserve"> </w:t>
      </w:r>
    </w:p>
    <w:p w14:paraId="1901D33D" w14:textId="04EA4637" w:rsidR="006210D3" w:rsidRPr="006210D3" w:rsidRDefault="006210D3" w:rsidP="004C5A80">
      <w:pPr>
        <w:pStyle w:val="Heading2"/>
        <w:spacing w:after="240"/>
      </w:pPr>
    </w:p>
    <w:tbl>
      <w:tblPr>
        <w:tblpPr w:leftFromText="180" w:rightFromText="180" w:vertAnchor="text" w:tblpY="102"/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1"/>
      </w:tblGrid>
      <w:tr w:rsidR="00EB653E" w:rsidRPr="0078563E" w14:paraId="1AB78BF2" w14:textId="77777777" w:rsidTr="00E3419E">
        <w:trPr>
          <w:trHeight w:val="383"/>
        </w:trPr>
        <w:tc>
          <w:tcPr>
            <w:tcW w:w="9721" w:type="dxa"/>
            <w:shd w:val="clear" w:color="auto" w:fill="auto"/>
          </w:tcPr>
          <w:p w14:paraId="76118F68" w14:textId="77777777" w:rsidR="00EB653E" w:rsidRPr="00451133" w:rsidRDefault="00242ABB" w:rsidP="00F90FF8">
            <w:pPr>
              <w:pStyle w:val="Paragraph"/>
              <w:numPr>
                <w:ilvl w:val="1"/>
                <w:numId w:val="8"/>
              </w:numPr>
            </w:pPr>
            <w:bookmarkStart w:id="3" w:name="_Hlk110604024"/>
            <w:r>
              <w:t xml:space="preserve"> </w:t>
            </w:r>
            <w:r w:rsidR="00EB653E">
              <w:t>What</w:t>
            </w:r>
            <w:r w:rsidR="00025DBE">
              <w:t xml:space="preserve"> approaches have</w:t>
            </w:r>
            <w:r w:rsidR="00EB653E">
              <w:t xml:space="preserve"> been </w:t>
            </w:r>
            <w:r w:rsidR="00025DBE">
              <w:t>used</w:t>
            </w:r>
            <w:r w:rsidR="00EB653E">
              <w:t xml:space="preserve"> to identify potential equality and health inequalities issues</w:t>
            </w:r>
            <w:r w:rsidR="00D14D16">
              <w:t xml:space="preserve"> </w:t>
            </w:r>
            <w:r w:rsidR="00EB653E">
              <w:t>during</w:t>
            </w:r>
            <w:r w:rsidR="00D14D16">
              <w:t xml:space="preserve"> </w:t>
            </w:r>
            <w:r w:rsidR="00007662">
              <w:t xml:space="preserve">indicator </w:t>
            </w:r>
            <w:r w:rsidR="00EB653E">
              <w:t>development?</w:t>
            </w:r>
            <w:bookmarkEnd w:id="3"/>
          </w:p>
        </w:tc>
      </w:tr>
      <w:tr w:rsidR="00EB653E" w:rsidRPr="0078563E" w14:paraId="73F6CD38" w14:textId="77777777" w:rsidTr="00C97756">
        <w:trPr>
          <w:trHeight w:val="2643"/>
        </w:trPr>
        <w:tc>
          <w:tcPr>
            <w:tcW w:w="9721" w:type="dxa"/>
            <w:shd w:val="clear" w:color="auto" w:fill="auto"/>
          </w:tcPr>
          <w:p w14:paraId="5481CDB5" w14:textId="3FBEB570" w:rsidR="00AC7FDF" w:rsidRPr="00835152" w:rsidRDefault="00AC7FDF" w:rsidP="00D20EB1">
            <w:pPr>
              <w:pStyle w:val="Paragraphnonumbers"/>
            </w:pPr>
            <w:r w:rsidRPr="00835152">
              <w:t>Note: there was no consultation on this indicator. This is an update of indicator IND162 which had consultation before it was published in August 2015.</w:t>
            </w:r>
          </w:p>
          <w:p w14:paraId="4E8C8566" w14:textId="77777777" w:rsidR="00353ABF" w:rsidRDefault="00E635DD" w:rsidP="00D20EB1">
            <w:pPr>
              <w:pStyle w:val="Paragraphnonumbers"/>
            </w:pPr>
            <w:r w:rsidRPr="00835152">
              <w:t xml:space="preserve">Sources of information: </w:t>
            </w:r>
          </w:p>
          <w:p w14:paraId="69D531F8" w14:textId="21EBA9FC" w:rsidR="00F90FF8" w:rsidRDefault="00F90FF8" w:rsidP="00F90FF8">
            <w:pPr>
              <w:pStyle w:val="Paragraphnonumbers"/>
              <w:numPr>
                <w:ilvl w:val="0"/>
                <w:numId w:val="11"/>
              </w:numPr>
            </w:pPr>
            <w:hyperlink r:id="rId10" w:history="1">
              <w:r w:rsidRPr="00F90FF8">
                <w:rPr>
                  <w:rStyle w:val="Hyperlink"/>
                </w:rPr>
                <w:t>CVDPREVENT third annual report</w:t>
              </w:r>
            </w:hyperlink>
            <w:r>
              <w:t xml:space="preserve"> (2023)</w:t>
            </w:r>
          </w:p>
          <w:p w14:paraId="59C0EE6D" w14:textId="51D774A0" w:rsidR="00F90FF8" w:rsidRDefault="00F90FF8" w:rsidP="00F90FF8">
            <w:pPr>
              <w:pStyle w:val="Paragraphnonumbers"/>
              <w:numPr>
                <w:ilvl w:val="0"/>
                <w:numId w:val="11"/>
              </w:numPr>
            </w:pPr>
            <w:hyperlink r:id="rId11" w:history="1">
              <w:r w:rsidRPr="00353ABF">
                <w:rPr>
                  <w:rStyle w:val="Hyperlink"/>
                </w:rPr>
                <w:t>Learning from Lives and Deaths – people with a learning disability and autistic people (</w:t>
              </w:r>
              <w:proofErr w:type="spellStart"/>
              <w:r w:rsidRPr="00353ABF">
                <w:rPr>
                  <w:rStyle w:val="Hyperlink"/>
                </w:rPr>
                <w:t>LeDeR</w:t>
              </w:r>
              <w:proofErr w:type="spellEnd"/>
              <w:r w:rsidRPr="00353ABF">
                <w:rPr>
                  <w:rStyle w:val="Hyperlink"/>
                </w:rPr>
                <w:t xml:space="preserve">) report for 2022. </w:t>
              </w:r>
              <w:proofErr w:type="spellStart"/>
              <w:r w:rsidRPr="00353ABF">
                <w:rPr>
                  <w:rStyle w:val="Hyperlink"/>
                </w:rPr>
                <w:t>LeDeR</w:t>
              </w:r>
              <w:proofErr w:type="spellEnd"/>
              <w:r w:rsidRPr="00353ABF">
                <w:rPr>
                  <w:rStyle w:val="Hyperlink"/>
                </w:rPr>
                <w:t xml:space="preserve"> Autism and learning disability partnership, King College London</w:t>
              </w:r>
            </w:hyperlink>
            <w:r w:rsidRPr="00353ABF">
              <w:t xml:space="preserve"> (2023)</w:t>
            </w:r>
          </w:p>
          <w:p w14:paraId="5CC70DB8" w14:textId="6EA7B4A0" w:rsidR="00F90FF8" w:rsidRPr="00F90FF8" w:rsidRDefault="00F90FF8" w:rsidP="00F90FF8">
            <w:pPr>
              <w:pStyle w:val="Paragraphnonumbers"/>
              <w:numPr>
                <w:ilvl w:val="0"/>
                <w:numId w:val="11"/>
              </w:numPr>
              <w:rPr>
                <w:i/>
                <w:iCs/>
              </w:rPr>
            </w:pPr>
            <w:hyperlink r:id="rId12" w:history="1">
              <w:r w:rsidRPr="00A975F7">
                <w:rPr>
                  <w:rStyle w:val="Hyperlink"/>
                </w:rPr>
                <w:t>CVD</w:t>
              </w:r>
              <w:r>
                <w:rPr>
                  <w:rStyle w:val="Hyperlink"/>
                </w:rPr>
                <w:t>PREVENT</w:t>
              </w:r>
              <w:r w:rsidRPr="00A975F7">
                <w:rPr>
                  <w:rStyle w:val="Hyperlink"/>
                </w:rPr>
                <w:t xml:space="preserve"> data explorer</w:t>
              </w:r>
            </w:hyperlink>
            <w:r>
              <w:t>, data to March 2024</w:t>
            </w:r>
          </w:p>
          <w:p w14:paraId="74E4FBC3" w14:textId="77777777" w:rsidR="00F90FF8" w:rsidRDefault="00F90FF8" w:rsidP="00F90FF8">
            <w:pPr>
              <w:pStyle w:val="Paragraphnonumbers"/>
              <w:numPr>
                <w:ilvl w:val="0"/>
                <w:numId w:val="11"/>
              </w:numPr>
            </w:pPr>
            <w:r w:rsidRPr="00835152">
              <w:t>EHIA for NICE guideline NG238 (2023)</w:t>
            </w:r>
          </w:p>
          <w:p w14:paraId="7533CE59" w14:textId="3B2D1A1F" w:rsidR="00F90FF8" w:rsidRDefault="00F90FF8" w:rsidP="00F90FF8">
            <w:pPr>
              <w:pStyle w:val="Paragraphnonumbers"/>
              <w:numPr>
                <w:ilvl w:val="0"/>
                <w:numId w:val="11"/>
              </w:numPr>
            </w:pPr>
            <w:hyperlink r:id="rId13" w:history="1">
              <w:r w:rsidRPr="00A975F7">
                <w:rPr>
                  <w:rStyle w:val="Hyperlink"/>
                </w:rPr>
                <w:t>CVD</w:t>
              </w:r>
              <w:r>
                <w:rPr>
                  <w:rStyle w:val="Hyperlink"/>
                </w:rPr>
                <w:t xml:space="preserve">PREVENT </w:t>
              </w:r>
              <w:r w:rsidRPr="00A975F7">
                <w:rPr>
                  <w:rStyle w:val="Hyperlink"/>
                </w:rPr>
                <w:t>Deep Dive: inequalities in cholesterol management for patients with CVD</w:t>
              </w:r>
            </w:hyperlink>
            <w:r w:rsidRPr="00003298">
              <w:t xml:space="preserve"> (2024)</w:t>
            </w:r>
          </w:p>
          <w:p w14:paraId="2A5C639C" w14:textId="0980D29A" w:rsidR="00F90FF8" w:rsidRPr="00F90FF8" w:rsidRDefault="00F90FF8" w:rsidP="00F90FF8">
            <w:pPr>
              <w:pStyle w:val="Paragraphnonumbers"/>
              <w:numPr>
                <w:ilvl w:val="0"/>
                <w:numId w:val="11"/>
              </w:numPr>
              <w:rPr>
                <w:i/>
                <w:iCs/>
              </w:rPr>
            </w:pPr>
            <w:hyperlink r:id="rId14" w:history="1">
              <w:r w:rsidRPr="00A975F7">
                <w:rPr>
                  <w:rStyle w:val="Hyperlink"/>
                </w:rPr>
                <w:t>Health Matters</w:t>
              </w:r>
              <w:r>
                <w:rPr>
                  <w:rStyle w:val="Hyperlink"/>
                </w:rPr>
                <w:t>: preventing cardiovascular disease</w:t>
              </w:r>
              <w:r w:rsidRPr="00A975F7">
                <w:rPr>
                  <w:rStyle w:val="Hyperlink"/>
                </w:rPr>
                <w:t>. Public Health England</w:t>
              </w:r>
            </w:hyperlink>
            <w:r>
              <w:t xml:space="preserve"> (2019)</w:t>
            </w:r>
          </w:p>
          <w:p w14:paraId="63B58C11" w14:textId="32BB2E3B" w:rsidR="00F90FF8" w:rsidRPr="00F90FF8" w:rsidRDefault="00F90FF8" w:rsidP="00F90FF8">
            <w:pPr>
              <w:pStyle w:val="Paragraphnonumbers"/>
              <w:numPr>
                <w:ilvl w:val="0"/>
                <w:numId w:val="11"/>
              </w:numPr>
            </w:pPr>
            <w:hyperlink r:id="rId15" w:history="1">
              <w:r w:rsidRPr="00A975F7">
                <w:rPr>
                  <w:rStyle w:val="Hyperlink"/>
                </w:rPr>
                <w:t>British Heart Foundation England factsheet</w:t>
              </w:r>
            </w:hyperlink>
            <w:r>
              <w:t xml:space="preserve"> (2024)</w:t>
            </w:r>
          </w:p>
          <w:p w14:paraId="5F42C2E2" w14:textId="77777777" w:rsidR="00353ABF" w:rsidRDefault="00E635DD" w:rsidP="00F90FF8">
            <w:pPr>
              <w:pStyle w:val="Paragraphnonumbers"/>
              <w:numPr>
                <w:ilvl w:val="0"/>
                <w:numId w:val="11"/>
              </w:numPr>
            </w:pPr>
            <w:r w:rsidRPr="00835152">
              <w:t>consultation summary report for NICE indicator IND162</w:t>
            </w:r>
          </w:p>
          <w:p w14:paraId="5F82CFFF" w14:textId="77777777" w:rsidR="00353ABF" w:rsidRDefault="00835152" w:rsidP="00F90FF8">
            <w:pPr>
              <w:pStyle w:val="Paragraphnonumbers"/>
              <w:numPr>
                <w:ilvl w:val="0"/>
                <w:numId w:val="11"/>
              </w:numPr>
            </w:pPr>
            <w:r>
              <w:t xml:space="preserve">minutes of </w:t>
            </w:r>
            <w:r w:rsidR="00E635DD" w:rsidRPr="00835152">
              <w:t>committee discussion for</w:t>
            </w:r>
            <w:r>
              <w:t xml:space="preserve"> </w:t>
            </w:r>
            <w:r w:rsidR="00E635DD" w:rsidRPr="00835152">
              <w:t>NICE indicator IND</w:t>
            </w:r>
            <w:r>
              <w:t>162</w:t>
            </w:r>
          </w:p>
          <w:p w14:paraId="43C7D5C8" w14:textId="77777777" w:rsidR="00353ABF" w:rsidRDefault="00E635DD" w:rsidP="00F90FF8">
            <w:pPr>
              <w:pStyle w:val="Paragraphnonumbers"/>
              <w:numPr>
                <w:ilvl w:val="0"/>
                <w:numId w:val="11"/>
              </w:numPr>
            </w:pPr>
            <w:r w:rsidRPr="00835152">
              <w:t xml:space="preserve">EHIA for </w:t>
            </w:r>
            <w:r w:rsidR="00835152">
              <w:t xml:space="preserve">similar </w:t>
            </w:r>
            <w:r w:rsidRPr="00835152">
              <w:t>NICE indicator IND274</w:t>
            </w:r>
            <w:r w:rsidR="00835152">
              <w:t xml:space="preserve"> (2024)</w:t>
            </w:r>
          </w:p>
          <w:p w14:paraId="0E80883A" w14:textId="0F4F73C9" w:rsidR="00AC7FDF" w:rsidRPr="00F90FF8" w:rsidRDefault="00925609" w:rsidP="00F90FF8">
            <w:pPr>
              <w:pStyle w:val="Paragraphnonumbers"/>
              <w:numPr>
                <w:ilvl w:val="0"/>
                <w:numId w:val="11"/>
              </w:numPr>
            </w:pPr>
            <w:r w:rsidRPr="00835152">
              <w:t xml:space="preserve">EHIA for </w:t>
            </w:r>
            <w:r w:rsidR="00835152">
              <w:t xml:space="preserve">updated </w:t>
            </w:r>
            <w:r w:rsidRPr="00835152">
              <w:t>QS100 (2024; in development)</w:t>
            </w:r>
          </w:p>
        </w:tc>
      </w:tr>
    </w:tbl>
    <w:p w14:paraId="5E2BC75E" w14:textId="77777777" w:rsidR="008A6492" w:rsidRDefault="008A6492" w:rsidP="00C14F15">
      <w:pPr>
        <w:pStyle w:val="Paragraphnonumbers"/>
        <w:rPr>
          <w:rFonts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96171A" w:rsidRPr="00094590" w14:paraId="2EE24C08" w14:textId="77777777" w:rsidTr="0096171A">
        <w:tc>
          <w:tcPr>
            <w:tcW w:w="9704" w:type="dxa"/>
            <w:shd w:val="clear" w:color="auto" w:fill="auto"/>
          </w:tcPr>
          <w:p w14:paraId="508C3BE3" w14:textId="77777777" w:rsidR="001553E9" w:rsidRDefault="00242ABB" w:rsidP="00F90FF8">
            <w:pPr>
              <w:pStyle w:val="Paragraph"/>
              <w:numPr>
                <w:ilvl w:val="1"/>
                <w:numId w:val="8"/>
              </w:numPr>
            </w:pPr>
            <w:bookmarkStart w:id="4" w:name="_Hlk110604289"/>
            <w:r>
              <w:t xml:space="preserve"> </w:t>
            </w:r>
            <w:r w:rsidR="0096171A">
              <w:t>What</w:t>
            </w:r>
            <w:r w:rsidR="0096171A" w:rsidRPr="0078563E">
              <w:t xml:space="preserve"> potential equality</w:t>
            </w:r>
            <w:r w:rsidR="0096171A">
              <w:t xml:space="preserve"> and health inequalities</w:t>
            </w:r>
            <w:r w:rsidR="0096171A" w:rsidRPr="0078563E">
              <w:t xml:space="preserve"> issues </w:t>
            </w:r>
            <w:r w:rsidR="0096171A">
              <w:t xml:space="preserve">have </w:t>
            </w:r>
            <w:r w:rsidR="0096171A" w:rsidRPr="0078563E">
              <w:t xml:space="preserve">been identified during </w:t>
            </w:r>
            <w:r w:rsidR="008022B3">
              <w:t xml:space="preserve">indicator </w:t>
            </w:r>
            <w:r w:rsidR="0096171A" w:rsidRPr="0078563E">
              <w:t>development?</w:t>
            </w:r>
            <w:bookmarkEnd w:id="4"/>
          </w:p>
        </w:tc>
      </w:tr>
      <w:tr w:rsidR="00694918" w:rsidRPr="00094590" w14:paraId="1972695B" w14:textId="77777777" w:rsidTr="001553E9">
        <w:tc>
          <w:tcPr>
            <w:tcW w:w="9704" w:type="dxa"/>
            <w:shd w:val="clear" w:color="auto" w:fill="auto"/>
          </w:tcPr>
          <w:p w14:paraId="34365AAD" w14:textId="77777777" w:rsidR="002E0A2C" w:rsidRPr="00E635DD" w:rsidRDefault="00A32D00" w:rsidP="00925609">
            <w:pPr>
              <w:pStyle w:val="Paragraph"/>
              <w:spacing w:after="0"/>
              <w:rPr>
                <w:i/>
                <w:iCs/>
              </w:rPr>
            </w:pPr>
            <w:r w:rsidRPr="00E635DD">
              <w:rPr>
                <w:i/>
                <w:iCs/>
              </w:rPr>
              <w:t xml:space="preserve">Protected characteristics outlined in the Equality Act 2010 </w:t>
            </w:r>
          </w:p>
          <w:p w14:paraId="74EEDA15" w14:textId="77777777" w:rsidR="00925609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E635DD">
              <w:rPr>
                <w:i/>
                <w:iCs/>
              </w:rPr>
              <w:t>A</w:t>
            </w:r>
            <w:r w:rsidR="00A32D00" w:rsidRPr="00E635DD">
              <w:rPr>
                <w:i/>
                <w:iCs/>
              </w:rPr>
              <w:t>ge</w:t>
            </w:r>
            <w:r w:rsidRPr="00E635DD">
              <w:rPr>
                <w:i/>
                <w:iCs/>
              </w:rPr>
              <w:t>:</w:t>
            </w:r>
            <w:r w:rsidR="00E635DD" w:rsidRPr="00E635DD">
              <w:rPr>
                <w:i/>
                <w:iCs/>
              </w:rPr>
              <w:t xml:space="preserve"> </w:t>
            </w:r>
          </w:p>
          <w:p w14:paraId="2D055051" w14:textId="17D3FEF9" w:rsidR="00925609" w:rsidRPr="00925609" w:rsidRDefault="00925609" w:rsidP="00F90FF8">
            <w:pPr>
              <w:pStyle w:val="Paragraph"/>
              <w:numPr>
                <w:ilvl w:val="0"/>
                <w:numId w:val="10"/>
              </w:numPr>
              <w:spacing w:after="0"/>
              <w:rPr>
                <w:i/>
                <w:iCs/>
              </w:rPr>
            </w:pPr>
            <w:r w:rsidRPr="00925609">
              <w:t>People in younger age groups are less likely to be treated to targets or threshold when compared to older age group</w:t>
            </w:r>
            <w:r>
              <w:t>s</w:t>
            </w:r>
            <w:r w:rsidR="00353ABF">
              <w:t xml:space="preserve"> </w:t>
            </w:r>
            <w:r w:rsidR="00353ABF" w:rsidRPr="00353ABF">
              <w:t>(CVDPREVENT, 2023)</w:t>
            </w:r>
            <w:r w:rsidRPr="00925609">
              <w:t>.</w:t>
            </w:r>
          </w:p>
          <w:p w14:paraId="2441801B" w14:textId="445C891F" w:rsidR="002E0A2C" w:rsidRPr="00E635DD" w:rsidRDefault="00BF6594" w:rsidP="00F90FF8">
            <w:pPr>
              <w:pStyle w:val="Paragraph"/>
              <w:numPr>
                <w:ilvl w:val="0"/>
                <w:numId w:val="10"/>
              </w:numPr>
              <w:spacing w:after="0"/>
              <w:rPr>
                <w:i/>
                <w:iCs/>
              </w:rPr>
            </w:pPr>
            <w:r w:rsidRPr="00BF6594">
              <w:lastRenderedPageBreak/>
              <w:t>Limited evidence on benefits or risk of statins in older people with moderate or severe frailt</w:t>
            </w:r>
            <w:r>
              <w:t>y</w:t>
            </w:r>
            <w:r w:rsidRPr="00BF6594">
              <w:t>.</w:t>
            </w:r>
          </w:p>
          <w:p w14:paraId="11CB545D" w14:textId="77777777" w:rsidR="00925609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E635DD">
              <w:rPr>
                <w:i/>
                <w:iCs/>
              </w:rPr>
              <w:t>D</w:t>
            </w:r>
            <w:r w:rsidR="00A32D00" w:rsidRPr="00E635DD">
              <w:rPr>
                <w:i/>
                <w:iCs/>
              </w:rPr>
              <w:t>isability</w:t>
            </w:r>
            <w:r w:rsidRPr="00E635DD">
              <w:rPr>
                <w:i/>
                <w:iCs/>
              </w:rPr>
              <w:t>:</w:t>
            </w:r>
            <w:r w:rsidR="00A32D00" w:rsidRPr="00E635DD">
              <w:rPr>
                <w:i/>
                <w:iCs/>
              </w:rPr>
              <w:t xml:space="preserve"> </w:t>
            </w:r>
          </w:p>
          <w:p w14:paraId="1F09F109" w14:textId="77777777" w:rsidR="00925609" w:rsidRDefault="00925609" w:rsidP="00F90FF8">
            <w:pPr>
              <w:pStyle w:val="Paragraph"/>
              <w:numPr>
                <w:ilvl w:val="0"/>
                <w:numId w:val="10"/>
              </w:numPr>
              <w:spacing w:after="0"/>
            </w:pPr>
            <w:r>
              <w:t>The LeDeR annual report: learning from lives and deaths: people with a learning disability and autistic people 2022 (2023) showed that circulatory disease was the cause of death in 16.7% of people and 35.3% of these were due to ischaemic heart disease. The report notes that 26.4% of avoidable deaths were linked to cardiovascular conditions (based on data from 2,054 adults with a learning disability).</w:t>
            </w:r>
          </w:p>
          <w:p w14:paraId="0BD9931F" w14:textId="66B4DD44" w:rsidR="00925609" w:rsidRPr="00925609" w:rsidRDefault="00925609" w:rsidP="00F90FF8">
            <w:pPr>
              <w:pStyle w:val="Paragraph"/>
              <w:numPr>
                <w:ilvl w:val="0"/>
                <w:numId w:val="10"/>
              </w:numPr>
              <w:spacing w:after="0"/>
              <w:rPr>
                <w:i/>
                <w:iCs/>
              </w:rPr>
            </w:pPr>
            <w:r w:rsidRPr="00925609">
              <w:t xml:space="preserve">Data from the CVDPREVENT audit reports that prescribing of lipid lowering therapy for primary prevention of CVD is higher for people with a diagnosed learning disability than people without a learning disability (64.8% versus 53.0%). </w:t>
            </w:r>
            <w:r w:rsidR="00F90FF8">
              <w:t>(CVDPREVENT data explorer, data to March 2024).</w:t>
            </w:r>
          </w:p>
          <w:p w14:paraId="7FDC5CCD" w14:textId="2DFA74C6" w:rsidR="002E0A2C" w:rsidRPr="00E635DD" w:rsidRDefault="00E635DD" w:rsidP="00F90FF8">
            <w:pPr>
              <w:pStyle w:val="Paragraph"/>
              <w:numPr>
                <w:ilvl w:val="0"/>
                <w:numId w:val="10"/>
              </w:numPr>
              <w:spacing w:after="0"/>
              <w:rPr>
                <w:i/>
                <w:iCs/>
              </w:rPr>
            </w:pPr>
            <w:r w:rsidRPr="00E635DD">
              <w:t xml:space="preserve">Lack of adherence will impact ability to achieve desired lipid lowering. Adherence may be lower </w:t>
            </w:r>
            <w:proofErr w:type="gramStart"/>
            <w:r w:rsidRPr="00E635DD">
              <w:t>in particular groups</w:t>
            </w:r>
            <w:proofErr w:type="gramEnd"/>
            <w:r w:rsidRPr="00E635DD">
              <w:t>, for example those with mental health conditions or learning disabilities and therefore may be a particular issue in those groups</w:t>
            </w:r>
            <w:r w:rsidR="00353ABF">
              <w:t xml:space="preserve"> </w:t>
            </w:r>
            <w:r w:rsidR="00353ABF" w:rsidRPr="00353ABF">
              <w:t>(NG238 final EHIA, 2023)</w:t>
            </w:r>
            <w:r w:rsidRPr="00E635DD">
              <w:t>.</w:t>
            </w:r>
          </w:p>
          <w:p w14:paraId="43E1323D" w14:textId="577786FE" w:rsidR="002E0A2C" w:rsidRPr="00E635DD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E635DD">
              <w:rPr>
                <w:i/>
                <w:iCs/>
              </w:rPr>
              <w:t>G</w:t>
            </w:r>
            <w:r w:rsidR="00A32D00" w:rsidRPr="00E635DD">
              <w:rPr>
                <w:i/>
                <w:iCs/>
              </w:rPr>
              <w:t>ender reassignment</w:t>
            </w:r>
            <w:r w:rsidRPr="00E635DD">
              <w:rPr>
                <w:i/>
                <w:iCs/>
              </w:rPr>
              <w:t>:</w:t>
            </w:r>
            <w:r w:rsidR="00BF6594">
              <w:rPr>
                <w:i/>
                <w:iCs/>
              </w:rPr>
              <w:t xml:space="preserve"> </w:t>
            </w:r>
            <w:r w:rsidR="00BF6594" w:rsidRPr="00925609">
              <w:t>No issues identified.</w:t>
            </w:r>
          </w:p>
          <w:p w14:paraId="31511B1D" w14:textId="0F60ACD0" w:rsidR="002E0A2C" w:rsidRPr="00E635DD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E635DD">
              <w:rPr>
                <w:i/>
                <w:iCs/>
              </w:rPr>
              <w:t>P</w:t>
            </w:r>
            <w:r w:rsidR="00A32D00" w:rsidRPr="00E635DD">
              <w:rPr>
                <w:i/>
                <w:iCs/>
              </w:rPr>
              <w:t>regnancy and maternity</w:t>
            </w:r>
            <w:r w:rsidRPr="00E635DD">
              <w:rPr>
                <w:i/>
                <w:iCs/>
              </w:rPr>
              <w:t>:</w:t>
            </w:r>
            <w:r w:rsidR="00BF6594">
              <w:rPr>
                <w:i/>
                <w:iCs/>
              </w:rPr>
              <w:t xml:space="preserve"> </w:t>
            </w:r>
            <w:r w:rsidR="00BF6594" w:rsidRPr="00925609">
              <w:t>Statins are contraindicated in pregnancy.</w:t>
            </w:r>
          </w:p>
          <w:p w14:paraId="0F89EFEB" w14:textId="38ED3F00" w:rsidR="002E0A2C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E635DD">
              <w:rPr>
                <w:i/>
                <w:iCs/>
              </w:rPr>
              <w:t>Ra</w:t>
            </w:r>
            <w:r w:rsidR="00A32D00" w:rsidRPr="00E635DD">
              <w:rPr>
                <w:i/>
                <w:iCs/>
              </w:rPr>
              <w:t>ce</w:t>
            </w:r>
            <w:r w:rsidRPr="00E635DD">
              <w:rPr>
                <w:i/>
                <w:iCs/>
              </w:rPr>
              <w:t>:</w:t>
            </w:r>
            <w:r w:rsidR="00A32D00" w:rsidRPr="00E635DD">
              <w:rPr>
                <w:i/>
                <w:iCs/>
              </w:rPr>
              <w:t xml:space="preserve"> </w:t>
            </w:r>
          </w:p>
          <w:p w14:paraId="14C9041A" w14:textId="64D72884" w:rsidR="00925609" w:rsidRDefault="00925609" w:rsidP="00F90FF8">
            <w:pPr>
              <w:pStyle w:val="Paragraph"/>
              <w:numPr>
                <w:ilvl w:val="0"/>
                <w:numId w:val="10"/>
              </w:numPr>
              <w:spacing w:after="0"/>
            </w:pPr>
            <w:r>
              <w:t>People from South Asian and Black family backgrounds are at highest risk of CVD and rates are higher among these groups than white groups.</w:t>
            </w:r>
          </w:p>
          <w:p w14:paraId="1C3F0F08" w14:textId="6B1ABC43" w:rsidR="00925609" w:rsidRDefault="00925609" w:rsidP="00F90FF8">
            <w:pPr>
              <w:pStyle w:val="Paragraph"/>
              <w:numPr>
                <w:ilvl w:val="0"/>
                <w:numId w:val="10"/>
              </w:numPr>
              <w:spacing w:after="0"/>
            </w:pPr>
            <w:r>
              <w:t>People in the Asian ethnic group category are most likely to have a prescription for lipid lowering therapy for primary prevention of CVD when compared to other ethnic groups.</w:t>
            </w:r>
          </w:p>
          <w:p w14:paraId="332A8685" w14:textId="11E73CDA" w:rsidR="00925609" w:rsidRPr="00925609" w:rsidRDefault="00925609" w:rsidP="00F90FF8">
            <w:pPr>
              <w:pStyle w:val="Paragraph"/>
              <w:numPr>
                <w:ilvl w:val="0"/>
                <w:numId w:val="10"/>
              </w:numPr>
              <w:spacing w:after="0"/>
            </w:pPr>
            <w:r>
              <w:t xml:space="preserve">People in Black and mixed ethnic groups are the least likely to </w:t>
            </w:r>
            <w:r w:rsidRPr="008814F4">
              <w:t>be treated to targets</w:t>
            </w:r>
            <w:r>
              <w:t xml:space="preserve"> or </w:t>
            </w:r>
            <w:r w:rsidRPr="008814F4">
              <w:t>thresholds when compared to other ethnic groups (CVD</w:t>
            </w:r>
            <w:r>
              <w:t>PREVENT</w:t>
            </w:r>
            <w:r w:rsidRPr="008814F4">
              <w:t>, 2023)</w:t>
            </w:r>
            <w:r>
              <w:t>.</w:t>
            </w:r>
          </w:p>
          <w:p w14:paraId="39C5CFAE" w14:textId="7DC9D744" w:rsidR="002E0A2C" w:rsidRPr="00E635DD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E635DD">
              <w:rPr>
                <w:i/>
                <w:iCs/>
              </w:rPr>
              <w:t>R</w:t>
            </w:r>
            <w:r w:rsidR="00A32D00" w:rsidRPr="00E635DD">
              <w:rPr>
                <w:i/>
                <w:iCs/>
              </w:rPr>
              <w:t>eligion or belief</w:t>
            </w:r>
            <w:r w:rsidRPr="00E635DD">
              <w:rPr>
                <w:i/>
                <w:iCs/>
              </w:rPr>
              <w:t>:</w:t>
            </w:r>
            <w:r w:rsidR="00925609">
              <w:rPr>
                <w:i/>
                <w:iCs/>
              </w:rPr>
              <w:t xml:space="preserve"> </w:t>
            </w:r>
            <w:r w:rsidR="00925609" w:rsidRPr="00925609">
              <w:t>No issues identified.</w:t>
            </w:r>
          </w:p>
          <w:p w14:paraId="74BD20B9" w14:textId="77777777" w:rsidR="002E0A2C" w:rsidRDefault="002E0A2C" w:rsidP="002E0A2C">
            <w:pPr>
              <w:pStyle w:val="Paragraph"/>
              <w:spacing w:after="0"/>
              <w:ind w:left="360"/>
              <w:rPr>
                <w:i/>
                <w:iCs/>
              </w:rPr>
            </w:pPr>
            <w:r w:rsidRPr="00E635DD">
              <w:rPr>
                <w:i/>
                <w:iCs/>
              </w:rPr>
              <w:t>Se</w:t>
            </w:r>
            <w:r w:rsidR="00A32D00" w:rsidRPr="00E635DD">
              <w:rPr>
                <w:i/>
                <w:iCs/>
              </w:rPr>
              <w:t>x</w:t>
            </w:r>
            <w:r w:rsidRPr="00E635DD">
              <w:rPr>
                <w:i/>
                <w:iCs/>
              </w:rPr>
              <w:t>:</w:t>
            </w:r>
          </w:p>
          <w:p w14:paraId="343BBF1F" w14:textId="1EED61E6" w:rsidR="00925609" w:rsidRPr="00764CE1" w:rsidRDefault="00925609" w:rsidP="00F90FF8">
            <w:pPr>
              <w:pStyle w:val="Paragraph"/>
              <w:numPr>
                <w:ilvl w:val="0"/>
                <w:numId w:val="10"/>
              </w:numPr>
              <w:spacing w:after="0"/>
            </w:pPr>
            <w:r w:rsidRPr="00764CE1">
              <w:t>Among people with cardiovascular disease, females were less likely than males to have a recent prescription for lipid lowering therapy</w:t>
            </w:r>
            <w:r>
              <w:t xml:space="preserve"> </w:t>
            </w:r>
            <w:r w:rsidRPr="00764CE1">
              <w:t>(CVD</w:t>
            </w:r>
            <w:r>
              <w:t>PREVENT</w:t>
            </w:r>
            <w:r w:rsidRPr="00764CE1">
              <w:t>, 2024)</w:t>
            </w:r>
            <w:r>
              <w:t>. Data shows a considerable gap between prescriptions in males and females in younger age groups.</w:t>
            </w:r>
            <w:r w:rsidRPr="00764CE1">
              <w:t xml:space="preserve"> </w:t>
            </w:r>
          </w:p>
          <w:p w14:paraId="169D433C" w14:textId="159A7E47" w:rsidR="00A32D00" w:rsidRPr="00925609" w:rsidRDefault="002E0A2C" w:rsidP="002E0A2C">
            <w:pPr>
              <w:pStyle w:val="Paragraph"/>
              <w:spacing w:after="0"/>
              <w:ind w:left="360"/>
            </w:pPr>
            <w:r w:rsidRPr="00E635DD">
              <w:rPr>
                <w:i/>
                <w:iCs/>
              </w:rPr>
              <w:t>S</w:t>
            </w:r>
            <w:r w:rsidR="00A32D00" w:rsidRPr="00E635DD">
              <w:rPr>
                <w:i/>
                <w:iCs/>
              </w:rPr>
              <w:t>exual orientation</w:t>
            </w:r>
            <w:r w:rsidRPr="00E635DD">
              <w:rPr>
                <w:i/>
                <w:iCs/>
              </w:rPr>
              <w:t>:</w:t>
            </w:r>
            <w:r w:rsidR="00E635DD" w:rsidRPr="00E635DD">
              <w:rPr>
                <w:i/>
                <w:iCs/>
              </w:rPr>
              <w:t xml:space="preserve"> </w:t>
            </w:r>
            <w:r w:rsidR="00925609">
              <w:t>No issues identified.</w:t>
            </w:r>
          </w:p>
          <w:p w14:paraId="460F05CB" w14:textId="77777777" w:rsidR="00925609" w:rsidRDefault="00A32D00" w:rsidP="00F90FF8">
            <w:pPr>
              <w:pStyle w:val="Paragraph"/>
              <w:numPr>
                <w:ilvl w:val="0"/>
                <w:numId w:val="10"/>
              </w:numPr>
              <w:spacing w:after="0"/>
              <w:rPr>
                <w:i/>
                <w:iCs/>
              </w:rPr>
            </w:pPr>
            <w:r w:rsidRPr="00E635DD">
              <w:rPr>
                <w:i/>
                <w:iCs/>
              </w:rPr>
              <w:t>Socioeconomic status and deprivation (for example, variation by area deprivation such as Index of Multiple Deprivation, National Statistics Socio-economic Classification, employment status, income)</w:t>
            </w:r>
            <w:r w:rsidR="00E635DD" w:rsidRPr="00E635DD">
              <w:rPr>
                <w:i/>
                <w:iCs/>
              </w:rPr>
              <w:t xml:space="preserve">: </w:t>
            </w:r>
          </w:p>
          <w:p w14:paraId="2A29092C" w14:textId="4DBD11FA" w:rsidR="00A32D00" w:rsidRPr="00925609" w:rsidRDefault="00E635DD" w:rsidP="00F90FF8">
            <w:pPr>
              <w:pStyle w:val="Paragraph"/>
              <w:numPr>
                <w:ilvl w:val="1"/>
                <w:numId w:val="10"/>
              </w:numPr>
              <w:spacing w:after="0"/>
              <w:rPr>
                <w:i/>
                <w:iCs/>
              </w:rPr>
            </w:pPr>
            <w:r w:rsidRPr="00E635DD">
              <w:t>Cardiovascular disease is more prevalent in area with high deprivation</w:t>
            </w:r>
            <w:r w:rsidR="00353ABF">
              <w:t xml:space="preserve"> </w:t>
            </w:r>
            <w:r w:rsidR="00353ABF" w:rsidRPr="00353ABF">
              <w:t>(NG238 final EHIA, 2023)</w:t>
            </w:r>
            <w:r w:rsidRPr="00E635DD">
              <w:t>.</w:t>
            </w:r>
          </w:p>
          <w:p w14:paraId="2A391C8E" w14:textId="3DBF30B7" w:rsidR="00925609" w:rsidRDefault="00925609" w:rsidP="00F90FF8">
            <w:pPr>
              <w:pStyle w:val="Paragraph"/>
              <w:numPr>
                <w:ilvl w:val="1"/>
                <w:numId w:val="10"/>
              </w:numPr>
              <w:spacing w:after="0"/>
            </w:pPr>
            <w:r w:rsidRPr="00925609">
              <w:t xml:space="preserve">People who live in England’s most deprived areas are almost 4 times more likely to die prematurely from CVD than those in the least deprived </w:t>
            </w:r>
            <w:r w:rsidRPr="00925609">
              <w:lastRenderedPageBreak/>
              <w:t>areas. 40% of amenable CVD deaths occurred in the 3 most deprived deciles</w:t>
            </w:r>
            <w:r w:rsidR="00353ABF">
              <w:t xml:space="preserve"> </w:t>
            </w:r>
            <w:r w:rsidR="00353ABF" w:rsidRPr="00353ABF">
              <w:t>(Public Health England, 2019)</w:t>
            </w:r>
            <w:r>
              <w:t>.</w:t>
            </w:r>
          </w:p>
          <w:p w14:paraId="558F4FC9" w14:textId="2CE122C2" w:rsidR="00925609" w:rsidRPr="00925609" w:rsidRDefault="00925609" w:rsidP="00F90FF8">
            <w:pPr>
              <w:pStyle w:val="Paragraph"/>
              <w:numPr>
                <w:ilvl w:val="1"/>
                <w:numId w:val="10"/>
              </w:numPr>
              <w:spacing w:after="0"/>
            </w:pPr>
            <w:r w:rsidRPr="008814F4">
              <w:t xml:space="preserve">People in more deprived quintiles are more likely to be prescribed appropriate drug therapy </w:t>
            </w:r>
            <w:r>
              <w:t xml:space="preserve">for primary prevention of CVD </w:t>
            </w:r>
            <w:r w:rsidRPr="008814F4">
              <w:t>when compared to less deprived quintiles</w:t>
            </w:r>
            <w:r w:rsidR="00353ABF">
              <w:t xml:space="preserve"> </w:t>
            </w:r>
            <w:r w:rsidR="00353ABF" w:rsidRPr="00353ABF">
              <w:t>(CVDPREVENT, 2023)</w:t>
            </w:r>
            <w:r>
              <w:t>.</w:t>
            </w:r>
          </w:p>
          <w:p w14:paraId="48792E25" w14:textId="77777777" w:rsidR="002F663F" w:rsidRDefault="00A32D00" w:rsidP="00F90FF8">
            <w:pPr>
              <w:pStyle w:val="Paragraph"/>
              <w:numPr>
                <w:ilvl w:val="0"/>
                <w:numId w:val="10"/>
              </w:numPr>
              <w:spacing w:after="0"/>
              <w:rPr>
                <w:i/>
                <w:iCs/>
              </w:rPr>
            </w:pPr>
            <w:r w:rsidRPr="00E635DD">
              <w:rPr>
                <w:i/>
                <w:iCs/>
              </w:rPr>
              <w:t>Geographical area variation (for example, geographical differences in epidemiology or service provision- urban/rural, coastal, north/south)</w:t>
            </w:r>
            <w:r w:rsidR="00535EEE">
              <w:rPr>
                <w:i/>
                <w:iCs/>
              </w:rPr>
              <w:t xml:space="preserve">: </w:t>
            </w:r>
          </w:p>
          <w:p w14:paraId="0351B58E" w14:textId="277F3DAA" w:rsidR="00A32D00" w:rsidRPr="002F663F" w:rsidRDefault="00535EEE" w:rsidP="00F90FF8">
            <w:pPr>
              <w:pStyle w:val="Paragraph"/>
              <w:numPr>
                <w:ilvl w:val="1"/>
                <w:numId w:val="10"/>
              </w:numPr>
              <w:spacing w:after="0"/>
              <w:rPr>
                <w:i/>
                <w:iCs/>
              </w:rPr>
            </w:pPr>
            <w:r>
              <w:t>Patients in geographically remote areas may have difficulty accessing specialist care to start some lipid lowering therapies</w:t>
            </w:r>
            <w:r w:rsidR="00353ABF">
              <w:t xml:space="preserve"> </w:t>
            </w:r>
            <w:r w:rsidR="00353ABF" w:rsidRPr="00353ABF">
              <w:t>(NG238 final EHIA, 2023)</w:t>
            </w:r>
            <w:r>
              <w:t>.</w:t>
            </w:r>
          </w:p>
          <w:p w14:paraId="349A4B3A" w14:textId="2965DAB5" w:rsidR="002F663F" w:rsidRPr="002F663F" w:rsidRDefault="002F663F" w:rsidP="00F90FF8">
            <w:pPr>
              <w:pStyle w:val="Paragraph"/>
              <w:numPr>
                <w:ilvl w:val="1"/>
                <w:numId w:val="10"/>
              </w:numPr>
              <w:spacing w:after="0"/>
            </w:pPr>
            <w:r w:rsidRPr="00D4291E">
              <w:t>Early deaths for CVD (before</w:t>
            </w:r>
            <w:r w:rsidRPr="006E63F2">
              <w:t xml:space="preserve"> the age of 75) are most common in the Northwest of England, and lowest in the Southeast</w:t>
            </w:r>
            <w:r>
              <w:t>. The latest premature (under 75) death rate for Manchester is over three times higher than that for Rutland in the East Midlands</w:t>
            </w:r>
            <w:r w:rsidR="00353ABF">
              <w:t xml:space="preserve"> </w:t>
            </w:r>
            <w:r w:rsidR="00353ABF" w:rsidRPr="00353ABF">
              <w:t>(complied by British Heart Foundation, 2024).</w:t>
            </w:r>
          </w:p>
          <w:p w14:paraId="70AEB085" w14:textId="384E7266" w:rsidR="00EF1567" w:rsidRPr="00E635DD" w:rsidRDefault="00A32D00" w:rsidP="00F90FF8">
            <w:pPr>
              <w:pStyle w:val="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E635DD">
              <w:rPr>
                <w:i/>
                <w:iCs/>
              </w:rPr>
              <w:t>Inclusion health and vulnerable groups</w:t>
            </w:r>
            <w:r w:rsidR="00247034" w:rsidRPr="00E635DD">
              <w:rPr>
                <w:i/>
                <w:iCs/>
              </w:rPr>
              <w:t xml:space="preserve"> (for example, vulnerable migrants, people experiencing homelessness, people in contact with the criminal justice system, sex workers, Gypsy, Roma and Traveller communities, young people leaving care and victims of trafficking)</w:t>
            </w:r>
            <w:r w:rsidR="002F663F">
              <w:rPr>
                <w:i/>
                <w:iCs/>
              </w:rPr>
              <w:t xml:space="preserve">: </w:t>
            </w:r>
            <w:r w:rsidR="002F663F" w:rsidRPr="002F663F">
              <w:t>No issues identified.</w:t>
            </w:r>
          </w:p>
          <w:p w14:paraId="78B6D766" w14:textId="77777777" w:rsidR="00EF1567" w:rsidRPr="00247034" w:rsidRDefault="00EF1567" w:rsidP="00247034">
            <w:pPr>
              <w:pStyle w:val="Paragraph"/>
              <w:rPr>
                <w:i/>
                <w:iCs/>
              </w:rPr>
            </w:pPr>
          </w:p>
        </w:tc>
      </w:tr>
    </w:tbl>
    <w:p w14:paraId="554080EE" w14:textId="77777777" w:rsidR="001045C2" w:rsidRPr="0078563E" w:rsidRDefault="001045C2" w:rsidP="001045C2">
      <w:pPr>
        <w:pStyle w:val="Paragraphnonumbers"/>
        <w:spacing w:after="0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045C2" w14:paraId="3CAE7892" w14:textId="77777777" w:rsidTr="0028668F">
        <w:trPr>
          <w:trHeight w:val="598"/>
        </w:trPr>
        <w:tc>
          <w:tcPr>
            <w:tcW w:w="9781" w:type="dxa"/>
            <w:shd w:val="clear" w:color="auto" w:fill="auto"/>
          </w:tcPr>
          <w:p w14:paraId="269EFF22" w14:textId="77777777" w:rsidR="001045C2" w:rsidRDefault="001045C2" w:rsidP="00F90FF8">
            <w:pPr>
              <w:pStyle w:val="Paragraph"/>
              <w:numPr>
                <w:ilvl w:val="1"/>
                <w:numId w:val="8"/>
              </w:numPr>
              <w:spacing w:after="0"/>
            </w:pPr>
            <w:r>
              <w:br w:type="page"/>
            </w:r>
            <w:r w:rsidRPr="00BF1C2F">
              <w:t xml:space="preserve"> </w:t>
            </w:r>
            <w:bookmarkStart w:id="5" w:name="_Hlk110608933"/>
            <w:r>
              <w:t xml:space="preserve"> </w:t>
            </w:r>
            <w:bookmarkStart w:id="6" w:name="_Hlk161151855"/>
            <w:r w:rsidRPr="000C6FAB">
              <w:t xml:space="preserve">How have the committee’s considerations of equality and health inequalities issues identified in </w:t>
            </w:r>
            <w:r>
              <w:t xml:space="preserve">1.2 </w:t>
            </w:r>
            <w:r w:rsidRPr="000C6FAB">
              <w:t>been reflected in the</w:t>
            </w:r>
            <w:r>
              <w:t xml:space="preserve"> indicator</w:t>
            </w:r>
            <w:r w:rsidRPr="000C6FAB">
              <w:t xml:space="preserve">? </w:t>
            </w:r>
            <w:bookmarkEnd w:id="6"/>
            <w:r w:rsidRPr="000C6FAB">
              <w:t xml:space="preserve"> </w:t>
            </w:r>
            <w:bookmarkEnd w:id="5"/>
          </w:p>
        </w:tc>
      </w:tr>
      <w:tr w:rsidR="001045C2" w14:paraId="1689DB1E" w14:textId="77777777" w:rsidTr="00EF6A07">
        <w:trPr>
          <w:trHeight w:val="1190"/>
        </w:trPr>
        <w:tc>
          <w:tcPr>
            <w:tcW w:w="9781" w:type="dxa"/>
            <w:shd w:val="clear" w:color="auto" w:fill="auto"/>
          </w:tcPr>
          <w:p w14:paraId="0C543BE1" w14:textId="7B0EA6BC" w:rsidR="001045C2" w:rsidRPr="002F663F" w:rsidRDefault="002F663F" w:rsidP="0028668F">
            <w:pPr>
              <w:pStyle w:val="Paragraph"/>
            </w:pPr>
            <w:r w:rsidRPr="002F663F">
              <w:t>The indicator has limited exclusions and so aims to improve</w:t>
            </w:r>
            <w:r w:rsidR="00835152">
              <w:t xml:space="preserve"> quality and health</w:t>
            </w:r>
            <w:r w:rsidRPr="002F663F">
              <w:t xml:space="preserve"> inequalities associated with lipid lowering therapies in people with a new diagnosis of hypertension and type 2 diabetes. </w:t>
            </w:r>
          </w:p>
        </w:tc>
      </w:tr>
    </w:tbl>
    <w:p w14:paraId="41A7C01A" w14:textId="77777777" w:rsidR="001045C2" w:rsidRDefault="001045C2" w:rsidP="00C14F15">
      <w:pPr>
        <w:pStyle w:val="Paragraphnonumbers"/>
        <w:rPr>
          <w:rFonts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D585B" w14:paraId="1042391C" w14:textId="77777777" w:rsidTr="0028668F">
        <w:trPr>
          <w:trHeight w:val="408"/>
        </w:trPr>
        <w:tc>
          <w:tcPr>
            <w:tcW w:w="9781" w:type="dxa"/>
            <w:shd w:val="clear" w:color="auto" w:fill="auto"/>
          </w:tcPr>
          <w:p w14:paraId="5B8173BE" w14:textId="77777777" w:rsidR="009D585B" w:rsidRPr="00750D21" w:rsidRDefault="009D585B" w:rsidP="00F90FF8">
            <w:pPr>
              <w:pStyle w:val="Paragraph"/>
              <w:numPr>
                <w:ilvl w:val="1"/>
                <w:numId w:val="8"/>
              </w:numPr>
              <w:spacing w:after="0"/>
            </w:pPr>
            <w:bookmarkStart w:id="7" w:name="_Hlk110610089"/>
            <w:r w:rsidRPr="007A114F">
              <w:rPr>
                <w:rFonts w:cs="Arial"/>
              </w:rPr>
              <w:t xml:space="preserve">Could any </w:t>
            </w:r>
            <w:r>
              <w:rPr>
                <w:rFonts w:cs="Arial"/>
              </w:rPr>
              <w:t>indicators</w:t>
            </w:r>
            <w:r w:rsidRPr="007A114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potentially increase inequalities?</w:t>
            </w:r>
            <w:bookmarkEnd w:id="7"/>
          </w:p>
        </w:tc>
      </w:tr>
      <w:tr w:rsidR="009D585B" w14:paraId="246880CD" w14:textId="77777777" w:rsidTr="00EF6A07">
        <w:trPr>
          <w:trHeight w:val="593"/>
        </w:trPr>
        <w:tc>
          <w:tcPr>
            <w:tcW w:w="9781" w:type="dxa"/>
            <w:shd w:val="clear" w:color="auto" w:fill="auto"/>
          </w:tcPr>
          <w:p w14:paraId="5795AF07" w14:textId="3100457C" w:rsidR="002F663F" w:rsidRPr="002F663F" w:rsidRDefault="002F663F" w:rsidP="0028668F">
            <w:pPr>
              <w:pStyle w:val="Paragraph"/>
            </w:pPr>
            <w:r w:rsidRPr="002F663F">
              <w:t>The indicator should not increase inequalities.</w:t>
            </w:r>
          </w:p>
        </w:tc>
      </w:tr>
    </w:tbl>
    <w:p w14:paraId="58220978" w14:textId="77777777" w:rsidR="009D585B" w:rsidRDefault="009D585B" w:rsidP="00C14F15">
      <w:pPr>
        <w:pStyle w:val="Paragraphnonumbers"/>
        <w:rPr>
          <w:rFonts w:cs="Arial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3"/>
      </w:tblGrid>
      <w:tr w:rsidR="00537554" w:rsidRPr="000D39D9" w14:paraId="15552E97" w14:textId="77777777" w:rsidTr="001553E9">
        <w:trPr>
          <w:trHeight w:val="557"/>
        </w:trPr>
        <w:tc>
          <w:tcPr>
            <w:tcW w:w="9703" w:type="dxa"/>
            <w:shd w:val="clear" w:color="auto" w:fill="auto"/>
          </w:tcPr>
          <w:p w14:paraId="2CD227FF" w14:textId="77777777" w:rsidR="00537554" w:rsidRPr="000D39D9" w:rsidRDefault="007E632E" w:rsidP="00F90FF8">
            <w:pPr>
              <w:pStyle w:val="Paragraph"/>
              <w:numPr>
                <w:ilvl w:val="1"/>
                <w:numId w:val="8"/>
              </w:numPr>
            </w:pPr>
            <w:r w:rsidRPr="00482EF3">
              <w:t xml:space="preserve">Based on the equality and health inequalities issues identified in </w:t>
            </w:r>
            <w:r>
              <w:t>1</w:t>
            </w:r>
            <w:r w:rsidRPr="00482EF3">
              <w:t>.2</w:t>
            </w:r>
            <w:r>
              <w:t xml:space="preserve"> </w:t>
            </w:r>
            <w:r w:rsidRPr="00482EF3">
              <w:t xml:space="preserve">do you have </w:t>
            </w:r>
            <w:r w:rsidRPr="003D03EE">
              <w:t>representation from relevant stakeholder groups</w:t>
            </w:r>
            <w:r w:rsidRPr="00482EF3">
              <w:t xml:space="preserve"> for the </w:t>
            </w:r>
            <w:r w:rsidR="00BB1D6D">
              <w:t>indicator</w:t>
            </w:r>
            <w:r w:rsidRPr="00482EF3">
              <w:t xml:space="preserve"> consultation process, including groups who are known to be affected by these issues? If not, what plans are in place to ensure relevant stakeholders are represented and included?  </w:t>
            </w:r>
          </w:p>
        </w:tc>
      </w:tr>
      <w:tr w:rsidR="00451133" w:rsidRPr="000D39D9" w14:paraId="7E0A1FB3" w14:textId="77777777" w:rsidTr="00EB653E">
        <w:trPr>
          <w:trHeight w:val="1323"/>
        </w:trPr>
        <w:tc>
          <w:tcPr>
            <w:tcW w:w="9703" w:type="dxa"/>
            <w:shd w:val="clear" w:color="auto" w:fill="auto"/>
          </w:tcPr>
          <w:p w14:paraId="5D96D22E" w14:textId="1B278012" w:rsidR="00451133" w:rsidRPr="004C0A43" w:rsidRDefault="002F663F" w:rsidP="00DA13AC">
            <w:pPr>
              <w:tabs>
                <w:tab w:val="left" w:pos="6270"/>
              </w:tabs>
              <w:rPr>
                <w:rFonts w:ascii="Arial" w:hAnsi="Arial" w:cs="Arial"/>
                <w:i/>
              </w:rPr>
            </w:pPr>
            <w:r w:rsidRPr="004C0A43">
              <w:rPr>
                <w:rFonts w:ascii="Arial" w:hAnsi="Arial" w:cs="Arial"/>
              </w:rPr>
              <w:lastRenderedPageBreak/>
              <w:t xml:space="preserve">There is no </w:t>
            </w:r>
            <w:r w:rsidR="00835152">
              <w:rPr>
                <w:rFonts w:ascii="Arial" w:hAnsi="Arial" w:cs="Arial"/>
              </w:rPr>
              <w:t xml:space="preserve">planned </w:t>
            </w:r>
            <w:r w:rsidRPr="004C0A43">
              <w:rPr>
                <w:rFonts w:ascii="Arial" w:hAnsi="Arial" w:cs="Arial"/>
              </w:rPr>
              <w:t xml:space="preserve">consultation for this indicator. </w:t>
            </w:r>
            <w:r w:rsidR="004C0A43" w:rsidRPr="004C0A43">
              <w:rPr>
                <w:rFonts w:ascii="Arial" w:hAnsi="Arial" w:cs="Arial"/>
              </w:rPr>
              <w:t xml:space="preserve">Consultation on </w:t>
            </w:r>
            <w:r w:rsidRPr="004C0A43">
              <w:rPr>
                <w:rFonts w:ascii="Arial" w:hAnsi="Arial" w:cs="Arial"/>
              </w:rPr>
              <w:t xml:space="preserve">IND162 received comments from </w:t>
            </w:r>
            <w:proofErr w:type="gramStart"/>
            <w:r w:rsidRPr="004C0A43">
              <w:rPr>
                <w:rFonts w:ascii="Arial" w:hAnsi="Arial" w:cs="Arial"/>
              </w:rPr>
              <w:t>a number of</w:t>
            </w:r>
            <w:proofErr w:type="gramEnd"/>
            <w:r w:rsidRPr="004C0A43">
              <w:rPr>
                <w:rFonts w:ascii="Arial" w:hAnsi="Arial" w:cs="Arial"/>
              </w:rPr>
              <w:t xml:space="preserve"> </w:t>
            </w:r>
            <w:r w:rsidR="004C0A43" w:rsidRPr="004C0A43">
              <w:rPr>
                <w:rFonts w:ascii="Arial" w:hAnsi="Arial" w:cs="Arial"/>
              </w:rPr>
              <w:t>relevant stakeholders.</w:t>
            </w:r>
            <w:r w:rsidR="00F96E99" w:rsidRPr="004C0A43">
              <w:rPr>
                <w:rFonts w:ascii="Arial" w:hAnsi="Arial" w:cs="Arial"/>
              </w:rPr>
              <w:tab/>
            </w:r>
          </w:p>
        </w:tc>
      </w:tr>
    </w:tbl>
    <w:p w14:paraId="656F12EE" w14:textId="77777777" w:rsidR="00843091" w:rsidRPr="000D39D9" w:rsidRDefault="00843091" w:rsidP="00C14F15">
      <w:pPr>
        <w:pStyle w:val="Paragraphnonumbers"/>
        <w:rPr>
          <w:rFonts w:cs="Arial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1"/>
      </w:tblGrid>
      <w:tr w:rsidR="00843091" w:rsidRPr="00094590" w14:paraId="46643CE1" w14:textId="77777777" w:rsidTr="003D03EE">
        <w:trPr>
          <w:trHeight w:val="838"/>
        </w:trPr>
        <w:tc>
          <w:tcPr>
            <w:tcW w:w="9731" w:type="dxa"/>
            <w:shd w:val="clear" w:color="auto" w:fill="auto"/>
          </w:tcPr>
          <w:p w14:paraId="71362CDE" w14:textId="77777777" w:rsidR="00843091" w:rsidRDefault="00242ABB" w:rsidP="00F90FF8">
            <w:pPr>
              <w:pStyle w:val="Paragraph"/>
              <w:numPr>
                <w:ilvl w:val="1"/>
                <w:numId w:val="8"/>
              </w:numPr>
            </w:pPr>
            <w:r>
              <w:rPr>
                <w:rFonts w:cs="Arial"/>
              </w:rPr>
              <w:t xml:space="preserve"> </w:t>
            </w:r>
            <w:bookmarkStart w:id="8" w:name="_Hlk161151815"/>
            <w:r w:rsidR="00843091" w:rsidRPr="00094590">
              <w:rPr>
                <w:rFonts w:cs="Arial"/>
              </w:rPr>
              <w:t xml:space="preserve">Has it been proposed to exclude any population groups from </w:t>
            </w:r>
            <w:r w:rsidR="006320D4">
              <w:rPr>
                <w:rFonts w:cs="Arial"/>
              </w:rPr>
              <w:t xml:space="preserve">coverage by the </w:t>
            </w:r>
            <w:r w:rsidR="00BB1D6D">
              <w:rPr>
                <w:rFonts w:cs="Arial"/>
              </w:rPr>
              <w:t>indicator</w:t>
            </w:r>
            <w:r w:rsidR="00843091" w:rsidRPr="00094590">
              <w:rPr>
                <w:rFonts w:cs="Arial"/>
              </w:rPr>
              <w:t>? If yes,</w:t>
            </w:r>
            <w:r>
              <w:rPr>
                <w:rFonts w:cs="Arial"/>
              </w:rPr>
              <w:t xml:space="preserve"> could these exclusions further impact on people affected by</w:t>
            </w:r>
            <w:r w:rsidR="00843091" w:rsidRPr="00094590">
              <w:rPr>
                <w:rFonts w:cs="Arial"/>
              </w:rPr>
              <w:t xml:space="preserve"> any equality and health inequalities issues identified? </w:t>
            </w:r>
            <w:bookmarkEnd w:id="8"/>
          </w:p>
        </w:tc>
      </w:tr>
      <w:tr w:rsidR="00451133" w:rsidRPr="00094590" w14:paraId="6E843D92" w14:textId="77777777" w:rsidTr="00B025EB">
        <w:trPr>
          <w:trHeight w:val="1408"/>
        </w:trPr>
        <w:tc>
          <w:tcPr>
            <w:tcW w:w="9731" w:type="dxa"/>
            <w:shd w:val="clear" w:color="auto" w:fill="auto"/>
          </w:tcPr>
          <w:p w14:paraId="0E8063E0" w14:textId="00F4296E" w:rsidR="004C0A43" w:rsidRPr="00835152" w:rsidRDefault="004C0A43" w:rsidP="00451133">
            <w:pPr>
              <w:pStyle w:val="Paragraph"/>
              <w:rPr>
                <w:rFonts w:cs="Arial"/>
              </w:rPr>
            </w:pPr>
            <w:r w:rsidRPr="00835152">
              <w:rPr>
                <w:rFonts w:cs="Arial"/>
              </w:rPr>
              <w:t>The indicator focuses on people with a new diagnosis of hypertension or type 2 diabetes due to the potential beneficial outcomes in these populations. Other indicators cover other populations with 10% risk or more 10-year risk of CVD.</w:t>
            </w:r>
          </w:p>
        </w:tc>
      </w:tr>
    </w:tbl>
    <w:p w14:paraId="623B08E4" w14:textId="77777777" w:rsidR="00C42F39" w:rsidRDefault="00C42F39" w:rsidP="00C42F39">
      <w:pPr>
        <w:pStyle w:val="Paragraphnonumbers"/>
        <w:rPr>
          <w:rFonts w:cs="Arial"/>
          <w:b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9"/>
      </w:tblGrid>
      <w:tr w:rsidR="00C42F39" w:rsidRPr="00094590" w14:paraId="2610CB65" w14:textId="77777777" w:rsidTr="0028668F">
        <w:trPr>
          <w:trHeight w:val="525"/>
        </w:trPr>
        <w:tc>
          <w:tcPr>
            <w:tcW w:w="9719" w:type="dxa"/>
            <w:shd w:val="clear" w:color="auto" w:fill="auto"/>
          </w:tcPr>
          <w:p w14:paraId="0DD1009A" w14:textId="77777777" w:rsidR="00C42F39" w:rsidRPr="00094590" w:rsidRDefault="00C42F39" w:rsidP="00F90FF8">
            <w:pPr>
              <w:pStyle w:val="Paragraph"/>
              <w:numPr>
                <w:ilvl w:val="1"/>
                <w:numId w:val="8"/>
              </w:numPr>
              <w:spacing w:after="0"/>
              <w:rPr>
                <w:rFonts w:cs="Arial"/>
              </w:rPr>
            </w:pPr>
            <w:bookmarkStart w:id="9" w:name="_Hlk161151945"/>
            <w:r>
              <w:t xml:space="preserve">What questions will you ask at the stakeholder consultation about the impact of the </w:t>
            </w:r>
            <w:r w:rsidR="00BB1D6D">
              <w:t>indicator</w:t>
            </w:r>
            <w:r>
              <w:t xml:space="preserve"> on equality and health inequalities?</w:t>
            </w:r>
            <w:bookmarkEnd w:id="9"/>
          </w:p>
        </w:tc>
      </w:tr>
      <w:tr w:rsidR="00C42F39" w:rsidRPr="00094590" w14:paraId="5663C8E0" w14:textId="77777777" w:rsidTr="00EF6A07">
        <w:trPr>
          <w:trHeight w:val="481"/>
        </w:trPr>
        <w:tc>
          <w:tcPr>
            <w:tcW w:w="9719" w:type="dxa"/>
            <w:shd w:val="clear" w:color="auto" w:fill="auto"/>
          </w:tcPr>
          <w:p w14:paraId="6D57A50D" w14:textId="2FBCB871" w:rsidR="00C42F39" w:rsidRDefault="004C0A43" w:rsidP="0028668F">
            <w:pPr>
              <w:pStyle w:val="Paragraphnonumbers"/>
            </w:pPr>
            <w:r>
              <w:t>There is no planned consultation for this indicator.</w:t>
            </w:r>
          </w:p>
        </w:tc>
      </w:tr>
    </w:tbl>
    <w:p w14:paraId="4D1E1B9B" w14:textId="77777777" w:rsidR="00C42F39" w:rsidRDefault="00C42F39" w:rsidP="00C14F15">
      <w:pPr>
        <w:pStyle w:val="Paragraphnonumbers"/>
        <w:rPr>
          <w:rFonts w:cs="Arial"/>
        </w:rPr>
      </w:pPr>
    </w:p>
    <w:p w14:paraId="1715E82C" w14:textId="506E3E4F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 xml:space="preserve">Completed by </w:t>
      </w:r>
      <w:r>
        <w:rPr>
          <w:rFonts w:cs="Arial"/>
        </w:rPr>
        <w:t xml:space="preserve">lead analyst: </w:t>
      </w:r>
      <w:r w:rsidR="004C0A43">
        <w:rPr>
          <w:rFonts w:cs="Arial"/>
        </w:rPr>
        <w:t>Charlotte Fairclough</w:t>
      </w:r>
    </w:p>
    <w:p w14:paraId="3E7891D0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27EAA63" w14:textId="135346A1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>
        <w:rPr>
          <w:rFonts w:cs="Arial"/>
        </w:rPr>
        <w:t xml:space="preserve">: </w:t>
      </w:r>
      <w:r w:rsidR="004C0A43">
        <w:rPr>
          <w:rFonts w:cs="Arial"/>
        </w:rPr>
        <w:t>02/01/2025</w:t>
      </w:r>
    </w:p>
    <w:p w14:paraId="405B58EE" w14:textId="77777777" w:rsidR="001431B0" w:rsidRDefault="001431B0" w:rsidP="001431B0">
      <w:pPr>
        <w:pStyle w:val="Paragraphnonumbers"/>
        <w:spacing w:after="0"/>
        <w:rPr>
          <w:rFonts w:cs="Arial"/>
        </w:rPr>
      </w:pPr>
    </w:p>
    <w:p w14:paraId="0B6F6873" w14:textId="2B75A0FF" w:rsidR="001431B0" w:rsidRPr="0078563E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Approved</w:t>
      </w:r>
      <w:r>
        <w:rPr>
          <w:rFonts w:cs="Arial"/>
        </w:rPr>
        <w:t xml:space="preserve"> by NICE quality assurance lead: </w:t>
      </w:r>
      <w:r w:rsidR="004C1ECB">
        <w:rPr>
          <w:rFonts w:cs="Arial"/>
        </w:rPr>
        <w:t>Nicola Greenway</w:t>
      </w:r>
    </w:p>
    <w:p w14:paraId="4C06A9EA" w14:textId="77777777" w:rsidR="001431B0" w:rsidRPr="0078563E" w:rsidRDefault="001431B0" w:rsidP="001431B0">
      <w:pPr>
        <w:pStyle w:val="Paragraphnonumbers"/>
        <w:spacing w:after="0"/>
        <w:rPr>
          <w:rFonts w:cs="Arial"/>
        </w:rPr>
      </w:pPr>
    </w:p>
    <w:p w14:paraId="36B1614E" w14:textId="32AC2056" w:rsidR="001431B0" w:rsidRDefault="001431B0" w:rsidP="001431B0">
      <w:pPr>
        <w:pStyle w:val="Paragraphnonumbers"/>
        <w:spacing w:after="0"/>
        <w:rPr>
          <w:rFonts w:cs="Arial"/>
        </w:rPr>
      </w:pPr>
      <w:r w:rsidRPr="0078563E">
        <w:rPr>
          <w:rFonts w:cs="Arial"/>
        </w:rPr>
        <w:t>Date</w:t>
      </w:r>
      <w:r w:rsidRPr="001431B0">
        <w:rPr>
          <w:rFonts w:cs="Arial"/>
          <w:i/>
          <w:iCs/>
        </w:rPr>
        <w:t xml:space="preserve">: </w:t>
      </w:r>
      <w:r w:rsidR="004C1ECB">
        <w:rPr>
          <w:rFonts w:cs="Arial"/>
        </w:rPr>
        <w:t>02/01/2025</w:t>
      </w:r>
    </w:p>
    <w:p w14:paraId="4DEECB5F" w14:textId="77777777" w:rsidR="001B335E" w:rsidRDefault="001B335E" w:rsidP="00EB653E">
      <w:pPr>
        <w:pStyle w:val="Paragraph"/>
      </w:pPr>
    </w:p>
    <w:p w14:paraId="5CFCD3C7" w14:textId="77777777" w:rsidR="00037CE1" w:rsidRDefault="00037CE1" w:rsidP="00037CE1">
      <w:pPr>
        <w:pStyle w:val="Heading1"/>
      </w:pPr>
      <w:r>
        <w:br w:type="page"/>
      </w:r>
      <w:bookmarkStart w:id="10" w:name="_Toc109224101"/>
      <w:bookmarkStart w:id="11" w:name="_Toc138944322"/>
      <w:r>
        <w:lastRenderedPageBreak/>
        <w:t xml:space="preserve">STAGE </w:t>
      </w:r>
      <w:r w:rsidR="0065193B">
        <w:t>2</w:t>
      </w:r>
      <w:r>
        <w:t xml:space="preserve">. </w:t>
      </w:r>
      <w:bookmarkEnd w:id="10"/>
      <w:r w:rsidR="00FE3A12">
        <w:t xml:space="preserve">Final </w:t>
      </w:r>
      <w:bookmarkEnd w:id="11"/>
      <w:r w:rsidR="008E6DD0">
        <w:t>indicator</w:t>
      </w:r>
    </w:p>
    <w:p w14:paraId="6A555215" w14:textId="0AD644CB" w:rsidR="00BF1C2F" w:rsidRDefault="00BF1C2F" w:rsidP="004C5A80">
      <w:pPr>
        <w:pStyle w:val="Heading2"/>
        <w:spacing w:after="240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10006" w14:paraId="79B72219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663AD2D5" w14:textId="77777777" w:rsidR="00510006" w:rsidRDefault="00510006" w:rsidP="00F90FF8">
            <w:pPr>
              <w:pStyle w:val="Paragraph"/>
              <w:numPr>
                <w:ilvl w:val="1"/>
                <w:numId w:val="9"/>
              </w:numPr>
              <w:spacing w:after="0"/>
            </w:pPr>
            <w:r w:rsidRPr="003D03EE">
              <w:t>How inclusive was the consultation process</w:t>
            </w:r>
            <w:r w:rsidRPr="00482EF3">
              <w:t xml:space="preserve"> on</w:t>
            </w:r>
            <w:r>
              <w:t xml:space="preserve"> the draft </w:t>
            </w:r>
            <w:r w:rsidR="008E6DD0">
              <w:t>indicator</w:t>
            </w:r>
            <w:r>
              <w:t xml:space="preserve"> </w:t>
            </w:r>
            <w:r w:rsidRPr="00C90B04">
              <w:t xml:space="preserve">in terms of response from groups (identified in box </w:t>
            </w:r>
            <w:r w:rsidR="00B92895">
              <w:t>1</w:t>
            </w:r>
            <w:r w:rsidRPr="00C90B04">
              <w:t>.</w:t>
            </w:r>
            <w:r>
              <w:t>2</w:t>
            </w:r>
            <w:r w:rsidRPr="00C90B04">
              <w:t>) who may experience inequalities related to the topic?</w:t>
            </w:r>
          </w:p>
        </w:tc>
      </w:tr>
      <w:tr w:rsidR="00510006" w14:paraId="2810588E" w14:textId="77777777" w:rsidTr="00EF6A07">
        <w:trPr>
          <w:trHeight w:val="1037"/>
        </w:trPr>
        <w:tc>
          <w:tcPr>
            <w:tcW w:w="9781" w:type="dxa"/>
            <w:shd w:val="clear" w:color="auto" w:fill="auto"/>
          </w:tcPr>
          <w:p w14:paraId="580DE4D3" w14:textId="5589C0DF" w:rsidR="00510006" w:rsidRPr="00EF6A07" w:rsidRDefault="004C0A43" w:rsidP="00DA67D8">
            <w:pPr>
              <w:pStyle w:val="Paragraph"/>
            </w:pPr>
            <w:r w:rsidRPr="004C0A43">
              <w:t>There was no consultation for this indicator</w:t>
            </w:r>
            <w:r w:rsidR="004C1ECB">
              <w:t xml:space="preserve"> however c</w:t>
            </w:r>
            <w:r w:rsidR="004C1ECB" w:rsidRPr="004C0A43">
              <w:rPr>
                <w:rFonts w:cs="Arial"/>
              </w:rPr>
              <w:t xml:space="preserve">onsultation on IND162 received comments from </w:t>
            </w:r>
            <w:proofErr w:type="gramStart"/>
            <w:r w:rsidR="004C1ECB" w:rsidRPr="004C0A43">
              <w:rPr>
                <w:rFonts w:cs="Arial"/>
              </w:rPr>
              <w:t>a number of</w:t>
            </w:r>
            <w:proofErr w:type="gramEnd"/>
            <w:r w:rsidR="004C1ECB" w:rsidRPr="004C0A43">
              <w:rPr>
                <w:rFonts w:cs="Arial"/>
              </w:rPr>
              <w:t xml:space="preserve"> relevant stakeholders</w:t>
            </w:r>
            <w:r w:rsidR="00B14E63">
              <w:rPr>
                <w:rFonts w:cs="Arial"/>
              </w:rPr>
              <w:t xml:space="preserve"> including a number of voluntary, charitable and community organisations, professional organisations and other stakeholders</w:t>
            </w:r>
            <w:r w:rsidR="004C1ECB" w:rsidRPr="004C0A43">
              <w:rPr>
                <w:rFonts w:cs="Arial"/>
              </w:rPr>
              <w:t>.</w:t>
            </w:r>
          </w:p>
        </w:tc>
      </w:tr>
    </w:tbl>
    <w:p w14:paraId="16221AA0" w14:textId="77777777" w:rsidR="00037CE1" w:rsidRDefault="00037CE1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171A" w14:paraId="61199AB4" w14:textId="77777777" w:rsidTr="0096171A">
        <w:tc>
          <w:tcPr>
            <w:tcW w:w="9781" w:type="dxa"/>
            <w:shd w:val="clear" w:color="auto" w:fill="auto"/>
          </w:tcPr>
          <w:p w14:paraId="35643A34" w14:textId="4FE39980" w:rsidR="0096171A" w:rsidRPr="00C70B5E" w:rsidRDefault="0096171A" w:rsidP="00F90FF8">
            <w:pPr>
              <w:pStyle w:val="Paragraph"/>
              <w:numPr>
                <w:ilvl w:val="1"/>
                <w:numId w:val="9"/>
              </w:numPr>
              <w:spacing w:after="0"/>
            </w:pPr>
            <w:r w:rsidRPr="00C70B5E">
              <w:t xml:space="preserve">Have any </w:t>
            </w:r>
            <w:r w:rsidRPr="00951620">
              <w:rPr>
                <w:b/>
                <w:bCs/>
              </w:rPr>
              <w:t xml:space="preserve">further </w:t>
            </w:r>
            <w:r w:rsidRPr="00C70B5E">
              <w:t>equality and health inequalities issues beyond those identified</w:t>
            </w:r>
            <w:r w:rsidR="00353ABF">
              <w:t xml:space="preserve"> </w:t>
            </w:r>
            <w:r w:rsidRPr="00C70B5E">
              <w:t xml:space="preserve">during development been raised during the consultation on the draft </w:t>
            </w:r>
            <w:r w:rsidR="008C0597">
              <w:t>indicator</w:t>
            </w:r>
            <w:r w:rsidRPr="00C70B5E">
              <w:t xml:space="preserve">, and, if so, how has the </w:t>
            </w:r>
            <w:r>
              <w:t>c</w:t>
            </w:r>
            <w:r w:rsidRPr="00C70B5E">
              <w:t xml:space="preserve">ommittee </w:t>
            </w:r>
            <w:r>
              <w:t xml:space="preserve">considered and </w:t>
            </w:r>
            <w:r w:rsidRPr="00C70B5E">
              <w:t>addressed them?</w:t>
            </w:r>
          </w:p>
        </w:tc>
      </w:tr>
      <w:tr w:rsidR="00C70B5E" w14:paraId="1AD4AA7A" w14:textId="77777777" w:rsidTr="00EF6A07">
        <w:trPr>
          <w:trHeight w:val="792"/>
        </w:trPr>
        <w:tc>
          <w:tcPr>
            <w:tcW w:w="9781" w:type="dxa"/>
            <w:shd w:val="clear" w:color="auto" w:fill="auto"/>
          </w:tcPr>
          <w:p w14:paraId="7F2A74ED" w14:textId="66330383" w:rsidR="004C0A43" w:rsidRDefault="004C0A43" w:rsidP="001314A8">
            <w:pPr>
              <w:pStyle w:val="Paragraph"/>
              <w:spacing w:after="0"/>
            </w:pPr>
            <w:r>
              <w:t>There was no consultation on this indicator.</w:t>
            </w:r>
          </w:p>
        </w:tc>
      </w:tr>
    </w:tbl>
    <w:p w14:paraId="6B9CBFE4" w14:textId="77777777" w:rsidR="00C70B5E" w:rsidRDefault="00C70B5E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4A8" w14:paraId="32ECC323" w14:textId="77777777" w:rsidTr="00BC186C">
        <w:trPr>
          <w:trHeight w:val="598"/>
        </w:trPr>
        <w:tc>
          <w:tcPr>
            <w:tcW w:w="9781" w:type="dxa"/>
            <w:shd w:val="clear" w:color="auto" w:fill="auto"/>
          </w:tcPr>
          <w:p w14:paraId="777A8928" w14:textId="77777777" w:rsidR="001314A8" w:rsidRDefault="000F3082" w:rsidP="00F90FF8">
            <w:pPr>
              <w:pStyle w:val="Paragraph"/>
              <w:numPr>
                <w:ilvl w:val="1"/>
                <w:numId w:val="9"/>
              </w:numPr>
              <w:spacing w:after="0"/>
              <w:ind w:left="567" w:hanging="567"/>
            </w:pPr>
            <w:r>
              <w:t>If the indicator has</w:t>
            </w:r>
            <w:r w:rsidR="001314A8" w:rsidRPr="00482EF3">
              <w:t xml:space="preserve"> changed after consultation, how could these changes impact on equal</w:t>
            </w:r>
            <w:r w:rsidR="00A4326C" w:rsidRPr="00482EF3">
              <w:t>ity</w:t>
            </w:r>
            <w:r w:rsidR="001314A8" w:rsidRPr="00482EF3">
              <w:t xml:space="preserve"> and health inequalities issues?</w:t>
            </w:r>
            <w:r w:rsidR="001314A8" w:rsidRPr="0078563E">
              <w:rPr>
                <w:rFonts w:cs="Arial"/>
              </w:rPr>
              <w:t xml:space="preserve"> </w:t>
            </w:r>
          </w:p>
        </w:tc>
      </w:tr>
      <w:tr w:rsidR="001314A8" w14:paraId="614F983A" w14:textId="77777777" w:rsidTr="00EF6A07">
        <w:trPr>
          <w:trHeight w:val="819"/>
        </w:trPr>
        <w:tc>
          <w:tcPr>
            <w:tcW w:w="9781" w:type="dxa"/>
            <w:shd w:val="clear" w:color="auto" w:fill="auto"/>
          </w:tcPr>
          <w:p w14:paraId="4006D614" w14:textId="06E8B82D" w:rsidR="004C0A43" w:rsidRPr="00F62A3E" w:rsidRDefault="004C0A43" w:rsidP="00835152">
            <w:pPr>
              <w:pStyle w:val="Paragraph"/>
              <w:rPr>
                <w:i/>
                <w:iCs/>
              </w:rPr>
            </w:pPr>
            <w:r w:rsidRPr="00835152">
              <w:t xml:space="preserve">No changes to the </w:t>
            </w:r>
            <w:r w:rsidR="00835152" w:rsidRPr="00835152">
              <w:t>indicator</w:t>
            </w:r>
            <w:r w:rsidRPr="00835152">
              <w:t xml:space="preserve"> as there was no consultation on the indicator</w:t>
            </w:r>
            <w:r>
              <w:rPr>
                <w:i/>
                <w:iCs/>
              </w:rPr>
              <w:t>.</w:t>
            </w:r>
          </w:p>
        </w:tc>
      </w:tr>
    </w:tbl>
    <w:p w14:paraId="458FD68A" w14:textId="77777777" w:rsidR="001314A8" w:rsidRDefault="001314A8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F87" w14:paraId="6B81FA2B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3A26546F" w14:textId="77777777" w:rsidR="008A7F87" w:rsidRDefault="008A7F87" w:rsidP="00F90FF8">
            <w:pPr>
              <w:pStyle w:val="Paragraph"/>
              <w:numPr>
                <w:ilvl w:val="1"/>
                <w:numId w:val="9"/>
              </w:numPr>
              <w:spacing w:after="0"/>
              <w:ind w:left="567" w:hanging="567"/>
            </w:pPr>
            <w:r w:rsidRPr="008A7F87">
              <w:t xml:space="preserve">Following the consultation on the draft </w:t>
            </w:r>
            <w:r w:rsidR="000F3082">
              <w:t>indicator</w:t>
            </w:r>
            <w:r w:rsidR="00FE3A12" w:rsidRPr="008A7F87">
              <w:t xml:space="preserve"> </w:t>
            </w:r>
            <w:r w:rsidRPr="008A7F87">
              <w:t xml:space="preserve">and response to question </w:t>
            </w:r>
            <w:r w:rsidR="00FE3A12">
              <w:t>3</w:t>
            </w:r>
            <w:r w:rsidRPr="008A7F87">
              <w:t xml:space="preserve">.2, have there been any further committee considerations of equality and health inequalities issues </w:t>
            </w:r>
            <w:r>
              <w:t xml:space="preserve">across the four dimensions </w:t>
            </w:r>
            <w:r w:rsidRPr="008A7F87">
              <w:t xml:space="preserve">that have been reflected in the final </w:t>
            </w:r>
            <w:r w:rsidR="00E17DE3">
              <w:t>indicator</w:t>
            </w:r>
            <w:r w:rsidRPr="008A7F87">
              <w:t xml:space="preserve">?   </w:t>
            </w:r>
          </w:p>
        </w:tc>
      </w:tr>
      <w:tr w:rsidR="008A7F87" w14:paraId="345A98C0" w14:textId="77777777" w:rsidTr="00EF6A07">
        <w:trPr>
          <w:trHeight w:val="998"/>
        </w:trPr>
        <w:tc>
          <w:tcPr>
            <w:tcW w:w="9781" w:type="dxa"/>
            <w:shd w:val="clear" w:color="auto" w:fill="auto"/>
          </w:tcPr>
          <w:p w14:paraId="74672746" w14:textId="0D180254" w:rsidR="004C0A43" w:rsidRPr="004C0A43" w:rsidRDefault="004C0A43" w:rsidP="00DA67D8">
            <w:pPr>
              <w:pStyle w:val="Paragraph"/>
            </w:pPr>
            <w:r w:rsidRPr="004C0A43">
              <w:t>The indicator was discussed with the IAC in June 2024 and no further equality and health inequality issues were identified.</w:t>
            </w:r>
          </w:p>
        </w:tc>
      </w:tr>
    </w:tbl>
    <w:p w14:paraId="12A2BC05" w14:textId="77777777" w:rsidR="008A7F87" w:rsidRDefault="008A7F87" w:rsidP="00037CE1">
      <w:pPr>
        <w:pStyle w:val="Paragrap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10638" w14:paraId="784B15AA" w14:textId="77777777" w:rsidTr="00BC186C">
        <w:trPr>
          <w:trHeight w:val="1113"/>
        </w:trPr>
        <w:tc>
          <w:tcPr>
            <w:tcW w:w="9781" w:type="dxa"/>
            <w:shd w:val="clear" w:color="auto" w:fill="auto"/>
          </w:tcPr>
          <w:p w14:paraId="0813BD1F" w14:textId="77777777" w:rsidR="00310638" w:rsidRDefault="00C86044" w:rsidP="00F90FF8">
            <w:pPr>
              <w:pStyle w:val="Paragraph"/>
              <w:numPr>
                <w:ilvl w:val="1"/>
                <w:numId w:val="9"/>
              </w:numPr>
              <w:spacing w:after="0"/>
              <w:ind w:left="567" w:hanging="567"/>
            </w:pPr>
            <w:r>
              <w:t>Please provide</w:t>
            </w:r>
            <w:r w:rsidR="00310638">
              <w:t xml:space="preserve"> a summary of the key equali</w:t>
            </w:r>
            <w:r w:rsidR="009B06BC">
              <w:t xml:space="preserve">ty </w:t>
            </w:r>
            <w:r w:rsidR="00310638">
              <w:t>and health inequalities</w:t>
            </w:r>
            <w:r w:rsidR="00310638" w:rsidRPr="008A7F87">
              <w:t xml:space="preserve"> </w:t>
            </w:r>
            <w:r w:rsidR="00310638">
              <w:t xml:space="preserve">issues </w:t>
            </w:r>
            <w:r>
              <w:t>that should be highlighted in the</w:t>
            </w:r>
            <w:r w:rsidR="00310638">
              <w:t xml:space="preserve"> </w:t>
            </w:r>
            <w:r w:rsidR="00005F33">
              <w:t>g</w:t>
            </w:r>
            <w:r w:rsidR="00310638">
              <w:t xml:space="preserve">uidance </w:t>
            </w:r>
            <w:r w:rsidR="00005F33">
              <w:t>e</w:t>
            </w:r>
            <w:r w:rsidR="00310638">
              <w:t>xecutive</w:t>
            </w:r>
            <w:r w:rsidR="00E0450A">
              <w:t xml:space="preserve"> report</w:t>
            </w:r>
            <w:r w:rsidR="00310638">
              <w:t xml:space="preserve"> before sign</w:t>
            </w:r>
            <w:r w:rsidR="00005F33">
              <w:t>-</w:t>
            </w:r>
            <w:r w:rsidR="00310638">
              <w:t xml:space="preserve">off of the final </w:t>
            </w:r>
            <w:r w:rsidR="00E17DE3">
              <w:t>indicator</w:t>
            </w:r>
            <w:r w:rsidR="00FE3A12">
              <w:t>.</w:t>
            </w:r>
            <w:r w:rsidR="00310638">
              <w:t xml:space="preserve"> </w:t>
            </w:r>
          </w:p>
        </w:tc>
      </w:tr>
      <w:tr w:rsidR="00310638" w14:paraId="3B2E7A2F" w14:textId="77777777" w:rsidTr="00EF6A07">
        <w:trPr>
          <w:trHeight w:val="274"/>
        </w:trPr>
        <w:tc>
          <w:tcPr>
            <w:tcW w:w="9781" w:type="dxa"/>
            <w:shd w:val="clear" w:color="auto" w:fill="auto"/>
          </w:tcPr>
          <w:p w14:paraId="738B1EEE" w14:textId="6BA339C6" w:rsidR="004C0A43" w:rsidRPr="004C0A43" w:rsidRDefault="004C0A43" w:rsidP="00965AEE">
            <w:pPr>
              <w:pStyle w:val="Paragraph"/>
              <w:rPr>
                <w:highlight w:val="lightGray"/>
              </w:rPr>
            </w:pPr>
            <w:r w:rsidRPr="004C0A43">
              <w:t>None.</w:t>
            </w:r>
          </w:p>
        </w:tc>
      </w:tr>
    </w:tbl>
    <w:p w14:paraId="0112424E" w14:textId="77777777" w:rsidR="00310638" w:rsidRDefault="00310638" w:rsidP="00037CE1">
      <w:pPr>
        <w:pStyle w:val="Paragraph"/>
      </w:pPr>
    </w:p>
    <w:p w14:paraId="34866D06" w14:textId="0C61B7E4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Completed by lead analyst: </w:t>
      </w:r>
      <w:r w:rsidR="004C0A43">
        <w:rPr>
          <w:rFonts w:cs="Arial"/>
        </w:rPr>
        <w:t>Charlotte Fairclough</w:t>
      </w:r>
    </w:p>
    <w:p w14:paraId="24114BFC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469CC87E" w14:textId="0D7ADE14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lastRenderedPageBreak/>
        <w:t xml:space="preserve">Date: </w:t>
      </w:r>
      <w:r w:rsidR="004C0A43">
        <w:rPr>
          <w:rFonts w:cs="Arial"/>
        </w:rPr>
        <w:t>02/01/2025</w:t>
      </w:r>
    </w:p>
    <w:p w14:paraId="07C465FA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1488DBAC" w14:textId="009A2C9A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Approved by NICE quality assurance lead: </w:t>
      </w:r>
      <w:r w:rsidR="00353ABF">
        <w:rPr>
          <w:rFonts w:cs="Arial"/>
        </w:rPr>
        <w:t>Nicola Greenway</w:t>
      </w:r>
    </w:p>
    <w:p w14:paraId="616023A2" w14:textId="77777777" w:rsidR="001431B0" w:rsidRPr="001431B0" w:rsidRDefault="001431B0" w:rsidP="001431B0">
      <w:pPr>
        <w:pStyle w:val="Paragraphnonumbers"/>
        <w:spacing w:after="0"/>
        <w:rPr>
          <w:rFonts w:cs="Arial"/>
        </w:rPr>
      </w:pPr>
    </w:p>
    <w:p w14:paraId="4043E900" w14:textId="5F140D68" w:rsidR="001431B0" w:rsidRPr="001431B0" w:rsidRDefault="001431B0" w:rsidP="001431B0">
      <w:pPr>
        <w:pStyle w:val="Paragraphnonumbers"/>
        <w:spacing w:after="0"/>
        <w:rPr>
          <w:rFonts w:cs="Arial"/>
        </w:rPr>
      </w:pPr>
      <w:r w:rsidRPr="001431B0">
        <w:rPr>
          <w:rFonts w:cs="Arial"/>
        </w:rPr>
        <w:t xml:space="preserve">Date: </w:t>
      </w:r>
      <w:r w:rsidR="00353ABF">
        <w:rPr>
          <w:rFonts w:cs="Arial"/>
        </w:rPr>
        <w:t>02/01/2025</w:t>
      </w:r>
    </w:p>
    <w:p w14:paraId="084E751A" w14:textId="5E7FC997" w:rsidR="00384F8C" w:rsidRDefault="00384F8C" w:rsidP="003E7A3B">
      <w:pPr>
        <w:pStyle w:val="Heading1"/>
        <w:rPr>
          <w:b w:val="0"/>
        </w:rPr>
      </w:pPr>
    </w:p>
    <w:p w14:paraId="679DE105" w14:textId="77777777" w:rsidR="00DA0765" w:rsidRDefault="00DA0765" w:rsidP="003D03EE">
      <w:pPr>
        <w:rPr>
          <w:b/>
          <w:kern w:val="32"/>
          <w:sz w:val="28"/>
        </w:rPr>
      </w:pPr>
    </w:p>
    <w:p w14:paraId="2ECE6293" w14:textId="77777777" w:rsidR="00712E9A" w:rsidRDefault="00712E9A" w:rsidP="00DA0765">
      <w:pPr>
        <w:pStyle w:val="pf0"/>
        <w:rPr>
          <w:rStyle w:val="cf01"/>
        </w:rPr>
      </w:pPr>
    </w:p>
    <w:p w14:paraId="3EA85F25" w14:textId="77777777" w:rsidR="00712E9A" w:rsidRDefault="00712E9A" w:rsidP="00DA0765">
      <w:pPr>
        <w:pStyle w:val="pf0"/>
        <w:rPr>
          <w:rStyle w:val="cf01"/>
        </w:rPr>
      </w:pPr>
    </w:p>
    <w:p w14:paraId="5C56DBB1" w14:textId="77777777" w:rsidR="00712E9A" w:rsidRDefault="00712E9A" w:rsidP="00DA0765">
      <w:pPr>
        <w:pStyle w:val="pf0"/>
        <w:rPr>
          <w:rStyle w:val="cf01"/>
        </w:rPr>
      </w:pPr>
    </w:p>
    <w:p w14:paraId="0B36F98F" w14:textId="77777777" w:rsidR="00712E9A" w:rsidRDefault="00712E9A" w:rsidP="00DA0765">
      <w:pPr>
        <w:pStyle w:val="pf0"/>
        <w:rPr>
          <w:rStyle w:val="cf01"/>
        </w:rPr>
      </w:pPr>
    </w:p>
    <w:p w14:paraId="571097C6" w14:textId="77777777" w:rsidR="00712E9A" w:rsidRDefault="00712E9A" w:rsidP="00DA0765">
      <w:pPr>
        <w:pStyle w:val="pf0"/>
        <w:rPr>
          <w:rStyle w:val="cf01"/>
        </w:rPr>
      </w:pPr>
    </w:p>
    <w:p w14:paraId="329B62F1" w14:textId="77777777" w:rsidR="00712E9A" w:rsidRDefault="00712E9A" w:rsidP="00DA0765">
      <w:pPr>
        <w:pStyle w:val="pf0"/>
        <w:rPr>
          <w:rStyle w:val="cf01"/>
        </w:rPr>
      </w:pPr>
    </w:p>
    <w:p w14:paraId="0E2F937E" w14:textId="402D8FCE" w:rsidR="00DA0765" w:rsidRPr="003D03EE" w:rsidRDefault="00DA0765" w:rsidP="00DA0765">
      <w:pPr>
        <w:pStyle w:val="pf0"/>
        <w:rPr>
          <w:b/>
          <w:kern w:val="32"/>
          <w:sz w:val="28"/>
        </w:rPr>
      </w:pPr>
      <w:r>
        <w:rPr>
          <w:rStyle w:val="cf01"/>
        </w:rPr>
        <w:t xml:space="preserve">© NICE </w:t>
      </w:r>
      <w:r>
        <w:rPr>
          <w:rStyle w:val="cf11"/>
        </w:rPr>
        <w:t>202</w:t>
      </w:r>
      <w:r w:rsidR="00835152">
        <w:rPr>
          <w:rStyle w:val="cf11"/>
        </w:rPr>
        <w:t>5</w:t>
      </w:r>
      <w:r>
        <w:rPr>
          <w:rStyle w:val="cf11"/>
        </w:rPr>
        <w:t>.</w:t>
      </w:r>
      <w:r>
        <w:rPr>
          <w:rStyle w:val="cf01"/>
        </w:rPr>
        <w:t xml:space="preserve"> All rights reserved. Subject to </w:t>
      </w:r>
      <w:hyperlink r:id="rId16" w:anchor="notice-of-rights" w:history="1">
        <w:r>
          <w:rPr>
            <w:rStyle w:val="cf01"/>
            <w:color w:val="0000FF"/>
            <w:u w:val="single"/>
          </w:rPr>
          <w:t>Notice of rights</w:t>
        </w:r>
      </w:hyperlink>
      <w:r>
        <w:rPr>
          <w:rStyle w:val="cf01"/>
        </w:rPr>
        <w:t>.</w:t>
      </w:r>
    </w:p>
    <w:sectPr w:rsidR="00DA0765" w:rsidRPr="003D03EE" w:rsidSect="00636759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0FD1" w14:textId="77777777" w:rsidR="002A0A36" w:rsidRDefault="002A0A36" w:rsidP="00446BEE">
      <w:r>
        <w:separator/>
      </w:r>
    </w:p>
  </w:endnote>
  <w:endnote w:type="continuationSeparator" w:id="0">
    <w:p w14:paraId="32D2E7B0" w14:textId="77777777" w:rsidR="002A0A36" w:rsidRDefault="002A0A36" w:rsidP="00446BEE">
      <w:r>
        <w:continuationSeparator/>
      </w:r>
    </w:p>
  </w:endnote>
  <w:endnote w:type="continuationNotice" w:id="1">
    <w:p w14:paraId="3FBDBB12" w14:textId="77777777" w:rsidR="002A0A36" w:rsidRDefault="002A0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494" w14:textId="451CF101" w:rsidR="00516E2E" w:rsidRDefault="00353ABF" w:rsidP="003C15C7">
    <w:pPr>
      <w:pStyle w:val="Footer"/>
    </w:pPr>
    <w:r>
      <w:t>IND287</w:t>
    </w:r>
    <w:r w:rsidR="003C15C7">
      <w:t>: Equality and health inequalities assessment</w:t>
    </w:r>
    <w:r w:rsidR="003C15C7">
      <w:tab/>
    </w:r>
    <w:r w:rsidR="003C15C7">
      <w:tab/>
    </w:r>
    <w:r w:rsidR="003C15C7">
      <w:fldChar w:fldCharType="begin"/>
    </w:r>
    <w:r w:rsidR="003C15C7">
      <w:instrText xml:space="preserve"> PAGE </w:instrText>
    </w:r>
    <w:r w:rsidR="003C15C7">
      <w:fldChar w:fldCharType="separate"/>
    </w:r>
    <w:r w:rsidR="003C15C7">
      <w:t>2</w:t>
    </w:r>
    <w:r w:rsidR="003C15C7">
      <w:fldChar w:fldCharType="end"/>
    </w:r>
    <w:r w:rsidR="003C15C7">
      <w:t xml:space="preserve"> of </w:t>
    </w:r>
    <w:r w:rsidR="003C15C7">
      <w:fldChar w:fldCharType="begin"/>
    </w:r>
    <w:r w:rsidR="003C15C7">
      <w:instrText xml:space="preserve"> NUMPAGES  </w:instrText>
    </w:r>
    <w:r w:rsidR="003C15C7">
      <w:fldChar w:fldCharType="separate"/>
    </w:r>
    <w:r w:rsidR="003C15C7">
      <w:t>8</w:t>
    </w:r>
    <w:r w:rsidR="003C15C7">
      <w:rPr>
        <w:noProof/>
      </w:rPr>
      <w:fldChar w:fldCharType="end"/>
    </w:r>
  </w:p>
  <w:p w14:paraId="3812426E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F83C" w14:textId="77777777" w:rsidR="002A0A36" w:rsidRDefault="002A0A36" w:rsidP="00446BEE">
      <w:r>
        <w:separator/>
      </w:r>
    </w:p>
  </w:footnote>
  <w:footnote w:type="continuationSeparator" w:id="0">
    <w:p w14:paraId="0F524FF7" w14:textId="77777777" w:rsidR="002A0A36" w:rsidRDefault="002A0A36" w:rsidP="00446BEE">
      <w:r>
        <w:continuationSeparator/>
      </w:r>
    </w:p>
  </w:footnote>
  <w:footnote w:type="continuationNotice" w:id="1">
    <w:p w14:paraId="1D6BE075" w14:textId="77777777" w:rsidR="002A0A36" w:rsidRDefault="002A0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E69E" w14:textId="77777777" w:rsidR="003D6A0E" w:rsidRDefault="006248D8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EHIA</w:t>
    </w:r>
    <w:r w:rsidR="004A1E7C" w:rsidRPr="000528AA">
      <w:rPr>
        <w:rFonts w:cs="Arial"/>
        <w:b/>
        <w:sz w:val="20"/>
        <w:szCs w:val="20"/>
      </w:rPr>
      <w:t xml:space="preserve"> </w:t>
    </w:r>
    <w:r w:rsidR="00FE16C4">
      <w:rPr>
        <w:rFonts w:cs="Arial"/>
        <w:b/>
        <w:sz w:val="20"/>
        <w:szCs w:val="20"/>
      </w:rPr>
      <w:t xml:space="preserve">TEMPLATE </w:t>
    </w:r>
  </w:p>
  <w:p w14:paraId="29C9354F" w14:textId="77777777" w:rsidR="00DF198B" w:rsidRDefault="003D6A0E">
    <w:pPr>
      <w:pStyle w:val="Header"/>
      <w:rPr>
        <w:rFonts w:cs="Arial"/>
        <w:b/>
        <w:sz w:val="20"/>
        <w:szCs w:val="20"/>
      </w:rPr>
    </w:pPr>
    <w:r>
      <w:rPr>
        <w:rFonts w:cs="Arial"/>
        <w:b/>
        <w:sz w:val="20"/>
        <w:szCs w:val="20"/>
      </w:rPr>
      <w:t>V</w:t>
    </w:r>
    <w:r w:rsidR="00DA1A98">
      <w:rPr>
        <w:rFonts w:cs="Arial"/>
        <w:b/>
        <w:sz w:val="20"/>
        <w:szCs w:val="20"/>
      </w:rPr>
      <w:t>7</w:t>
    </w:r>
    <w:r w:rsidR="00D8277C">
      <w:rPr>
        <w:rFonts w:cs="Arial"/>
        <w:b/>
        <w:sz w:val="20"/>
        <w:szCs w:val="20"/>
      </w:rPr>
      <w:t>.0</w:t>
    </w:r>
    <w:r w:rsidR="00FE16C4">
      <w:rPr>
        <w:rFonts w:cs="Arial"/>
        <w:b/>
        <w:sz w:val="20"/>
        <w:szCs w:val="20"/>
      </w:rPr>
      <w:tab/>
    </w:r>
  </w:p>
  <w:p w14:paraId="270EDF7B" w14:textId="77777777" w:rsidR="007E3B7D" w:rsidRPr="000528AA" w:rsidRDefault="007E3B7D">
    <w:pPr>
      <w:pStyle w:val="Header"/>
      <w:rPr>
        <w:rFonts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174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28894BE8"/>
    <w:multiLevelType w:val="multilevel"/>
    <w:tmpl w:val="1F36E61C"/>
    <w:styleLink w:val="Style4"/>
    <w:lvl w:ilvl="0">
      <w:start w:val="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2" w15:restartNumberingAfterBreak="0">
    <w:nsid w:val="2A4A1631"/>
    <w:multiLevelType w:val="multilevel"/>
    <w:tmpl w:val="379CC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C50973"/>
    <w:multiLevelType w:val="hybridMultilevel"/>
    <w:tmpl w:val="4322F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901DB6"/>
    <w:multiLevelType w:val="hybridMultilevel"/>
    <w:tmpl w:val="22CA1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23BD"/>
    <w:multiLevelType w:val="multilevel"/>
    <w:tmpl w:val="606CA87A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7" w15:restartNumberingAfterBreak="0">
    <w:nsid w:val="6CA41556"/>
    <w:multiLevelType w:val="multilevel"/>
    <w:tmpl w:val="85D6F1F8"/>
    <w:styleLink w:val="Style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1790D22"/>
    <w:multiLevelType w:val="multilevel"/>
    <w:tmpl w:val="7B18D79E"/>
    <w:styleLink w:val="Style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20A292F"/>
    <w:multiLevelType w:val="multilevel"/>
    <w:tmpl w:val="8F5AD2FA"/>
    <w:styleLink w:val="Style5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  <w:b/>
      </w:rPr>
    </w:lvl>
  </w:abstractNum>
  <w:abstractNum w:abstractNumId="10" w15:restartNumberingAfterBreak="0">
    <w:nsid w:val="7F0538A6"/>
    <w:multiLevelType w:val="multilevel"/>
    <w:tmpl w:val="D1AC6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6738427">
    <w:abstractNumId w:val="6"/>
  </w:num>
  <w:num w:numId="2" w16cid:durableId="1236670440">
    <w:abstractNumId w:val="0"/>
  </w:num>
  <w:num w:numId="3" w16cid:durableId="1918830326">
    <w:abstractNumId w:val="5"/>
  </w:num>
  <w:num w:numId="4" w16cid:durableId="1849562648">
    <w:abstractNumId w:val="8"/>
  </w:num>
  <w:num w:numId="5" w16cid:durableId="360518129">
    <w:abstractNumId w:val="7"/>
  </w:num>
  <w:num w:numId="6" w16cid:durableId="987831213">
    <w:abstractNumId w:val="1"/>
  </w:num>
  <w:num w:numId="7" w16cid:durableId="940183058">
    <w:abstractNumId w:val="9"/>
  </w:num>
  <w:num w:numId="8" w16cid:durableId="1564372752">
    <w:abstractNumId w:val="10"/>
  </w:num>
  <w:num w:numId="9" w16cid:durableId="2099404550">
    <w:abstractNumId w:val="2"/>
  </w:num>
  <w:num w:numId="10" w16cid:durableId="942683957">
    <w:abstractNumId w:val="3"/>
  </w:num>
  <w:num w:numId="11" w16cid:durableId="13978226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36"/>
    <w:rsid w:val="000004FC"/>
    <w:rsid w:val="00003A98"/>
    <w:rsid w:val="000053F8"/>
    <w:rsid w:val="00005F33"/>
    <w:rsid w:val="00007662"/>
    <w:rsid w:val="0000789E"/>
    <w:rsid w:val="00010E2D"/>
    <w:rsid w:val="00012B14"/>
    <w:rsid w:val="0001418F"/>
    <w:rsid w:val="00017A1C"/>
    <w:rsid w:val="00017D75"/>
    <w:rsid w:val="00020E22"/>
    <w:rsid w:val="000224F4"/>
    <w:rsid w:val="000241A8"/>
    <w:rsid w:val="00024D0A"/>
    <w:rsid w:val="00025DBE"/>
    <w:rsid w:val="00025EC6"/>
    <w:rsid w:val="00027E7D"/>
    <w:rsid w:val="000336E8"/>
    <w:rsid w:val="0003499B"/>
    <w:rsid w:val="00037CE1"/>
    <w:rsid w:val="000413A2"/>
    <w:rsid w:val="00042DF4"/>
    <w:rsid w:val="00043CD1"/>
    <w:rsid w:val="00045644"/>
    <w:rsid w:val="000472DC"/>
    <w:rsid w:val="0005043C"/>
    <w:rsid w:val="00050454"/>
    <w:rsid w:val="000528AA"/>
    <w:rsid w:val="000532E8"/>
    <w:rsid w:val="00054DF9"/>
    <w:rsid w:val="00066EDA"/>
    <w:rsid w:val="00067C36"/>
    <w:rsid w:val="00070065"/>
    <w:rsid w:val="00070C6C"/>
    <w:rsid w:val="00070E12"/>
    <w:rsid w:val="00071E7C"/>
    <w:rsid w:val="000732ED"/>
    <w:rsid w:val="00073DD6"/>
    <w:rsid w:val="00073F3F"/>
    <w:rsid w:val="00075ECD"/>
    <w:rsid w:val="0008249E"/>
    <w:rsid w:val="00082A6E"/>
    <w:rsid w:val="0008315D"/>
    <w:rsid w:val="0008333F"/>
    <w:rsid w:val="00083846"/>
    <w:rsid w:val="00083B0B"/>
    <w:rsid w:val="0008759D"/>
    <w:rsid w:val="000902A4"/>
    <w:rsid w:val="00090450"/>
    <w:rsid w:val="00090E06"/>
    <w:rsid w:val="00090EBF"/>
    <w:rsid w:val="00092974"/>
    <w:rsid w:val="00093B0F"/>
    <w:rsid w:val="00094590"/>
    <w:rsid w:val="00096E9B"/>
    <w:rsid w:val="000A3E7F"/>
    <w:rsid w:val="000A4FEE"/>
    <w:rsid w:val="000A66D6"/>
    <w:rsid w:val="000A7D76"/>
    <w:rsid w:val="000B1868"/>
    <w:rsid w:val="000B5939"/>
    <w:rsid w:val="000B78CA"/>
    <w:rsid w:val="000C2CB9"/>
    <w:rsid w:val="000C3521"/>
    <w:rsid w:val="000C36A2"/>
    <w:rsid w:val="000C4269"/>
    <w:rsid w:val="000C55E2"/>
    <w:rsid w:val="000C6256"/>
    <w:rsid w:val="000C6FAB"/>
    <w:rsid w:val="000C7673"/>
    <w:rsid w:val="000D00BD"/>
    <w:rsid w:val="000D39D9"/>
    <w:rsid w:val="000D55A8"/>
    <w:rsid w:val="000D73EF"/>
    <w:rsid w:val="000E143A"/>
    <w:rsid w:val="000E41BE"/>
    <w:rsid w:val="000E476F"/>
    <w:rsid w:val="000E6978"/>
    <w:rsid w:val="000E6A0F"/>
    <w:rsid w:val="000E7E79"/>
    <w:rsid w:val="000F0F35"/>
    <w:rsid w:val="000F1FA7"/>
    <w:rsid w:val="000F2591"/>
    <w:rsid w:val="000F3082"/>
    <w:rsid w:val="000F355E"/>
    <w:rsid w:val="000F4137"/>
    <w:rsid w:val="000F575B"/>
    <w:rsid w:val="000F6E9C"/>
    <w:rsid w:val="000F7B9F"/>
    <w:rsid w:val="00102D6C"/>
    <w:rsid w:val="001045C2"/>
    <w:rsid w:val="001060A0"/>
    <w:rsid w:val="00106948"/>
    <w:rsid w:val="00107273"/>
    <w:rsid w:val="0011183F"/>
    <w:rsid w:val="00111CCE"/>
    <w:rsid w:val="001121E3"/>
    <w:rsid w:val="001134E7"/>
    <w:rsid w:val="001157B9"/>
    <w:rsid w:val="001277BE"/>
    <w:rsid w:val="00130898"/>
    <w:rsid w:val="0013103A"/>
    <w:rsid w:val="001314A8"/>
    <w:rsid w:val="00132B16"/>
    <w:rsid w:val="00135DFB"/>
    <w:rsid w:val="00137396"/>
    <w:rsid w:val="00141E9B"/>
    <w:rsid w:val="0014211F"/>
    <w:rsid w:val="0014267F"/>
    <w:rsid w:val="0014271F"/>
    <w:rsid w:val="001431B0"/>
    <w:rsid w:val="00143AFA"/>
    <w:rsid w:val="001477A9"/>
    <w:rsid w:val="001553E9"/>
    <w:rsid w:val="00157BDA"/>
    <w:rsid w:val="0016466B"/>
    <w:rsid w:val="00165556"/>
    <w:rsid w:val="00170504"/>
    <w:rsid w:val="001710AD"/>
    <w:rsid w:val="0017149E"/>
    <w:rsid w:val="0017169E"/>
    <w:rsid w:val="00173317"/>
    <w:rsid w:val="00173681"/>
    <w:rsid w:val="00173AC8"/>
    <w:rsid w:val="00177047"/>
    <w:rsid w:val="0018006C"/>
    <w:rsid w:val="00181A4A"/>
    <w:rsid w:val="00182034"/>
    <w:rsid w:val="00184F53"/>
    <w:rsid w:val="00191F0E"/>
    <w:rsid w:val="00194121"/>
    <w:rsid w:val="00194940"/>
    <w:rsid w:val="00197954"/>
    <w:rsid w:val="001A0D39"/>
    <w:rsid w:val="001A3FAE"/>
    <w:rsid w:val="001A5139"/>
    <w:rsid w:val="001A6AD4"/>
    <w:rsid w:val="001A6B73"/>
    <w:rsid w:val="001B0EE9"/>
    <w:rsid w:val="001B335E"/>
    <w:rsid w:val="001B4BD9"/>
    <w:rsid w:val="001B65B3"/>
    <w:rsid w:val="001B6DBC"/>
    <w:rsid w:val="001B715D"/>
    <w:rsid w:val="001C3A55"/>
    <w:rsid w:val="001D2FCF"/>
    <w:rsid w:val="001D31CF"/>
    <w:rsid w:val="001D4416"/>
    <w:rsid w:val="001D4937"/>
    <w:rsid w:val="001E20D3"/>
    <w:rsid w:val="001E2C47"/>
    <w:rsid w:val="001E7677"/>
    <w:rsid w:val="001E7EA5"/>
    <w:rsid w:val="001F4C2E"/>
    <w:rsid w:val="001F56B9"/>
    <w:rsid w:val="001F64C1"/>
    <w:rsid w:val="002004E2"/>
    <w:rsid w:val="00201ED2"/>
    <w:rsid w:val="002024BA"/>
    <w:rsid w:val="00202664"/>
    <w:rsid w:val="002029A6"/>
    <w:rsid w:val="00202E9C"/>
    <w:rsid w:val="00203F4A"/>
    <w:rsid w:val="00204710"/>
    <w:rsid w:val="002047CC"/>
    <w:rsid w:val="00206A36"/>
    <w:rsid w:val="00210A86"/>
    <w:rsid w:val="00210AFB"/>
    <w:rsid w:val="00222ADD"/>
    <w:rsid w:val="00223163"/>
    <w:rsid w:val="00224896"/>
    <w:rsid w:val="002274F5"/>
    <w:rsid w:val="00230224"/>
    <w:rsid w:val="00231F35"/>
    <w:rsid w:val="002333A5"/>
    <w:rsid w:val="0023546E"/>
    <w:rsid w:val="002406A6"/>
    <w:rsid w:val="002408EA"/>
    <w:rsid w:val="00241AFE"/>
    <w:rsid w:val="00242ABB"/>
    <w:rsid w:val="00242ECF"/>
    <w:rsid w:val="002459B4"/>
    <w:rsid w:val="00246552"/>
    <w:rsid w:val="00247034"/>
    <w:rsid w:val="0024719E"/>
    <w:rsid w:val="00252B9F"/>
    <w:rsid w:val="00260995"/>
    <w:rsid w:val="0026199E"/>
    <w:rsid w:val="002648BA"/>
    <w:rsid w:val="00264ACF"/>
    <w:rsid w:val="00265FAC"/>
    <w:rsid w:val="00266729"/>
    <w:rsid w:val="00267C47"/>
    <w:rsid w:val="00267E25"/>
    <w:rsid w:val="00273AA7"/>
    <w:rsid w:val="00277BA4"/>
    <w:rsid w:val="002805A0"/>
    <w:rsid w:val="00281913"/>
    <w:rsid w:val="002819D7"/>
    <w:rsid w:val="00283BDA"/>
    <w:rsid w:val="00286C25"/>
    <w:rsid w:val="00286F5F"/>
    <w:rsid w:val="0029049A"/>
    <w:rsid w:val="002919F3"/>
    <w:rsid w:val="00291FFC"/>
    <w:rsid w:val="00294127"/>
    <w:rsid w:val="00294C17"/>
    <w:rsid w:val="002A0A36"/>
    <w:rsid w:val="002A0DFC"/>
    <w:rsid w:val="002A0F2A"/>
    <w:rsid w:val="002A1134"/>
    <w:rsid w:val="002A3B45"/>
    <w:rsid w:val="002A503E"/>
    <w:rsid w:val="002A5240"/>
    <w:rsid w:val="002A555A"/>
    <w:rsid w:val="002B0E8D"/>
    <w:rsid w:val="002B2817"/>
    <w:rsid w:val="002B3000"/>
    <w:rsid w:val="002C1A7E"/>
    <w:rsid w:val="002C20BB"/>
    <w:rsid w:val="002C272A"/>
    <w:rsid w:val="002C66E0"/>
    <w:rsid w:val="002D0A75"/>
    <w:rsid w:val="002D3376"/>
    <w:rsid w:val="002D44CE"/>
    <w:rsid w:val="002D4C17"/>
    <w:rsid w:val="002D4E4E"/>
    <w:rsid w:val="002D7324"/>
    <w:rsid w:val="002E016D"/>
    <w:rsid w:val="002E0A2C"/>
    <w:rsid w:val="002E4DCF"/>
    <w:rsid w:val="002E5724"/>
    <w:rsid w:val="002E7EC9"/>
    <w:rsid w:val="002F30AC"/>
    <w:rsid w:val="002F663F"/>
    <w:rsid w:val="00303133"/>
    <w:rsid w:val="00310467"/>
    <w:rsid w:val="00310638"/>
    <w:rsid w:val="00311656"/>
    <w:rsid w:val="00311ED0"/>
    <w:rsid w:val="00321400"/>
    <w:rsid w:val="00321A30"/>
    <w:rsid w:val="003235D8"/>
    <w:rsid w:val="0032543B"/>
    <w:rsid w:val="003321AE"/>
    <w:rsid w:val="00335B0F"/>
    <w:rsid w:val="0033615E"/>
    <w:rsid w:val="0033752D"/>
    <w:rsid w:val="003455B4"/>
    <w:rsid w:val="003501DC"/>
    <w:rsid w:val="0035212E"/>
    <w:rsid w:val="00353ABF"/>
    <w:rsid w:val="003542E8"/>
    <w:rsid w:val="00356F7D"/>
    <w:rsid w:val="00360652"/>
    <w:rsid w:val="003648C5"/>
    <w:rsid w:val="0036785C"/>
    <w:rsid w:val="003722FA"/>
    <w:rsid w:val="00373F5F"/>
    <w:rsid w:val="00374246"/>
    <w:rsid w:val="00376F28"/>
    <w:rsid w:val="003778FE"/>
    <w:rsid w:val="003814C0"/>
    <w:rsid w:val="00384F8C"/>
    <w:rsid w:val="0038531C"/>
    <w:rsid w:val="003856F3"/>
    <w:rsid w:val="00386DC4"/>
    <w:rsid w:val="003871B2"/>
    <w:rsid w:val="0039265E"/>
    <w:rsid w:val="00392E57"/>
    <w:rsid w:val="00395CF6"/>
    <w:rsid w:val="00396A79"/>
    <w:rsid w:val="00397625"/>
    <w:rsid w:val="003A0077"/>
    <w:rsid w:val="003A010D"/>
    <w:rsid w:val="003A08C5"/>
    <w:rsid w:val="003A65F7"/>
    <w:rsid w:val="003B05C7"/>
    <w:rsid w:val="003B3B81"/>
    <w:rsid w:val="003C15C7"/>
    <w:rsid w:val="003C1DE9"/>
    <w:rsid w:val="003C3B0A"/>
    <w:rsid w:val="003C3E98"/>
    <w:rsid w:val="003C7AAF"/>
    <w:rsid w:val="003D03EE"/>
    <w:rsid w:val="003D4FF1"/>
    <w:rsid w:val="003D5119"/>
    <w:rsid w:val="003D6A0E"/>
    <w:rsid w:val="003E30AB"/>
    <w:rsid w:val="003E650A"/>
    <w:rsid w:val="003E7A3B"/>
    <w:rsid w:val="003F09BE"/>
    <w:rsid w:val="003F280D"/>
    <w:rsid w:val="003F4009"/>
    <w:rsid w:val="003F4F50"/>
    <w:rsid w:val="003F6EAE"/>
    <w:rsid w:val="003F74DA"/>
    <w:rsid w:val="003F7538"/>
    <w:rsid w:val="004051B3"/>
    <w:rsid w:val="00406F68"/>
    <w:rsid w:val="004075B6"/>
    <w:rsid w:val="00407D0C"/>
    <w:rsid w:val="00410BF0"/>
    <w:rsid w:val="00412901"/>
    <w:rsid w:val="00413A21"/>
    <w:rsid w:val="00413B6D"/>
    <w:rsid w:val="00416AA6"/>
    <w:rsid w:val="00420326"/>
    <w:rsid w:val="00420952"/>
    <w:rsid w:val="0042101C"/>
    <w:rsid w:val="00421AD0"/>
    <w:rsid w:val="00422109"/>
    <w:rsid w:val="00422895"/>
    <w:rsid w:val="004249E1"/>
    <w:rsid w:val="0042574D"/>
    <w:rsid w:val="00430791"/>
    <w:rsid w:val="004312F1"/>
    <w:rsid w:val="00433318"/>
    <w:rsid w:val="004333AE"/>
    <w:rsid w:val="00433EFF"/>
    <w:rsid w:val="00443081"/>
    <w:rsid w:val="00446BEE"/>
    <w:rsid w:val="00447058"/>
    <w:rsid w:val="00447236"/>
    <w:rsid w:val="00450DDE"/>
    <w:rsid w:val="00451133"/>
    <w:rsid w:val="00451E26"/>
    <w:rsid w:val="0045211E"/>
    <w:rsid w:val="00453A15"/>
    <w:rsid w:val="00453FCC"/>
    <w:rsid w:val="00454DA6"/>
    <w:rsid w:val="00460B06"/>
    <w:rsid w:val="00466CF3"/>
    <w:rsid w:val="00472E5D"/>
    <w:rsid w:val="00474B42"/>
    <w:rsid w:val="00481591"/>
    <w:rsid w:val="00482EF3"/>
    <w:rsid w:val="0048317C"/>
    <w:rsid w:val="0048608B"/>
    <w:rsid w:val="00486634"/>
    <w:rsid w:val="00486A0C"/>
    <w:rsid w:val="004874F3"/>
    <w:rsid w:val="004948F2"/>
    <w:rsid w:val="004957A2"/>
    <w:rsid w:val="00497425"/>
    <w:rsid w:val="004A0041"/>
    <w:rsid w:val="004A1E7C"/>
    <w:rsid w:val="004C0A43"/>
    <w:rsid w:val="004C1ECB"/>
    <w:rsid w:val="004C5A80"/>
    <w:rsid w:val="004C7498"/>
    <w:rsid w:val="004D0952"/>
    <w:rsid w:val="004D0CE2"/>
    <w:rsid w:val="004D1B7D"/>
    <w:rsid w:val="004D56C5"/>
    <w:rsid w:val="004D5EDB"/>
    <w:rsid w:val="004E04F2"/>
    <w:rsid w:val="004E0B1B"/>
    <w:rsid w:val="004E13F9"/>
    <w:rsid w:val="004E25C7"/>
    <w:rsid w:val="004E3358"/>
    <w:rsid w:val="004E33F0"/>
    <w:rsid w:val="004E4586"/>
    <w:rsid w:val="004E579F"/>
    <w:rsid w:val="004F5C74"/>
    <w:rsid w:val="005025A1"/>
    <w:rsid w:val="00502D36"/>
    <w:rsid w:val="00502E47"/>
    <w:rsid w:val="005049FA"/>
    <w:rsid w:val="0050675B"/>
    <w:rsid w:val="005070D1"/>
    <w:rsid w:val="00510006"/>
    <w:rsid w:val="005133DD"/>
    <w:rsid w:val="00513A10"/>
    <w:rsid w:val="00515B94"/>
    <w:rsid w:val="005165D0"/>
    <w:rsid w:val="00516E2E"/>
    <w:rsid w:val="005222F8"/>
    <w:rsid w:val="005223D6"/>
    <w:rsid w:val="005243AA"/>
    <w:rsid w:val="0052486C"/>
    <w:rsid w:val="005313FB"/>
    <w:rsid w:val="005316E3"/>
    <w:rsid w:val="005331B9"/>
    <w:rsid w:val="005340EE"/>
    <w:rsid w:val="00534713"/>
    <w:rsid w:val="00535EEE"/>
    <w:rsid w:val="0053660D"/>
    <w:rsid w:val="0053680E"/>
    <w:rsid w:val="00537554"/>
    <w:rsid w:val="00541CF3"/>
    <w:rsid w:val="005424A6"/>
    <w:rsid w:val="00544490"/>
    <w:rsid w:val="005456D9"/>
    <w:rsid w:val="00550201"/>
    <w:rsid w:val="005509D6"/>
    <w:rsid w:val="00551518"/>
    <w:rsid w:val="0055171A"/>
    <w:rsid w:val="00562E35"/>
    <w:rsid w:val="005640F6"/>
    <w:rsid w:val="0056677C"/>
    <w:rsid w:val="005667A4"/>
    <w:rsid w:val="00570494"/>
    <w:rsid w:val="0057339A"/>
    <w:rsid w:val="00576330"/>
    <w:rsid w:val="00585FFE"/>
    <w:rsid w:val="00586E8A"/>
    <w:rsid w:val="00591766"/>
    <w:rsid w:val="00593134"/>
    <w:rsid w:val="00595E71"/>
    <w:rsid w:val="005A2389"/>
    <w:rsid w:val="005A4151"/>
    <w:rsid w:val="005A5D38"/>
    <w:rsid w:val="005A6DD2"/>
    <w:rsid w:val="005A7D55"/>
    <w:rsid w:val="005B1A47"/>
    <w:rsid w:val="005B1BF8"/>
    <w:rsid w:val="005B700C"/>
    <w:rsid w:val="005C06D2"/>
    <w:rsid w:val="005C3E8B"/>
    <w:rsid w:val="005C5307"/>
    <w:rsid w:val="005C7663"/>
    <w:rsid w:val="005C7BF6"/>
    <w:rsid w:val="005D147B"/>
    <w:rsid w:val="005D1841"/>
    <w:rsid w:val="005D2B77"/>
    <w:rsid w:val="005D48E9"/>
    <w:rsid w:val="005D4BEA"/>
    <w:rsid w:val="005D56CE"/>
    <w:rsid w:val="005D67FD"/>
    <w:rsid w:val="005D740B"/>
    <w:rsid w:val="005D7A9E"/>
    <w:rsid w:val="005E045D"/>
    <w:rsid w:val="005E068D"/>
    <w:rsid w:val="005E272D"/>
    <w:rsid w:val="005E3114"/>
    <w:rsid w:val="005E33F7"/>
    <w:rsid w:val="005E3DD4"/>
    <w:rsid w:val="005E5803"/>
    <w:rsid w:val="005F14B5"/>
    <w:rsid w:val="005F28BE"/>
    <w:rsid w:val="005F4B93"/>
    <w:rsid w:val="005F5FB9"/>
    <w:rsid w:val="005F7738"/>
    <w:rsid w:val="00605097"/>
    <w:rsid w:val="006060CC"/>
    <w:rsid w:val="00614200"/>
    <w:rsid w:val="00615B44"/>
    <w:rsid w:val="00620721"/>
    <w:rsid w:val="006210D3"/>
    <w:rsid w:val="00621355"/>
    <w:rsid w:val="006218D9"/>
    <w:rsid w:val="00621B2D"/>
    <w:rsid w:val="0062386B"/>
    <w:rsid w:val="006243B8"/>
    <w:rsid w:val="006248D8"/>
    <w:rsid w:val="0062513E"/>
    <w:rsid w:val="00627DDA"/>
    <w:rsid w:val="006320D4"/>
    <w:rsid w:val="00635C91"/>
    <w:rsid w:val="00636759"/>
    <w:rsid w:val="0064116E"/>
    <w:rsid w:val="0064134F"/>
    <w:rsid w:val="0064518F"/>
    <w:rsid w:val="006461FE"/>
    <w:rsid w:val="00647E28"/>
    <w:rsid w:val="00651308"/>
    <w:rsid w:val="0065193B"/>
    <w:rsid w:val="006544A3"/>
    <w:rsid w:val="006630EA"/>
    <w:rsid w:val="006641B7"/>
    <w:rsid w:val="0066517A"/>
    <w:rsid w:val="00666CA3"/>
    <w:rsid w:val="00667191"/>
    <w:rsid w:val="0066741D"/>
    <w:rsid w:val="0067036D"/>
    <w:rsid w:val="00670E51"/>
    <w:rsid w:val="00671A46"/>
    <w:rsid w:val="00673B53"/>
    <w:rsid w:val="00673CB2"/>
    <w:rsid w:val="00674AEA"/>
    <w:rsid w:val="006766ED"/>
    <w:rsid w:val="00677A91"/>
    <w:rsid w:val="00680F6A"/>
    <w:rsid w:val="0068254E"/>
    <w:rsid w:val="006921E1"/>
    <w:rsid w:val="006928D5"/>
    <w:rsid w:val="006931A3"/>
    <w:rsid w:val="006944ED"/>
    <w:rsid w:val="00694525"/>
    <w:rsid w:val="00694918"/>
    <w:rsid w:val="006949BF"/>
    <w:rsid w:val="006A021A"/>
    <w:rsid w:val="006A242A"/>
    <w:rsid w:val="006A309E"/>
    <w:rsid w:val="006A546A"/>
    <w:rsid w:val="006A69ED"/>
    <w:rsid w:val="006B0239"/>
    <w:rsid w:val="006B0855"/>
    <w:rsid w:val="006B202A"/>
    <w:rsid w:val="006B25CB"/>
    <w:rsid w:val="006B3487"/>
    <w:rsid w:val="006C1200"/>
    <w:rsid w:val="006D0362"/>
    <w:rsid w:val="006D70ED"/>
    <w:rsid w:val="006E2970"/>
    <w:rsid w:val="006E4FCD"/>
    <w:rsid w:val="006E510A"/>
    <w:rsid w:val="006E5F32"/>
    <w:rsid w:val="006E7763"/>
    <w:rsid w:val="006F0C31"/>
    <w:rsid w:val="006F19CE"/>
    <w:rsid w:val="006F37C8"/>
    <w:rsid w:val="006F4B25"/>
    <w:rsid w:val="006F50EA"/>
    <w:rsid w:val="006F5291"/>
    <w:rsid w:val="006F5E5D"/>
    <w:rsid w:val="006F6496"/>
    <w:rsid w:val="006F7681"/>
    <w:rsid w:val="007028B0"/>
    <w:rsid w:val="00702B7E"/>
    <w:rsid w:val="0070537F"/>
    <w:rsid w:val="007055EA"/>
    <w:rsid w:val="00711675"/>
    <w:rsid w:val="007126D3"/>
    <w:rsid w:val="00712E9A"/>
    <w:rsid w:val="007148C4"/>
    <w:rsid w:val="007230BA"/>
    <w:rsid w:val="00727692"/>
    <w:rsid w:val="0073266D"/>
    <w:rsid w:val="00733590"/>
    <w:rsid w:val="00733CB1"/>
    <w:rsid w:val="00735089"/>
    <w:rsid w:val="00736348"/>
    <w:rsid w:val="0073697C"/>
    <w:rsid w:val="007433C5"/>
    <w:rsid w:val="00744DB7"/>
    <w:rsid w:val="00747CAD"/>
    <w:rsid w:val="00750457"/>
    <w:rsid w:val="00750D21"/>
    <w:rsid w:val="0075686E"/>
    <w:rsid w:val="00756F51"/>
    <w:rsid w:val="0075772E"/>
    <w:rsid w:val="00757C9D"/>
    <w:rsid w:val="00757EE8"/>
    <w:rsid w:val="00760908"/>
    <w:rsid w:val="00761BAE"/>
    <w:rsid w:val="00761DFB"/>
    <w:rsid w:val="007703B3"/>
    <w:rsid w:val="00770818"/>
    <w:rsid w:val="00775419"/>
    <w:rsid w:val="00780224"/>
    <w:rsid w:val="007828A5"/>
    <w:rsid w:val="00782B9C"/>
    <w:rsid w:val="0078447B"/>
    <w:rsid w:val="0078563E"/>
    <w:rsid w:val="00787958"/>
    <w:rsid w:val="007A114F"/>
    <w:rsid w:val="007A1877"/>
    <w:rsid w:val="007A4157"/>
    <w:rsid w:val="007A44D6"/>
    <w:rsid w:val="007A611A"/>
    <w:rsid w:val="007B2281"/>
    <w:rsid w:val="007B6C26"/>
    <w:rsid w:val="007C37A9"/>
    <w:rsid w:val="007C3E90"/>
    <w:rsid w:val="007C40A1"/>
    <w:rsid w:val="007C41E1"/>
    <w:rsid w:val="007C5EC1"/>
    <w:rsid w:val="007C5F47"/>
    <w:rsid w:val="007C728B"/>
    <w:rsid w:val="007D04FD"/>
    <w:rsid w:val="007D0E31"/>
    <w:rsid w:val="007D0E8D"/>
    <w:rsid w:val="007D1EE7"/>
    <w:rsid w:val="007D3D2F"/>
    <w:rsid w:val="007D73AA"/>
    <w:rsid w:val="007E0493"/>
    <w:rsid w:val="007E0EB1"/>
    <w:rsid w:val="007E3B7D"/>
    <w:rsid w:val="007E632E"/>
    <w:rsid w:val="007E7674"/>
    <w:rsid w:val="007F0B5E"/>
    <w:rsid w:val="007F238D"/>
    <w:rsid w:val="007F7266"/>
    <w:rsid w:val="008022B3"/>
    <w:rsid w:val="0080359E"/>
    <w:rsid w:val="008036A2"/>
    <w:rsid w:val="00803903"/>
    <w:rsid w:val="00803C1C"/>
    <w:rsid w:val="0080636B"/>
    <w:rsid w:val="008076E9"/>
    <w:rsid w:val="00807F16"/>
    <w:rsid w:val="00810E51"/>
    <w:rsid w:val="00813423"/>
    <w:rsid w:val="00815F19"/>
    <w:rsid w:val="00816246"/>
    <w:rsid w:val="0082314F"/>
    <w:rsid w:val="008231A7"/>
    <w:rsid w:val="00823A51"/>
    <w:rsid w:val="0082475F"/>
    <w:rsid w:val="0082511C"/>
    <w:rsid w:val="00830953"/>
    <w:rsid w:val="00832032"/>
    <w:rsid w:val="008342B0"/>
    <w:rsid w:val="00835152"/>
    <w:rsid w:val="00837CD9"/>
    <w:rsid w:val="00840E51"/>
    <w:rsid w:val="00843091"/>
    <w:rsid w:val="008433A7"/>
    <w:rsid w:val="0085227A"/>
    <w:rsid w:val="00854AE3"/>
    <w:rsid w:val="00856C8A"/>
    <w:rsid w:val="00861357"/>
    <w:rsid w:val="00861B92"/>
    <w:rsid w:val="00861E78"/>
    <w:rsid w:val="00867A59"/>
    <w:rsid w:val="0087236F"/>
    <w:rsid w:val="008734CC"/>
    <w:rsid w:val="008801F4"/>
    <w:rsid w:val="00880FE0"/>
    <w:rsid w:val="008814FB"/>
    <w:rsid w:val="00884392"/>
    <w:rsid w:val="008843D7"/>
    <w:rsid w:val="00887B4E"/>
    <w:rsid w:val="00895C24"/>
    <w:rsid w:val="008A08A2"/>
    <w:rsid w:val="008A6492"/>
    <w:rsid w:val="008A7F87"/>
    <w:rsid w:val="008B19DF"/>
    <w:rsid w:val="008B3C84"/>
    <w:rsid w:val="008B5091"/>
    <w:rsid w:val="008C0597"/>
    <w:rsid w:val="008C585C"/>
    <w:rsid w:val="008C5B58"/>
    <w:rsid w:val="008C5E9C"/>
    <w:rsid w:val="008C757D"/>
    <w:rsid w:val="008D1D52"/>
    <w:rsid w:val="008D1F91"/>
    <w:rsid w:val="008D40CD"/>
    <w:rsid w:val="008D5C98"/>
    <w:rsid w:val="008E1741"/>
    <w:rsid w:val="008E6DD0"/>
    <w:rsid w:val="008F19F0"/>
    <w:rsid w:val="008F1D5A"/>
    <w:rsid w:val="008F2F94"/>
    <w:rsid w:val="008F4CA8"/>
    <w:rsid w:val="008F5E30"/>
    <w:rsid w:val="009000EF"/>
    <w:rsid w:val="00901998"/>
    <w:rsid w:val="00901F9C"/>
    <w:rsid w:val="009044E1"/>
    <w:rsid w:val="00905479"/>
    <w:rsid w:val="009132A7"/>
    <w:rsid w:val="00914D7F"/>
    <w:rsid w:val="00915AE6"/>
    <w:rsid w:val="009170E3"/>
    <w:rsid w:val="009215F2"/>
    <w:rsid w:val="00925609"/>
    <w:rsid w:val="009322F0"/>
    <w:rsid w:val="00932D54"/>
    <w:rsid w:val="00933BA4"/>
    <w:rsid w:val="009447C5"/>
    <w:rsid w:val="00944BD2"/>
    <w:rsid w:val="009460D8"/>
    <w:rsid w:val="0094728C"/>
    <w:rsid w:val="00950EE2"/>
    <w:rsid w:val="00951620"/>
    <w:rsid w:val="00952177"/>
    <w:rsid w:val="00954608"/>
    <w:rsid w:val="009605DF"/>
    <w:rsid w:val="00961079"/>
    <w:rsid w:val="0096171A"/>
    <w:rsid w:val="009623B5"/>
    <w:rsid w:val="009648D8"/>
    <w:rsid w:val="00964DF6"/>
    <w:rsid w:val="00965244"/>
    <w:rsid w:val="00965AEE"/>
    <w:rsid w:val="00967AE0"/>
    <w:rsid w:val="009701AE"/>
    <w:rsid w:val="00971385"/>
    <w:rsid w:val="00972056"/>
    <w:rsid w:val="00972BD3"/>
    <w:rsid w:val="00974B04"/>
    <w:rsid w:val="00975299"/>
    <w:rsid w:val="009836BF"/>
    <w:rsid w:val="00983DAF"/>
    <w:rsid w:val="0098723D"/>
    <w:rsid w:val="00993860"/>
    <w:rsid w:val="00994311"/>
    <w:rsid w:val="00997792"/>
    <w:rsid w:val="009A070B"/>
    <w:rsid w:val="009A2431"/>
    <w:rsid w:val="009B06BC"/>
    <w:rsid w:val="009B0F82"/>
    <w:rsid w:val="009B6547"/>
    <w:rsid w:val="009B7B99"/>
    <w:rsid w:val="009C033C"/>
    <w:rsid w:val="009C60B5"/>
    <w:rsid w:val="009C6894"/>
    <w:rsid w:val="009C748C"/>
    <w:rsid w:val="009C7677"/>
    <w:rsid w:val="009C7F08"/>
    <w:rsid w:val="009D0C73"/>
    <w:rsid w:val="009D493F"/>
    <w:rsid w:val="009D585B"/>
    <w:rsid w:val="009D77DF"/>
    <w:rsid w:val="009E32C7"/>
    <w:rsid w:val="009E36E9"/>
    <w:rsid w:val="009E545F"/>
    <w:rsid w:val="009E6439"/>
    <w:rsid w:val="009E680B"/>
    <w:rsid w:val="009F05BB"/>
    <w:rsid w:val="009F1B51"/>
    <w:rsid w:val="009F6413"/>
    <w:rsid w:val="00A00B99"/>
    <w:rsid w:val="00A025A9"/>
    <w:rsid w:val="00A02944"/>
    <w:rsid w:val="00A0673D"/>
    <w:rsid w:val="00A07B88"/>
    <w:rsid w:val="00A11A9F"/>
    <w:rsid w:val="00A15723"/>
    <w:rsid w:val="00A15A1F"/>
    <w:rsid w:val="00A24239"/>
    <w:rsid w:val="00A246B1"/>
    <w:rsid w:val="00A25095"/>
    <w:rsid w:val="00A26BF5"/>
    <w:rsid w:val="00A27309"/>
    <w:rsid w:val="00A3281B"/>
    <w:rsid w:val="00A32D00"/>
    <w:rsid w:val="00A331A8"/>
    <w:rsid w:val="00A3325A"/>
    <w:rsid w:val="00A35647"/>
    <w:rsid w:val="00A36CF4"/>
    <w:rsid w:val="00A410EC"/>
    <w:rsid w:val="00A43013"/>
    <w:rsid w:val="00A4326C"/>
    <w:rsid w:val="00A5044D"/>
    <w:rsid w:val="00A50587"/>
    <w:rsid w:val="00A52D07"/>
    <w:rsid w:val="00A53BC2"/>
    <w:rsid w:val="00A5793D"/>
    <w:rsid w:val="00A67E60"/>
    <w:rsid w:val="00A702A9"/>
    <w:rsid w:val="00A70368"/>
    <w:rsid w:val="00A70B33"/>
    <w:rsid w:val="00A71D8B"/>
    <w:rsid w:val="00A7373D"/>
    <w:rsid w:val="00A76BF6"/>
    <w:rsid w:val="00A776EB"/>
    <w:rsid w:val="00A82E2A"/>
    <w:rsid w:val="00A85EF2"/>
    <w:rsid w:val="00A919B2"/>
    <w:rsid w:val="00A92706"/>
    <w:rsid w:val="00AA31A4"/>
    <w:rsid w:val="00AA3C58"/>
    <w:rsid w:val="00AA4969"/>
    <w:rsid w:val="00AA4A17"/>
    <w:rsid w:val="00AB03D5"/>
    <w:rsid w:val="00AB07B2"/>
    <w:rsid w:val="00AB1723"/>
    <w:rsid w:val="00AB17E9"/>
    <w:rsid w:val="00AB1B0F"/>
    <w:rsid w:val="00AB476A"/>
    <w:rsid w:val="00AB551B"/>
    <w:rsid w:val="00AB7AC7"/>
    <w:rsid w:val="00AB7C2D"/>
    <w:rsid w:val="00AC6A2B"/>
    <w:rsid w:val="00AC7299"/>
    <w:rsid w:val="00AC7B73"/>
    <w:rsid w:val="00AC7C93"/>
    <w:rsid w:val="00AC7FDF"/>
    <w:rsid w:val="00AD0891"/>
    <w:rsid w:val="00AD0A6B"/>
    <w:rsid w:val="00AD1005"/>
    <w:rsid w:val="00AD2311"/>
    <w:rsid w:val="00AD3698"/>
    <w:rsid w:val="00AD4093"/>
    <w:rsid w:val="00AD55C3"/>
    <w:rsid w:val="00AD6267"/>
    <w:rsid w:val="00AE1EF2"/>
    <w:rsid w:val="00AE205D"/>
    <w:rsid w:val="00AE36D0"/>
    <w:rsid w:val="00AF108A"/>
    <w:rsid w:val="00AF1BE5"/>
    <w:rsid w:val="00AF7399"/>
    <w:rsid w:val="00AF7B61"/>
    <w:rsid w:val="00AF7D51"/>
    <w:rsid w:val="00B014E3"/>
    <w:rsid w:val="00B025EB"/>
    <w:rsid w:val="00B02E55"/>
    <w:rsid w:val="00B036C1"/>
    <w:rsid w:val="00B03C58"/>
    <w:rsid w:val="00B03DBB"/>
    <w:rsid w:val="00B0537F"/>
    <w:rsid w:val="00B06BE9"/>
    <w:rsid w:val="00B100BD"/>
    <w:rsid w:val="00B13653"/>
    <w:rsid w:val="00B14AA1"/>
    <w:rsid w:val="00B14DF7"/>
    <w:rsid w:val="00B14E63"/>
    <w:rsid w:val="00B15318"/>
    <w:rsid w:val="00B15C5F"/>
    <w:rsid w:val="00B15DCA"/>
    <w:rsid w:val="00B17503"/>
    <w:rsid w:val="00B213DC"/>
    <w:rsid w:val="00B22CD4"/>
    <w:rsid w:val="00B2402A"/>
    <w:rsid w:val="00B24C34"/>
    <w:rsid w:val="00B26D64"/>
    <w:rsid w:val="00B26DD5"/>
    <w:rsid w:val="00B30D34"/>
    <w:rsid w:val="00B313F8"/>
    <w:rsid w:val="00B32FA2"/>
    <w:rsid w:val="00B50444"/>
    <w:rsid w:val="00B52163"/>
    <w:rsid w:val="00B5431F"/>
    <w:rsid w:val="00B55E63"/>
    <w:rsid w:val="00B56A8E"/>
    <w:rsid w:val="00B63082"/>
    <w:rsid w:val="00B63993"/>
    <w:rsid w:val="00B6728A"/>
    <w:rsid w:val="00B67688"/>
    <w:rsid w:val="00B736F4"/>
    <w:rsid w:val="00B742D9"/>
    <w:rsid w:val="00B750DF"/>
    <w:rsid w:val="00B75B42"/>
    <w:rsid w:val="00B75F8C"/>
    <w:rsid w:val="00B77255"/>
    <w:rsid w:val="00B807B9"/>
    <w:rsid w:val="00B818CD"/>
    <w:rsid w:val="00B850E4"/>
    <w:rsid w:val="00B9082E"/>
    <w:rsid w:val="00B91C46"/>
    <w:rsid w:val="00B92895"/>
    <w:rsid w:val="00B92DB8"/>
    <w:rsid w:val="00B93D48"/>
    <w:rsid w:val="00B94D73"/>
    <w:rsid w:val="00B95D9B"/>
    <w:rsid w:val="00BA1056"/>
    <w:rsid w:val="00BA2251"/>
    <w:rsid w:val="00BA2ED7"/>
    <w:rsid w:val="00BA3243"/>
    <w:rsid w:val="00BA4546"/>
    <w:rsid w:val="00BA5BBB"/>
    <w:rsid w:val="00BB18D3"/>
    <w:rsid w:val="00BB1D6D"/>
    <w:rsid w:val="00BB30A5"/>
    <w:rsid w:val="00BB3A5A"/>
    <w:rsid w:val="00BB62D5"/>
    <w:rsid w:val="00BC0BE5"/>
    <w:rsid w:val="00BC153A"/>
    <w:rsid w:val="00BC186C"/>
    <w:rsid w:val="00BC4028"/>
    <w:rsid w:val="00BD2E05"/>
    <w:rsid w:val="00BD3121"/>
    <w:rsid w:val="00BD5661"/>
    <w:rsid w:val="00BD599B"/>
    <w:rsid w:val="00BD5DED"/>
    <w:rsid w:val="00BD63F3"/>
    <w:rsid w:val="00BE00B9"/>
    <w:rsid w:val="00BE22D9"/>
    <w:rsid w:val="00BE4A0B"/>
    <w:rsid w:val="00BE596F"/>
    <w:rsid w:val="00BF1564"/>
    <w:rsid w:val="00BF1C2F"/>
    <w:rsid w:val="00BF36A0"/>
    <w:rsid w:val="00BF5BF6"/>
    <w:rsid w:val="00BF6594"/>
    <w:rsid w:val="00BF6A2F"/>
    <w:rsid w:val="00BF7FE0"/>
    <w:rsid w:val="00C0033F"/>
    <w:rsid w:val="00C03400"/>
    <w:rsid w:val="00C04380"/>
    <w:rsid w:val="00C04B6F"/>
    <w:rsid w:val="00C04C54"/>
    <w:rsid w:val="00C10894"/>
    <w:rsid w:val="00C13F45"/>
    <w:rsid w:val="00C14A9D"/>
    <w:rsid w:val="00C14F15"/>
    <w:rsid w:val="00C16471"/>
    <w:rsid w:val="00C20BC6"/>
    <w:rsid w:val="00C22C9A"/>
    <w:rsid w:val="00C242A1"/>
    <w:rsid w:val="00C249B9"/>
    <w:rsid w:val="00C266CC"/>
    <w:rsid w:val="00C30015"/>
    <w:rsid w:val="00C32F16"/>
    <w:rsid w:val="00C35EC0"/>
    <w:rsid w:val="00C372E6"/>
    <w:rsid w:val="00C379E7"/>
    <w:rsid w:val="00C40A81"/>
    <w:rsid w:val="00C42F39"/>
    <w:rsid w:val="00C43618"/>
    <w:rsid w:val="00C43C2D"/>
    <w:rsid w:val="00C46D8E"/>
    <w:rsid w:val="00C50746"/>
    <w:rsid w:val="00C537F0"/>
    <w:rsid w:val="00C578B4"/>
    <w:rsid w:val="00C61DB4"/>
    <w:rsid w:val="00C622A1"/>
    <w:rsid w:val="00C652E4"/>
    <w:rsid w:val="00C65CB9"/>
    <w:rsid w:val="00C67DD8"/>
    <w:rsid w:val="00C70B5E"/>
    <w:rsid w:val="00C72429"/>
    <w:rsid w:val="00C7721D"/>
    <w:rsid w:val="00C81104"/>
    <w:rsid w:val="00C82222"/>
    <w:rsid w:val="00C82D91"/>
    <w:rsid w:val="00C84125"/>
    <w:rsid w:val="00C843C9"/>
    <w:rsid w:val="00C84ACF"/>
    <w:rsid w:val="00C86044"/>
    <w:rsid w:val="00C87D66"/>
    <w:rsid w:val="00C90DD9"/>
    <w:rsid w:val="00C943A9"/>
    <w:rsid w:val="00C9536F"/>
    <w:rsid w:val="00C96411"/>
    <w:rsid w:val="00C97756"/>
    <w:rsid w:val="00C97841"/>
    <w:rsid w:val="00CA1918"/>
    <w:rsid w:val="00CA1D9B"/>
    <w:rsid w:val="00CA20EB"/>
    <w:rsid w:val="00CB0497"/>
    <w:rsid w:val="00CB0E35"/>
    <w:rsid w:val="00CB1435"/>
    <w:rsid w:val="00CB3858"/>
    <w:rsid w:val="00CB3B42"/>
    <w:rsid w:val="00CB42F9"/>
    <w:rsid w:val="00CB5671"/>
    <w:rsid w:val="00CC0123"/>
    <w:rsid w:val="00CC1DDA"/>
    <w:rsid w:val="00CC3ACC"/>
    <w:rsid w:val="00CC3F1D"/>
    <w:rsid w:val="00CC3FD6"/>
    <w:rsid w:val="00CC6D55"/>
    <w:rsid w:val="00CD2896"/>
    <w:rsid w:val="00CD39B6"/>
    <w:rsid w:val="00CD4EB8"/>
    <w:rsid w:val="00CD6C61"/>
    <w:rsid w:val="00CD6FA6"/>
    <w:rsid w:val="00CD71F8"/>
    <w:rsid w:val="00CD77E9"/>
    <w:rsid w:val="00CE08A1"/>
    <w:rsid w:val="00CE1CFF"/>
    <w:rsid w:val="00CE2EE9"/>
    <w:rsid w:val="00CE6CCE"/>
    <w:rsid w:val="00CE6FC2"/>
    <w:rsid w:val="00CF1191"/>
    <w:rsid w:val="00CF58B7"/>
    <w:rsid w:val="00CF7F7A"/>
    <w:rsid w:val="00D01580"/>
    <w:rsid w:val="00D0460E"/>
    <w:rsid w:val="00D05B58"/>
    <w:rsid w:val="00D10B71"/>
    <w:rsid w:val="00D12317"/>
    <w:rsid w:val="00D131D5"/>
    <w:rsid w:val="00D13423"/>
    <w:rsid w:val="00D13DE1"/>
    <w:rsid w:val="00D14044"/>
    <w:rsid w:val="00D14C01"/>
    <w:rsid w:val="00D14D16"/>
    <w:rsid w:val="00D153BF"/>
    <w:rsid w:val="00D20EB1"/>
    <w:rsid w:val="00D21CB2"/>
    <w:rsid w:val="00D2292A"/>
    <w:rsid w:val="00D2468C"/>
    <w:rsid w:val="00D26ACF"/>
    <w:rsid w:val="00D27A84"/>
    <w:rsid w:val="00D27D6D"/>
    <w:rsid w:val="00D30D6E"/>
    <w:rsid w:val="00D31B4B"/>
    <w:rsid w:val="00D31EEC"/>
    <w:rsid w:val="00D33C60"/>
    <w:rsid w:val="00D33D31"/>
    <w:rsid w:val="00D34A24"/>
    <w:rsid w:val="00D351C1"/>
    <w:rsid w:val="00D35EFB"/>
    <w:rsid w:val="00D37222"/>
    <w:rsid w:val="00D37E8D"/>
    <w:rsid w:val="00D40D4C"/>
    <w:rsid w:val="00D422F8"/>
    <w:rsid w:val="00D428B7"/>
    <w:rsid w:val="00D46394"/>
    <w:rsid w:val="00D504B3"/>
    <w:rsid w:val="00D543CB"/>
    <w:rsid w:val="00D56A65"/>
    <w:rsid w:val="00D56C48"/>
    <w:rsid w:val="00D613AC"/>
    <w:rsid w:val="00D62C1C"/>
    <w:rsid w:val="00D650DF"/>
    <w:rsid w:val="00D653FA"/>
    <w:rsid w:val="00D679B3"/>
    <w:rsid w:val="00D72ECA"/>
    <w:rsid w:val="00D73090"/>
    <w:rsid w:val="00D732FC"/>
    <w:rsid w:val="00D73676"/>
    <w:rsid w:val="00D746FE"/>
    <w:rsid w:val="00D7564C"/>
    <w:rsid w:val="00D8277C"/>
    <w:rsid w:val="00D84873"/>
    <w:rsid w:val="00D86BF0"/>
    <w:rsid w:val="00D87EDC"/>
    <w:rsid w:val="00D927F6"/>
    <w:rsid w:val="00D93469"/>
    <w:rsid w:val="00D93623"/>
    <w:rsid w:val="00D93B85"/>
    <w:rsid w:val="00D97EA1"/>
    <w:rsid w:val="00DA0765"/>
    <w:rsid w:val="00DA0BCC"/>
    <w:rsid w:val="00DA12C2"/>
    <w:rsid w:val="00DA13AC"/>
    <w:rsid w:val="00DA1A98"/>
    <w:rsid w:val="00DA46AF"/>
    <w:rsid w:val="00DA67D8"/>
    <w:rsid w:val="00DA7D74"/>
    <w:rsid w:val="00DB0C68"/>
    <w:rsid w:val="00DB1FFE"/>
    <w:rsid w:val="00DD1E97"/>
    <w:rsid w:val="00DD3C48"/>
    <w:rsid w:val="00DD7AFC"/>
    <w:rsid w:val="00DE1EEC"/>
    <w:rsid w:val="00DE22F7"/>
    <w:rsid w:val="00DE2E6B"/>
    <w:rsid w:val="00DE3C33"/>
    <w:rsid w:val="00DE50A9"/>
    <w:rsid w:val="00DE59B5"/>
    <w:rsid w:val="00DF198B"/>
    <w:rsid w:val="00DF1C24"/>
    <w:rsid w:val="00DF46C0"/>
    <w:rsid w:val="00E027F5"/>
    <w:rsid w:val="00E0450A"/>
    <w:rsid w:val="00E069B5"/>
    <w:rsid w:val="00E07998"/>
    <w:rsid w:val="00E1272E"/>
    <w:rsid w:val="00E13AF5"/>
    <w:rsid w:val="00E17DE3"/>
    <w:rsid w:val="00E21AA7"/>
    <w:rsid w:val="00E222D4"/>
    <w:rsid w:val="00E229E0"/>
    <w:rsid w:val="00E30F37"/>
    <w:rsid w:val="00E3419E"/>
    <w:rsid w:val="00E36ACC"/>
    <w:rsid w:val="00E37AAC"/>
    <w:rsid w:val="00E40FDC"/>
    <w:rsid w:val="00E4189A"/>
    <w:rsid w:val="00E41AFF"/>
    <w:rsid w:val="00E42A4F"/>
    <w:rsid w:val="00E444D5"/>
    <w:rsid w:val="00E46F4F"/>
    <w:rsid w:val="00E5053F"/>
    <w:rsid w:val="00E51920"/>
    <w:rsid w:val="00E52DE1"/>
    <w:rsid w:val="00E5308E"/>
    <w:rsid w:val="00E532AE"/>
    <w:rsid w:val="00E55889"/>
    <w:rsid w:val="00E566C7"/>
    <w:rsid w:val="00E635DD"/>
    <w:rsid w:val="00E64120"/>
    <w:rsid w:val="00E660A1"/>
    <w:rsid w:val="00E66195"/>
    <w:rsid w:val="00E70E9A"/>
    <w:rsid w:val="00E724EC"/>
    <w:rsid w:val="00E818D7"/>
    <w:rsid w:val="00E84EE4"/>
    <w:rsid w:val="00E86240"/>
    <w:rsid w:val="00E86E74"/>
    <w:rsid w:val="00E90451"/>
    <w:rsid w:val="00E931F3"/>
    <w:rsid w:val="00E96631"/>
    <w:rsid w:val="00E97263"/>
    <w:rsid w:val="00E972D1"/>
    <w:rsid w:val="00EA07AF"/>
    <w:rsid w:val="00EA3908"/>
    <w:rsid w:val="00EA3CCF"/>
    <w:rsid w:val="00EA4B3A"/>
    <w:rsid w:val="00EA5934"/>
    <w:rsid w:val="00EA59F9"/>
    <w:rsid w:val="00EA5BD0"/>
    <w:rsid w:val="00EA7617"/>
    <w:rsid w:val="00EB0B04"/>
    <w:rsid w:val="00EB17A4"/>
    <w:rsid w:val="00EB32A0"/>
    <w:rsid w:val="00EB4DCF"/>
    <w:rsid w:val="00EB653E"/>
    <w:rsid w:val="00EB7CAE"/>
    <w:rsid w:val="00EC399D"/>
    <w:rsid w:val="00EC39DD"/>
    <w:rsid w:val="00EC53A7"/>
    <w:rsid w:val="00ED2696"/>
    <w:rsid w:val="00ED2B09"/>
    <w:rsid w:val="00ED774C"/>
    <w:rsid w:val="00EE0B0F"/>
    <w:rsid w:val="00EE719C"/>
    <w:rsid w:val="00EF0088"/>
    <w:rsid w:val="00EF1567"/>
    <w:rsid w:val="00EF1597"/>
    <w:rsid w:val="00EF22E6"/>
    <w:rsid w:val="00EF4B90"/>
    <w:rsid w:val="00EF5126"/>
    <w:rsid w:val="00EF6A07"/>
    <w:rsid w:val="00F009F4"/>
    <w:rsid w:val="00F00FFB"/>
    <w:rsid w:val="00F055F1"/>
    <w:rsid w:val="00F06675"/>
    <w:rsid w:val="00F07E97"/>
    <w:rsid w:val="00F100D1"/>
    <w:rsid w:val="00F11B13"/>
    <w:rsid w:val="00F11C4D"/>
    <w:rsid w:val="00F122FE"/>
    <w:rsid w:val="00F21331"/>
    <w:rsid w:val="00F228BD"/>
    <w:rsid w:val="00F22A09"/>
    <w:rsid w:val="00F2374A"/>
    <w:rsid w:val="00F2753D"/>
    <w:rsid w:val="00F401F8"/>
    <w:rsid w:val="00F40ADD"/>
    <w:rsid w:val="00F46ABC"/>
    <w:rsid w:val="00F46CB9"/>
    <w:rsid w:val="00F4791E"/>
    <w:rsid w:val="00F5029A"/>
    <w:rsid w:val="00F52B02"/>
    <w:rsid w:val="00F54523"/>
    <w:rsid w:val="00F55738"/>
    <w:rsid w:val="00F564CE"/>
    <w:rsid w:val="00F56D99"/>
    <w:rsid w:val="00F610AF"/>
    <w:rsid w:val="00F61E43"/>
    <w:rsid w:val="00F62A3E"/>
    <w:rsid w:val="00F64445"/>
    <w:rsid w:val="00F65230"/>
    <w:rsid w:val="00F70741"/>
    <w:rsid w:val="00F71C58"/>
    <w:rsid w:val="00F73C14"/>
    <w:rsid w:val="00F74BD0"/>
    <w:rsid w:val="00F75CEB"/>
    <w:rsid w:val="00F76FFA"/>
    <w:rsid w:val="00F801B1"/>
    <w:rsid w:val="00F80FF4"/>
    <w:rsid w:val="00F83988"/>
    <w:rsid w:val="00F843E3"/>
    <w:rsid w:val="00F8734C"/>
    <w:rsid w:val="00F90088"/>
    <w:rsid w:val="00F900F4"/>
    <w:rsid w:val="00F90FF8"/>
    <w:rsid w:val="00F94A3D"/>
    <w:rsid w:val="00F950D2"/>
    <w:rsid w:val="00F95115"/>
    <w:rsid w:val="00F96E99"/>
    <w:rsid w:val="00FA2C5A"/>
    <w:rsid w:val="00FA3587"/>
    <w:rsid w:val="00FA4BEB"/>
    <w:rsid w:val="00FA7E31"/>
    <w:rsid w:val="00FB01BE"/>
    <w:rsid w:val="00FB363A"/>
    <w:rsid w:val="00FB3F63"/>
    <w:rsid w:val="00FC00BD"/>
    <w:rsid w:val="00FC2D11"/>
    <w:rsid w:val="00FC6087"/>
    <w:rsid w:val="00FC6230"/>
    <w:rsid w:val="00FC678E"/>
    <w:rsid w:val="00FD37FE"/>
    <w:rsid w:val="00FD53D4"/>
    <w:rsid w:val="00FD6284"/>
    <w:rsid w:val="00FD63D9"/>
    <w:rsid w:val="00FE16C4"/>
    <w:rsid w:val="00FE3220"/>
    <w:rsid w:val="00FE3A12"/>
    <w:rsid w:val="00FE5052"/>
    <w:rsid w:val="00FE5200"/>
    <w:rsid w:val="00FE54E0"/>
    <w:rsid w:val="00FE57EC"/>
    <w:rsid w:val="00FE6538"/>
    <w:rsid w:val="00FE730F"/>
    <w:rsid w:val="00FE7396"/>
    <w:rsid w:val="00FF0BEC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0A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AC7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43C2D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43C2D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636759"/>
    <w:pPr>
      <w:tabs>
        <w:tab w:val="left" w:pos="8647"/>
        <w:tab w:val="right" w:leader="dot" w:pos="13948"/>
      </w:tabs>
      <w:spacing w:before="120" w:after="12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0241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A5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C72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E2"/>
  </w:style>
  <w:style w:type="paragraph" w:styleId="CommentSubject">
    <w:name w:val="annotation subject"/>
    <w:basedOn w:val="CommentText"/>
    <w:next w:val="CommentText"/>
    <w:link w:val="CommentSubjectChar"/>
    <w:semiHidden/>
    <w:rsid w:val="004D0CE2"/>
    <w:rPr>
      <w:b/>
      <w:bCs/>
    </w:rPr>
  </w:style>
  <w:style w:type="character" w:customStyle="1" w:styleId="CommentSubjectChar">
    <w:name w:val="Comment Subject Char"/>
    <w:link w:val="CommentSubject"/>
    <w:semiHidden/>
    <w:rsid w:val="004D0CE2"/>
    <w:rPr>
      <w:b/>
      <w:bCs/>
    </w:rPr>
  </w:style>
  <w:style w:type="character" w:styleId="Hyperlink">
    <w:name w:val="Hyperlink"/>
    <w:uiPriority w:val="99"/>
    <w:rsid w:val="00D87EDC"/>
    <w:rPr>
      <w:color w:val="0000FF"/>
      <w:u w:val="single"/>
    </w:rPr>
  </w:style>
  <w:style w:type="paragraph" w:styleId="Revision">
    <w:name w:val="Revision"/>
    <w:hidden/>
    <w:uiPriority w:val="99"/>
    <w:semiHidden/>
    <w:rsid w:val="007D04F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76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rsid w:val="00FE5200"/>
    <w:pPr>
      <w:ind w:left="720"/>
    </w:pPr>
  </w:style>
  <w:style w:type="paragraph" w:customStyle="1" w:styleId="pf0">
    <w:name w:val="pf0"/>
    <w:basedOn w:val="Normal"/>
    <w:rsid w:val="00F80FF4"/>
    <w:pPr>
      <w:spacing w:before="100" w:beforeAutospacing="1" w:after="100" w:afterAutospacing="1"/>
    </w:pPr>
  </w:style>
  <w:style w:type="character" w:customStyle="1" w:styleId="cf01">
    <w:name w:val="cf01"/>
    <w:rsid w:val="00F80FF4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227A"/>
    <w:pPr>
      <w:keepLines/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 w:eastAsia="en-US"/>
    </w:rPr>
  </w:style>
  <w:style w:type="numbering" w:customStyle="1" w:styleId="Style1">
    <w:name w:val="Style1"/>
    <w:uiPriority w:val="99"/>
    <w:rsid w:val="00003A98"/>
    <w:pPr>
      <w:numPr>
        <w:numId w:val="3"/>
      </w:numPr>
    </w:pPr>
  </w:style>
  <w:style w:type="numbering" w:customStyle="1" w:styleId="Style2">
    <w:name w:val="Style2"/>
    <w:uiPriority w:val="99"/>
    <w:rsid w:val="00003A98"/>
    <w:pPr>
      <w:numPr>
        <w:numId w:val="4"/>
      </w:numPr>
    </w:pPr>
  </w:style>
  <w:style w:type="numbering" w:customStyle="1" w:styleId="Style3">
    <w:name w:val="Style3"/>
    <w:uiPriority w:val="99"/>
    <w:rsid w:val="00510006"/>
    <w:pPr>
      <w:numPr>
        <w:numId w:val="5"/>
      </w:numPr>
    </w:pPr>
  </w:style>
  <w:style w:type="numbering" w:customStyle="1" w:styleId="Style4">
    <w:name w:val="Style4"/>
    <w:uiPriority w:val="99"/>
    <w:rsid w:val="00451133"/>
    <w:pPr>
      <w:numPr>
        <w:numId w:val="6"/>
      </w:numPr>
    </w:pPr>
  </w:style>
  <w:style w:type="numbering" w:customStyle="1" w:styleId="Style5">
    <w:name w:val="Style5"/>
    <w:uiPriority w:val="99"/>
    <w:rsid w:val="00823A51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551B"/>
    <w:rPr>
      <w:color w:val="605E5C"/>
      <w:shd w:val="clear" w:color="auto" w:fill="E1DFDD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7A611A"/>
    <w:rPr>
      <w:rFonts w:ascii="Arial" w:hAnsi="Arial"/>
      <w:sz w:val="24"/>
      <w:szCs w:val="24"/>
    </w:rPr>
  </w:style>
  <w:style w:type="paragraph" w:customStyle="1" w:styleId="Instructionstext">
    <w:name w:val="Instructions text"/>
    <w:basedOn w:val="Normal"/>
    <w:rsid w:val="00DF46C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DE9D9"/>
      <w:spacing w:before="240" w:after="240" w:line="288" w:lineRule="auto"/>
    </w:pPr>
    <w:rPr>
      <w:rFonts w:ascii="Arial" w:hAnsi="Arial"/>
      <w:kern w:val="32"/>
      <w:sz w:val="20"/>
      <w:szCs w:val="20"/>
      <w:lang w:eastAsia="en-US"/>
    </w:rPr>
  </w:style>
  <w:style w:type="character" w:customStyle="1" w:styleId="cf11">
    <w:name w:val="cf11"/>
    <w:basedOn w:val="DefaultParagraphFont"/>
    <w:rsid w:val="00DA0765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FollowedHyperlink">
    <w:name w:val="FollowedHyperlink"/>
    <w:basedOn w:val="DefaultParagraphFont"/>
    <w:semiHidden/>
    <w:rsid w:val="009623B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C7B7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vdprevent.nhs.uk/outputs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ata.cvdprevent.nhs.uk/data-explor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terms-and-condi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cl.ac.uk/research/lede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hf.org.uk/what-we-do/our-research/heart-statistics" TargetMode="External"/><Relationship Id="rId10" Type="http://schemas.openxmlformats.org/officeDocument/2006/relationships/hyperlink" Target="https://www.cvdprevent.nhs.uk/outpu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ice.org.uk/standards-and-indicators/indicators" TargetMode="External"/><Relationship Id="rId14" Type="http://schemas.openxmlformats.org/officeDocument/2006/relationships/hyperlink" Target="https://www.gov.uk/government/publications/health-matters-preventing-cardiovascular-disease/health-matters-preventing-cardiovascular-dise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2768-A977-429D-8601-CDD2FF3D5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B9F36-D6C4-4479-B181-E5D993EE1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Links>
    <vt:vector size="54" baseType="variant"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_Toc102655847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_Toc102655846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_Toc102655845</vt:lpwstr>
      </vt:variant>
      <vt:variant>
        <vt:i4>1048638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_Toc102655844</vt:lpwstr>
      </vt:variant>
      <vt:variant>
        <vt:i4>1048638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_Toc102655843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_Toc102655842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_Toc102655841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_Toc102655840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_Toc102655839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2025-02-11T15:02:00Z</dcterms:created>
  <dcterms:modified xsi:type="dcterms:W3CDTF">2025-02-11T15:03:00Z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2025-02-11T15:03:04Z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4679707f-d70f-47e0-a655-e921502c3111</vt:lpwstr>
  </property>
  <property fmtid="{D5CDD505-2E9C-101B-9397-08002B2CF9AE}" pid="8" name="MSIP_Label_c69d85d5-6d9e-4305-a294-1f636ec0f2d6_ContentBits">
    <vt:lpwstr>0</vt:lpwstr>
  </property>
</Properties>
</file>