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0AEB9361" w:rsidR="009B0E59" w:rsidRPr="009B0E59" w:rsidRDefault="009B0E59" w:rsidP="00192685">
      <w:pPr>
        <w:pStyle w:val="Heading1"/>
        <w:rPr>
          <w:lang w:eastAsia="en-GB"/>
        </w:rPr>
      </w:pPr>
      <w:r w:rsidRPr="009B0E59">
        <w:rPr>
          <w:lang w:eastAsia="en-GB"/>
        </w:rPr>
        <w:t xml:space="preserve">Indicator </w:t>
      </w:r>
      <w:r w:rsidR="0084619D">
        <w:rPr>
          <w:lang w:eastAsia="en-GB"/>
        </w:rPr>
        <w:t>IND290</w:t>
      </w:r>
    </w:p>
    <w:p w14:paraId="67EC523C" w14:textId="77777777" w:rsidR="00AE29F8" w:rsidRDefault="00AE29F8" w:rsidP="00192685">
      <w:pPr>
        <w:pStyle w:val="Heading1"/>
        <w:rPr>
          <w:b w:val="0"/>
          <w:bCs w:val="0"/>
          <w:kern w:val="0"/>
          <w:sz w:val="24"/>
          <w:szCs w:val="24"/>
          <w:lang w:eastAsia="en-GB"/>
        </w:rPr>
      </w:pPr>
      <w:bookmarkStart w:id="0" w:name="_Hlk180793874"/>
      <w:r w:rsidRPr="00AE29F8">
        <w:rPr>
          <w:b w:val="0"/>
          <w:bCs w:val="0"/>
          <w:kern w:val="0"/>
          <w:sz w:val="24"/>
          <w:szCs w:val="24"/>
          <w:lang w:eastAsia="en-GB"/>
        </w:rPr>
        <w:t>Patient experience of hospital care</w:t>
      </w:r>
    </w:p>
    <w:bookmarkEnd w:id="0"/>
    <w:p w14:paraId="6CBA005E" w14:textId="470D6519" w:rsidR="00236060" w:rsidRDefault="00236060" w:rsidP="00192685">
      <w:pPr>
        <w:pStyle w:val="Heading1"/>
      </w:pPr>
      <w:r>
        <w:t xml:space="preserve">Indicator type </w:t>
      </w:r>
    </w:p>
    <w:p w14:paraId="23336F5F" w14:textId="0CF6A2DB" w:rsidR="00AE29F8" w:rsidRDefault="00AE29F8" w:rsidP="00192685">
      <w:pPr>
        <w:pStyle w:val="Heading1"/>
        <w:rPr>
          <w:b w:val="0"/>
          <w:bCs w:val="0"/>
          <w:kern w:val="0"/>
          <w:sz w:val="24"/>
          <w:szCs w:val="24"/>
        </w:rPr>
      </w:pPr>
      <w:r w:rsidRPr="00AE29F8">
        <w:rPr>
          <w:b w:val="0"/>
          <w:bCs w:val="0"/>
          <w:kern w:val="0"/>
          <w:sz w:val="24"/>
          <w:szCs w:val="24"/>
        </w:rPr>
        <w:t xml:space="preserve">Network / system level indicator. </w:t>
      </w:r>
    </w:p>
    <w:p w14:paraId="7C25BFBC" w14:textId="127164C4"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2EC6AD24" w14:textId="5A54BF3A" w:rsidR="00385DDD" w:rsidRPr="00563E46" w:rsidRDefault="00385DDD" w:rsidP="009626F3">
            <w:pPr>
              <w:pStyle w:val="Paragraph"/>
              <w:spacing w:before="120" w:after="120" w:line="240" w:lineRule="auto"/>
              <w:rPr>
                <w:sz w:val="22"/>
                <w:szCs w:val="22"/>
              </w:rPr>
            </w:pPr>
            <w:r w:rsidRPr="00563E46">
              <w:rPr>
                <w:sz w:val="22"/>
                <w:szCs w:val="22"/>
              </w:rPr>
              <w:t xml:space="preserve">NHS England's (2023) </w:t>
            </w:r>
            <w:hyperlink r:id="rId8" w:history="1">
              <w:r w:rsidRPr="00563E46">
                <w:rPr>
                  <w:rStyle w:val="Hyperlink"/>
                  <w:sz w:val="22"/>
                  <w:szCs w:val="22"/>
                </w:rPr>
                <w:t>delivery plan for recovering urgent and emergency care services</w:t>
              </w:r>
            </w:hyperlink>
            <w:r w:rsidRPr="00563E46">
              <w:rPr>
                <w:sz w:val="22"/>
                <w:szCs w:val="22"/>
              </w:rPr>
              <w:t xml:space="preserve"> </w:t>
            </w:r>
            <w:r w:rsidR="00333E63" w:rsidRPr="00563E46">
              <w:rPr>
                <w:sz w:val="22"/>
                <w:szCs w:val="22"/>
              </w:rPr>
              <w:t>set out pl</w:t>
            </w:r>
            <w:r w:rsidRPr="00563E46">
              <w:rPr>
                <w:sz w:val="22"/>
                <w:szCs w:val="22"/>
              </w:rPr>
              <w:t xml:space="preserve">ans to increase the number of permanent hospital beds by 5,000 by the following 2 years. The </w:t>
            </w:r>
            <w:hyperlink r:id="rId9" w:history="1">
              <w:r w:rsidR="00196167">
                <w:rPr>
                  <w:rStyle w:val="Hyperlink"/>
                  <w:sz w:val="22"/>
                  <w:szCs w:val="22"/>
                </w:rPr>
                <w:t>2019 NHS Long Term Plan</w:t>
              </w:r>
            </w:hyperlink>
            <w:r w:rsidRPr="00563E46">
              <w:rPr>
                <w:sz w:val="22"/>
                <w:szCs w:val="22"/>
              </w:rPr>
              <w:t xml:space="preserve"> highlights that people have been able to choose, since the 2000s, where to have their planned operation. The </w:t>
            </w:r>
            <w:r w:rsidR="00A56483" w:rsidRPr="00563E46">
              <w:rPr>
                <w:sz w:val="22"/>
                <w:szCs w:val="22"/>
              </w:rPr>
              <w:t>plan</w:t>
            </w:r>
            <w:r w:rsidRPr="00563E46">
              <w:rPr>
                <w:sz w:val="22"/>
                <w:szCs w:val="22"/>
              </w:rPr>
              <w:t xml:space="preserve"> also identifies person-centered care as a priority.</w:t>
            </w:r>
          </w:p>
          <w:p w14:paraId="6F338971" w14:textId="5607F20F" w:rsidR="002338EB" w:rsidRPr="0005538C" w:rsidRDefault="0074085C" w:rsidP="009626F3">
            <w:pPr>
              <w:pStyle w:val="Paragraph"/>
              <w:spacing w:before="120" w:after="120" w:line="240" w:lineRule="auto"/>
              <w:rPr>
                <w:sz w:val="22"/>
                <w:szCs w:val="22"/>
              </w:rPr>
            </w:pPr>
            <w:r w:rsidRPr="00563E46">
              <w:rPr>
                <w:sz w:val="22"/>
                <w:szCs w:val="22"/>
              </w:rPr>
              <w:t xml:space="preserve">The </w:t>
            </w:r>
            <w:r w:rsidR="006D4C8A" w:rsidRPr="00563E46">
              <w:rPr>
                <w:sz w:val="22"/>
                <w:szCs w:val="22"/>
              </w:rPr>
              <w:t>a</w:t>
            </w:r>
            <w:r w:rsidRPr="00563E46">
              <w:rPr>
                <w:sz w:val="22"/>
                <w:szCs w:val="22"/>
              </w:rPr>
              <w:t xml:space="preserve">dult </w:t>
            </w:r>
            <w:r w:rsidR="006D4C8A" w:rsidRPr="00563E46">
              <w:rPr>
                <w:sz w:val="22"/>
                <w:szCs w:val="22"/>
              </w:rPr>
              <w:t>i</w:t>
            </w:r>
            <w:r w:rsidRPr="00563E46">
              <w:rPr>
                <w:sz w:val="22"/>
                <w:szCs w:val="22"/>
              </w:rPr>
              <w:t xml:space="preserve">npatient </w:t>
            </w:r>
            <w:r w:rsidR="006D4C8A" w:rsidRPr="00563E46">
              <w:rPr>
                <w:sz w:val="22"/>
                <w:szCs w:val="22"/>
              </w:rPr>
              <w:t>s</w:t>
            </w:r>
            <w:r w:rsidRPr="00563E46">
              <w:rPr>
                <w:sz w:val="22"/>
                <w:szCs w:val="22"/>
              </w:rPr>
              <w:t xml:space="preserve">urvey is one among a number </w:t>
            </w:r>
            <w:r w:rsidR="00A56483" w:rsidRPr="00563E46">
              <w:rPr>
                <w:sz w:val="22"/>
                <w:szCs w:val="22"/>
              </w:rPr>
              <w:t xml:space="preserve">of surveys </w:t>
            </w:r>
            <w:r w:rsidRPr="00563E46">
              <w:rPr>
                <w:sz w:val="22"/>
                <w:szCs w:val="22"/>
              </w:rPr>
              <w:t xml:space="preserve">in the </w:t>
            </w:r>
            <w:hyperlink r:id="rId10" w:history="1">
              <w:r w:rsidRPr="00563E46">
                <w:rPr>
                  <w:rStyle w:val="Hyperlink"/>
                  <w:sz w:val="22"/>
                  <w:szCs w:val="22"/>
                </w:rPr>
                <w:t xml:space="preserve">NHS </w:t>
              </w:r>
              <w:r w:rsidR="000B1FEE">
                <w:rPr>
                  <w:rStyle w:val="Hyperlink"/>
                  <w:sz w:val="22"/>
                  <w:szCs w:val="22"/>
                </w:rPr>
                <w:t>P</w:t>
              </w:r>
              <w:r w:rsidRPr="00563E46">
                <w:rPr>
                  <w:rStyle w:val="Hyperlink"/>
                  <w:sz w:val="22"/>
                  <w:szCs w:val="22"/>
                </w:rPr>
                <w:t xml:space="preserve">atient </w:t>
              </w:r>
              <w:r w:rsidR="000B1FEE">
                <w:rPr>
                  <w:rStyle w:val="Hyperlink"/>
                  <w:sz w:val="22"/>
                  <w:szCs w:val="22"/>
                </w:rPr>
                <w:t>S</w:t>
              </w:r>
              <w:r w:rsidRPr="00563E46">
                <w:rPr>
                  <w:rStyle w:val="Hyperlink"/>
                  <w:sz w:val="22"/>
                  <w:szCs w:val="22"/>
                </w:rPr>
                <w:t xml:space="preserve">urvey </w:t>
              </w:r>
              <w:r w:rsidR="000B1FEE">
                <w:rPr>
                  <w:rStyle w:val="Hyperlink"/>
                  <w:sz w:val="22"/>
                  <w:szCs w:val="22"/>
                </w:rPr>
                <w:t>P</w:t>
              </w:r>
              <w:r w:rsidRPr="00563E46">
                <w:rPr>
                  <w:rStyle w:val="Hyperlink"/>
                  <w:sz w:val="22"/>
                  <w:szCs w:val="22"/>
                </w:rPr>
                <w:t>rogramme</w:t>
              </w:r>
            </w:hyperlink>
            <w:r w:rsidRPr="00563E46">
              <w:rPr>
                <w:sz w:val="22"/>
                <w:szCs w:val="22"/>
              </w:rPr>
              <w:t>. The programme is delivered by the Care Quality Commission (CQC) on behalf of the NHS and the Department of Health and Social Care.</w:t>
            </w:r>
          </w:p>
        </w:tc>
        <w:tc>
          <w:tcPr>
            <w:tcW w:w="3118" w:type="dxa"/>
          </w:tcPr>
          <w:p w14:paraId="272CA0EC" w14:textId="2612491C" w:rsidR="002338EB" w:rsidRPr="00DA2716" w:rsidRDefault="002338EB" w:rsidP="00DA2716">
            <w:pPr>
              <w:spacing w:before="120" w:after="120"/>
              <w:rPr>
                <w:rFonts w:ascii="Arial" w:hAnsi="Arial" w:cs="Arial"/>
                <w:color w:val="000000"/>
                <w:kern w:val="24"/>
                <w:sz w:val="22"/>
                <w:szCs w:val="22"/>
                <w:lang w:val="en-US"/>
              </w:rPr>
            </w:pPr>
            <w:r w:rsidRPr="00DF5C8E">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7D2DB6AF" w14:textId="1E71039E" w:rsidR="0068516F" w:rsidRDefault="00FA08F8" w:rsidP="00043279">
            <w:pPr>
              <w:spacing w:before="120" w:after="120"/>
              <w:rPr>
                <w:rFonts w:ascii="Arial" w:hAnsi="Arial" w:cs="Arial"/>
                <w:sz w:val="22"/>
                <w:szCs w:val="22"/>
              </w:rPr>
            </w:pPr>
            <w:r w:rsidRPr="00FA08F8">
              <w:rPr>
                <w:rFonts w:ascii="Arial" w:hAnsi="Arial" w:cs="Arial"/>
                <w:sz w:val="22"/>
                <w:szCs w:val="22"/>
              </w:rPr>
              <w:t xml:space="preserve">Nationally, indicator values have remained reasonably </w:t>
            </w:r>
            <w:r w:rsidR="00AD1E4A">
              <w:rPr>
                <w:rFonts w:ascii="Arial" w:hAnsi="Arial" w:cs="Arial"/>
                <w:sz w:val="22"/>
                <w:szCs w:val="22"/>
              </w:rPr>
              <w:t>consistent</w:t>
            </w:r>
            <w:r w:rsidRPr="00FA08F8">
              <w:rPr>
                <w:rFonts w:ascii="Arial" w:hAnsi="Arial" w:cs="Arial"/>
                <w:sz w:val="22"/>
                <w:szCs w:val="22"/>
              </w:rPr>
              <w:t>, from 75</w:t>
            </w:r>
            <w:r w:rsidR="0084619D">
              <w:rPr>
                <w:rFonts w:ascii="Arial" w:hAnsi="Arial" w:cs="Arial"/>
                <w:sz w:val="22"/>
                <w:szCs w:val="22"/>
              </w:rPr>
              <w:t xml:space="preserve"> </w:t>
            </w:r>
            <w:r w:rsidRPr="00FA08F8">
              <w:rPr>
                <w:rFonts w:ascii="Arial" w:hAnsi="Arial" w:cs="Arial"/>
                <w:sz w:val="22"/>
                <w:szCs w:val="22"/>
              </w:rPr>
              <w:t>in 2003 to 2004 and 77.1 in 2020 to 2021. Across trusts, scores varied from 71.7 to 87.0 in 2020 to 2021</w:t>
            </w:r>
            <w:r w:rsidR="00AD1E4A">
              <w:rPr>
                <w:rFonts w:ascii="Arial" w:hAnsi="Arial" w:cs="Arial"/>
                <w:sz w:val="22"/>
                <w:szCs w:val="22"/>
              </w:rPr>
              <w:t>.</w:t>
            </w:r>
          </w:p>
          <w:p w14:paraId="378D38FD" w14:textId="31DD304B" w:rsidR="0068516F" w:rsidRPr="00FF3ED8" w:rsidRDefault="00F85CA8" w:rsidP="00043279">
            <w:pPr>
              <w:spacing w:before="120" w:after="120"/>
              <w:rPr>
                <w:rFonts w:ascii="Arial" w:hAnsi="Arial" w:cs="Arial"/>
                <w:sz w:val="22"/>
                <w:szCs w:val="22"/>
              </w:rPr>
            </w:pPr>
            <w:r>
              <w:t>(</w:t>
            </w:r>
            <w:hyperlink r:id="rId11" w:history="1">
              <w:r w:rsidR="0068516F" w:rsidRPr="0068516F">
                <w:rPr>
                  <w:rStyle w:val="Hyperlink"/>
                  <w:rFonts w:ascii="Arial" w:hAnsi="Arial" w:cs="Arial"/>
                  <w:sz w:val="22"/>
                  <w:szCs w:val="22"/>
                </w:rPr>
                <w:t>NHS Outcomes Framework (NHSOF) data for indicator 4b</w:t>
              </w:r>
            </w:hyperlink>
            <w:r w:rsidR="0068516F" w:rsidRPr="0068516F">
              <w:rPr>
                <w:rFonts w:ascii="Arial" w:hAnsi="Arial" w:cs="Arial"/>
                <w:sz w:val="22"/>
                <w:szCs w:val="22"/>
              </w:rPr>
              <w:t xml:space="preserve"> (March 2022)).   </w:t>
            </w:r>
          </w:p>
        </w:tc>
        <w:tc>
          <w:tcPr>
            <w:tcW w:w="3118" w:type="dxa"/>
          </w:tcPr>
          <w:p w14:paraId="3C8B1CA2" w14:textId="77777777" w:rsidR="00735337" w:rsidRPr="0074085C" w:rsidRDefault="00735337" w:rsidP="00735337">
            <w:pPr>
              <w:spacing w:before="120" w:after="120"/>
              <w:rPr>
                <w:rFonts w:ascii="Arial" w:hAnsi="Arial" w:cs="Arial"/>
                <w:color w:val="000000"/>
                <w:kern w:val="24"/>
                <w:sz w:val="22"/>
                <w:szCs w:val="22"/>
                <w:lang w:val="en-US"/>
              </w:rPr>
            </w:pPr>
            <w:r w:rsidRPr="0074085C">
              <w:rPr>
                <w:rFonts w:ascii="Arial" w:hAnsi="Arial" w:cs="Arial"/>
                <w:color w:val="000000"/>
                <w:kern w:val="24"/>
                <w:sz w:val="22"/>
                <w:szCs w:val="22"/>
                <w:lang w:val="en-US"/>
              </w:rPr>
              <w:t>The indicator relates to an area where there is known variation in practice.</w:t>
            </w:r>
          </w:p>
          <w:p w14:paraId="3FD01E72" w14:textId="426BFE8E" w:rsidR="00735337" w:rsidRPr="006B50DC" w:rsidRDefault="00735337" w:rsidP="00735337">
            <w:pPr>
              <w:pStyle w:val="Paragraph"/>
              <w:spacing w:before="120" w:after="120" w:line="240" w:lineRule="auto"/>
              <w:rPr>
                <w:highlight w:val="lightGray"/>
              </w:rPr>
            </w:pPr>
          </w:p>
        </w:tc>
      </w:tr>
      <w:tr w:rsidR="00735337" w14:paraId="373D8AA4" w14:textId="77777777" w:rsidTr="002338EB">
        <w:tc>
          <w:tcPr>
            <w:tcW w:w="5949" w:type="dxa"/>
          </w:tcPr>
          <w:p w14:paraId="0AC712C9" w14:textId="26DA03F7" w:rsidR="003C06E9" w:rsidRDefault="00DA2716" w:rsidP="00DA2716">
            <w:pPr>
              <w:spacing w:before="120" w:after="120"/>
              <w:rPr>
                <w:rFonts w:ascii="Arial" w:hAnsi="Arial" w:cs="Arial"/>
                <w:sz w:val="22"/>
                <w:szCs w:val="22"/>
              </w:rPr>
            </w:pPr>
            <w:r w:rsidRPr="00FA08F8">
              <w:rPr>
                <w:rFonts w:ascii="Arial" w:hAnsi="Arial" w:cs="Arial"/>
                <w:sz w:val="22"/>
                <w:szCs w:val="22"/>
              </w:rPr>
              <w:t>Patients’ experience of the care and service they receive from healthcare services is recognised internationally as a key measure of healthcare quality.</w:t>
            </w:r>
            <w:r>
              <w:rPr>
                <w:rFonts w:ascii="Arial" w:hAnsi="Arial" w:cs="Arial"/>
                <w:sz w:val="22"/>
                <w:szCs w:val="22"/>
              </w:rPr>
              <w:t xml:space="preserve"> </w:t>
            </w:r>
          </w:p>
          <w:p w14:paraId="6A264326" w14:textId="3F88C21A" w:rsidR="00FA08F8" w:rsidRDefault="00FA08F8" w:rsidP="00735337">
            <w:pPr>
              <w:spacing w:before="120" w:after="120"/>
              <w:rPr>
                <w:rFonts w:ascii="Arial" w:hAnsi="Arial" w:cs="Arial"/>
                <w:sz w:val="22"/>
                <w:szCs w:val="22"/>
              </w:rPr>
            </w:pPr>
            <w:r w:rsidRPr="00FA08F8">
              <w:rPr>
                <w:rFonts w:ascii="Arial" w:hAnsi="Arial" w:cs="Arial"/>
                <w:sz w:val="22"/>
                <w:szCs w:val="22"/>
              </w:rPr>
              <w:t xml:space="preserve">This is an overarching indicator, </w:t>
            </w:r>
            <w:r w:rsidR="00400934">
              <w:rPr>
                <w:rFonts w:ascii="Arial" w:hAnsi="Arial" w:cs="Arial"/>
                <w:sz w:val="22"/>
                <w:szCs w:val="22"/>
              </w:rPr>
              <w:t xml:space="preserve">which </w:t>
            </w:r>
            <w:r w:rsidRPr="00FA08F8">
              <w:rPr>
                <w:rFonts w:ascii="Arial" w:hAnsi="Arial" w:cs="Arial"/>
                <w:sz w:val="22"/>
                <w:szCs w:val="22"/>
              </w:rPr>
              <w:t xml:space="preserve">focuses on inpatients in hospitals and </w:t>
            </w:r>
            <w:r w:rsidR="00C613B1">
              <w:rPr>
                <w:rFonts w:ascii="Arial" w:hAnsi="Arial" w:cs="Arial"/>
                <w:sz w:val="22"/>
                <w:szCs w:val="22"/>
              </w:rPr>
              <w:t xml:space="preserve">measuring </w:t>
            </w:r>
            <w:r w:rsidRPr="00FA08F8">
              <w:rPr>
                <w:rFonts w:ascii="Arial" w:hAnsi="Arial" w:cs="Arial"/>
                <w:sz w:val="22"/>
                <w:szCs w:val="22"/>
              </w:rPr>
              <w:t>their experiences of the care they received</w:t>
            </w:r>
            <w:r>
              <w:rPr>
                <w:rFonts w:ascii="Arial" w:hAnsi="Arial" w:cs="Arial"/>
                <w:sz w:val="22"/>
                <w:szCs w:val="22"/>
              </w:rPr>
              <w:t>.</w:t>
            </w:r>
            <w:r w:rsidRPr="00FA08F8">
              <w:rPr>
                <w:rFonts w:ascii="Arial" w:hAnsi="Arial" w:cs="Arial"/>
                <w:sz w:val="22"/>
                <w:szCs w:val="22"/>
              </w:rPr>
              <w:t xml:space="preserve"> </w:t>
            </w:r>
          </w:p>
          <w:p w14:paraId="40A2EA38" w14:textId="2C2EFE21" w:rsidR="00735337" w:rsidRPr="00DA2716" w:rsidRDefault="00DA2716" w:rsidP="00735337">
            <w:pPr>
              <w:spacing w:before="120" w:after="120"/>
              <w:rPr>
                <w:rFonts w:ascii="Arial" w:hAnsi="Arial" w:cs="Arial"/>
                <w:sz w:val="22"/>
                <w:szCs w:val="22"/>
              </w:rPr>
            </w:pPr>
            <w:r w:rsidRPr="00DA2716">
              <w:rPr>
                <w:rFonts w:ascii="Arial" w:hAnsi="Arial" w:cs="Arial"/>
                <w:sz w:val="22"/>
                <w:szCs w:val="22"/>
              </w:rPr>
              <w:t xml:space="preserve">(adapted from </w:t>
            </w:r>
            <w:hyperlink r:id="rId12" w:history="1">
              <w:r w:rsidR="00FA08F8">
                <w:rPr>
                  <w:rStyle w:val="Hyperlink"/>
                  <w:rFonts w:ascii="Arial" w:hAnsi="Arial" w:cs="Arial"/>
                  <w:sz w:val="22"/>
                  <w:szCs w:val="22"/>
                </w:rPr>
                <w:t>NHSOF quality statement for indicator 4b</w:t>
              </w:r>
            </w:hyperlink>
            <w:r w:rsidRPr="00DA2716">
              <w:rPr>
                <w:rFonts w:ascii="Arial" w:hAnsi="Arial" w:cs="Arial"/>
                <w:sz w:val="22"/>
                <w:szCs w:val="22"/>
              </w:rPr>
              <w:t xml:space="preserve">, version </w:t>
            </w:r>
            <w:r w:rsidR="00E50EF5">
              <w:rPr>
                <w:rFonts w:ascii="Arial" w:hAnsi="Arial" w:cs="Arial"/>
                <w:sz w:val="22"/>
                <w:szCs w:val="22"/>
              </w:rPr>
              <w:t>1</w:t>
            </w:r>
            <w:r w:rsidRPr="00DA2716">
              <w:rPr>
                <w:rFonts w:ascii="Arial" w:hAnsi="Arial" w:cs="Arial"/>
                <w:sz w:val="22"/>
                <w:szCs w:val="22"/>
              </w:rPr>
              <w:t>.</w:t>
            </w:r>
            <w:r w:rsidR="00C71D2C">
              <w:rPr>
                <w:rFonts w:ascii="Arial" w:hAnsi="Arial" w:cs="Arial"/>
                <w:sz w:val="22"/>
                <w:szCs w:val="22"/>
              </w:rPr>
              <w:t>9</w:t>
            </w:r>
            <w:r w:rsidRPr="00DA2716">
              <w:rPr>
                <w:rFonts w:ascii="Arial" w:hAnsi="Arial" w:cs="Arial"/>
                <w:sz w:val="22"/>
                <w:szCs w:val="22"/>
              </w:rPr>
              <w:t xml:space="preserve"> (</w:t>
            </w:r>
            <w:r w:rsidR="00FA08F8">
              <w:rPr>
                <w:rFonts w:ascii="Arial" w:hAnsi="Arial" w:cs="Arial"/>
                <w:sz w:val="22"/>
                <w:szCs w:val="22"/>
              </w:rPr>
              <w:t>August</w:t>
            </w:r>
            <w:r w:rsidRPr="00DA2716">
              <w:rPr>
                <w:rFonts w:ascii="Arial" w:hAnsi="Arial" w:cs="Arial"/>
                <w:sz w:val="22"/>
                <w:szCs w:val="22"/>
              </w:rPr>
              <w:t xml:space="preserve"> 20</w:t>
            </w:r>
            <w:r w:rsidR="00FA08F8">
              <w:rPr>
                <w:rFonts w:ascii="Arial" w:hAnsi="Arial" w:cs="Arial"/>
                <w:sz w:val="22"/>
                <w:szCs w:val="22"/>
              </w:rPr>
              <w:t>20</w:t>
            </w:r>
            <w:r w:rsidR="00DF1857">
              <w:rPr>
                <w:rFonts w:ascii="Arial" w:hAnsi="Arial" w:cs="Arial"/>
                <w:sz w:val="22"/>
                <w:szCs w:val="22"/>
              </w:rPr>
              <w:t>))</w:t>
            </w:r>
            <w:r w:rsidR="00400934">
              <w:rPr>
                <w:rFonts w:ascii="Arial" w:hAnsi="Arial" w:cs="Arial"/>
                <w:sz w:val="22"/>
                <w:szCs w:val="22"/>
              </w:rPr>
              <w:t>.</w:t>
            </w:r>
          </w:p>
        </w:tc>
        <w:tc>
          <w:tcPr>
            <w:tcW w:w="3118" w:type="dxa"/>
          </w:tcPr>
          <w:p w14:paraId="380FC230" w14:textId="77777777" w:rsidR="00735337" w:rsidRPr="00DA2716" w:rsidRDefault="00735337" w:rsidP="00735337">
            <w:pPr>
              <w:spacing w:before="120" w:after="120"/>
              <w:rPr>
                <w:rFonts w:ascii="Arial" w:hAnsi="Arial" w:cs="Arial"/>
                <w:color w:val="000000"/>
                <w:kern w:val="24"/>
                <w:sz w:val="22"/>
                <w:szCs w:val="22"/>
                <w:lang w:val="en-US"/>
              </w:rPr>
            </w:pPr>
            <w:r w:rsidRPr="00DA2716">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1"/>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tc>
          <w:tcPr>
            <w:tcW w:w="5949" w:type="dxa"/>
          </w:tcPr>
          <w:p w14:paraId="41BD1A3D" w14:textId="5E377929" w:rsidR="003F46DB" w:rsidRPr="003F46DB" w:rsidRDefault="003F46DB" w:rsidP="003F46DB">
            <w:pPr>
              <w:rPr>
                <w:rFonts w:ascii="Arial" w:hAnsi="Arial" w:cs="Arial"/>
                <w:sz w:val="22"/>
                <w:szCs w:val="22"/>
              </w:rPr>
            </w:pPr>
            <w:r w:rsidRPr="003F46DB">
              <w:rPr>
                <w:rFonts w:ascii="Arial" w:hAnsi="Arial" w:cs="Arial"/>
                <w:sz w:val="22"/>
                <w:szCs w:val="22"/>
              </w:rPr>
              <w:t xml:space="preserve">Indicator is included in the </w:t>
            </w:r>
            <w:hyperlink r:id="rId13" w:history="1">
              <w:r w:rsidRPr="003F46DB">
                <w:rPr>
                  <w:rStyle w:val="Hyperlink"/>
                  <w:rFonts w:ascii="Arial" w:hAnsi="Arial" w:cs="Arial"/>
                  <w:sz w:val="22"/>
                  <w:szCs w:val="22"/>
                </w:rPr>
                <w:t>NHSOF, domain 4</w:t>
              </w:r>
            </w:hyperlink>
            <w:r w:rsidRPr="003F46DB">
              <w:rPr>
                <w:rFonts w:ascii="Arial" w:hAnsi="Arial" w:cs="Arial"/>
                <w:sz w:val="22"/>
                <w:szCs w:val="22"/>
              </w:rPr>
              <w:t>; data last published in March 2022.</w:t>
            </w:r>
          </w:p>
          <w:p w14:paraId="71028586" w14:textId="77777777" w:rsidR="00347A39" w:rsidRDefault="00347A39" w:rsidP="00D10A47">
            <w:pPr>
              <w:rPr>
                <w:rFonts w:ascii="Arial" w:hAnsi="Arial" w:cs="Arial"/>
                <w:sz w:val="22"/>
                <w:szCs w:val="22"/>
              </w:rPr>
            </w:pPr>
          </w:p>
          <w:p w14:paraId="1359C26D" w14:textId="4DCE0683" w:rsidR="00511404" w:rsidRPr="00511404" w:rsidRDefault="00AE29F8" w:rsidP="00D10A47">
            <w:pPr>
              <w:rPr>
                <w:rFonts w:ascii="Arial" w:hAnsi="Arial" w:cs="Arial"/>
                <w:sz w:val="22"/>
                <w:szCs w:val="22"/>
              </w:rPr>
            </w:pPr>
            <w:r w:rsidRPr="00B06F68">
              <w:rPr>
                <w:rFonts w:ascii="Arial" w:hAnsi="Arial" w:cs="Arial"/>
                <w:sz w:val="22"/>
                <w:szCs w:val="22"/>
              </w:rPr>
              <w:t xml:space="preserve">The questions used to assess quality of care are consistent with </w:t>
            </w:r>
            <w:hyperlink r:id="rId14" w:history="1">
              <w:r w:rsidR="00343BAA" w:rsidRPr="00B06F68">
                <w:rPr>
                  <w:rStyle w:val="Hyperlink"/>
                  <w:rFonts w:ascii="Arial" w:hAnsi="Arial" w:cs="Arial"/>
                  <w:sz w:val="22"/>
                  <w:szCs w:val="22"/>
                </w:rPr>
                <w:t>patient experience in adult NHS services: improving the experience of care for people using adult NHS services. NICE guideline CG138</w:t>
              </w:r>
            </w:hyperlink>
            <w:r w:rsidR="00343BAA" w:rsidRPr="00B06F68">
              <w:rPr>
                <w:rFonts w:ascii="Arial" w:hAnsi="Arial" w:cs="Arial"/>
                <w:sz w:val="22"/>
                <w:szCs w:val="22"/>
              </w:rPr>
              <w:t xml:space="preserve"> </w:t>
            </w:r>
            <w:r w:rsidR="00AD1E4A" w:rsidRPr="00B06F68">
              <w:rPr>
                <w:rFonts w:ascii="Arial" w:hAnsi="Arial" w:cs="Arial"/>
                <w:sz w:val="22"/>
                <w:szCs w:val="22"/>
              </w:rPr>
              <w:t>and</w:t>
            </w:r>
            <w:r w:rsidR="00343BAA" w:rsidRPr="00B06F68">
              <w:rPr>
                <w:rFonts w:ascii="Arial" w:hAnsi="Arial" w:cs="Arial"/>
                <w:sz w:val="22"/>
                <w:szCs w:val="22"/>
              </w:rPr>
              <w:t xml:space="preserve"> </w:t>
            </w:r>
            <w:r w:rsidR="006C63E7">
              <w:rPr>
                <w:rFonts w:ascii="Arial" w:hAnsi="Arial" w:cs="Arial"/>
                <w:sz w:val="22"/>
                <w:szCs w:val="22"/>
              </w:rPr>
              <w:t xml:space="preserve">the </w:t>
            </w:r>
            <w:hyperlink r:id="rId15" w:history="1">
              <w:r w:rsidR="006134B0" w:rsidRPr="0084619D">
                <w:rPr>
                  <w:rStyle w:val="Hyperlink"/>
                  <w:rFonts w:ascii="Arial" w:hAnsi="Arial" w:cs="Arial"/>
                  <w:sz w:val="22"/>
                  <w:szCs w:val="22"/>
                </w:rPr>
                <w:t>NICE quality standard on patient experience in adult NHS services. NICE quality standard QS15</w:t>
              </w:r>
            </w:hyperlink>
            <w:r w:rsidR="00AD1E4A" w:rsidRPr="00B06F68">
              <w:rPr>
                <w:rStyle w:val="Hyperlink"/>
                <w:rFonts w:ascii="Arial" w:hAnsi="Arial" w:cs="Arial"/>
                <w:sz w:val="22"/>
                <w:szCs w:val="22"/>
              </w:rPr>
              <w:t>.</w:t>
            </w:r>
            <w:r w:rsidR="00563E46" w:rsidRPr="00563E46">
              <w:rPr>
                <w:rFonts w:ascii="Arial" w:hAnsi="Arial" w:cs="Arial"/>
                <w:sz w:val="22"/>
                <w:szCs w:val="22"/>
              </w:rPr>
              <w:t xml:space="preserve"> </w:t>
            </w:r>
          </w:p>
        </w:tc>
        <w:tc>
          <w:tcPr>
            <w:tcW w:w="3118" w:type="dxa"/>
          </w:tcPr>
          <w:p w14:paraId="0D72329A" w14:textId="54F94FB4" w:rsidR="002338EB" w:rsidRPr="00E50EF5" w:rsidRDefault="002338EB" w:rsidP="002338EB">
            <w:pPr>
              <w:spacing w:before="120" w:after="120"/>
              <w:rPr>
                <w:rFonts w:ascii="Arial" w:hAnsi="Arial" w:cs="Arial"/>
                <w:color w:val="000000"/>
                <w:kern w:val="24"/>
                <w:sz w:val="22"/>
                <w:szCs w:val="22"/>
                <w:lang w:val="en-US"/>
              </w:rPr>
            </w:pPr>
            <w:r w:rsidRPr="00E50EF5">
              <w:rPr>
                <w:rFonts w:ascii="Arial" w:hAnsi="Arial" w:cs="Arial"/>
                <w:color w:val="000000"/>
                <w:kern w:val="24"/>
                <w:sz w:val="22"/>
                <w:szCs w:val="22"/>
                <w:lang w:val="en-US"/>
              </w:rPr>
              <w:t xml:space="preserve">The indicator is derived from a high-quality evidence base. </w:t>
            </w:r>
          </w:p>
          <w:p w14:paraId="75848804" w14:textId="350EB78E" w:rsidR="002338EB" w:rsidRPr="002338EB" w:rsidRDefault="002338EB" w:rsidP="002338EB">
            <w:pPr>
              <w:pStyle w:val="Paragraph"/>
              <w:spacing w:before="120" w:after="120" w:line="240" w:lineRule="auto"/>
              <w:rPr>
                <w:highlight w:val="lightGray"/>
              </w:rPr>
            </w:pPr>
            <w:r w:rsidRPr="00E50EF5">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rsidRPr="00400934">
        <w:t>Specification</w:t>
      </w:r>
      <w:r>
        <w:t xml:space="preserve"> </w:t>
      </w:r>
    </w:p>
    <w:tbl>
      <w:tblPr>
        <w:tblStyle w:val="TableGrid"/>
        <w:tblW w:w="9067" w:type="dxa"/>
        <w:tblLook w:val="04A0" w:firstRow="1" w:lastRow="0" w:firstColumn="1" w:lastColumn="0" w:noHBand="0" w:noVBand="1"/>
      </w:tblPr>
      <w:tblGrid>
        <w:gridCol w:w="5949"/>
        <w:gridCol w:w="3118"/>
      </w:tblGrid>
      <w:tr w:rsidR="002338EB" w14:paraId="33FA0B31" w14:textId="77777777">
        <w:tc>
          <w:tcPr>
            <w:tcW w:w="5949" w:type="dxa"/>
          </w:tcPr>
          <w:p w14:paraId="7BD8EB75" w14:textId="77777777" w:rsidR="002338EB" w:rsidRPr="002338EB" w:rsidRDefault="002338EB">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pPr>
              <w:pStyle w:val="Paragraph"/>
              <w:spacing w:before="120" w:after="120" w:line="240" w:lineRule="auto"/>
              <w:rPr>
                <w:b/>
                <w:bCs/>
                <w:sz w:val="22"/>
                <w:szCs w:val="22"/>
              </w:rPr>
            </w:pPr>
            <w:r w:rsidRPr="002338EB">
              <w:rPr>
                <w:b/>
                <w:bCs/>
                <w:sz w:val="22"/>
                <w:szCs w:val="22"/>
              </w:rPr>
              <w:t>Assessment</w:t>
            </w:r>
          </w:p>
        </w:tc>
      </w:tr>
      <w:tr w:rsidR="002338EB" w14:paraId="3E61DC2D" w14:textId="77777777">
        <w:tc>
          <w:tcPr>
            <w:tcW w:w="5949" w:type="dxa"/>
          </w:tcPr>
          <w:p w14:paraId="5109D852" w14:textId="606E57D0" w:rsidR="00DF1857" w:rsidRDefault="00DF1857" w:rsidP="00DF1857">
            <w:pPr>
              <w:spacing w:before="120" w:after="120"/>
              <w:rPr>
                <w:rFonts w:ascii="Arial" w:hAnsi="Arial" w:cs="Arial"/>
                <w:color w:val="000000"/>
                <w:kern w:val="24"/>
                <w:sz w:val="22"/>
                <w:szCs w:val="22"/>
              </w:rPr>
            </w:pPr>
            <w:r w:rsidRPr="00DF1857">
              <w:rPr>
                <w:rFonts w:ascii="Arial" w:hAnsi="Arial" w:cs="Arial"/>
                <w:color w:val="000000"/>
                <w:kern w:val="24"/>
                <w:sz w:val="22"/>
                <w:szCs w:val="22"/>
              </w:rPr>
              <w:t>Numerator and denominator: n/a</w:t>
            </w:r>
            <w:r>
              <w:rPr>
                <w:rFonts w:ascii="Arial" w:hAnsi="Arial" w:cs="Arial"/>
                <w:color w:val="000000"/>
                <w:kern w:val="24"/>
                <w:sz w:val="22"/>
                <w:szCs w:val="22"/>
              </w:rPr>
              <w:t>.</w:t>
            </w:r>
            <w:bookmarkStart w:id="2" w:name="_Hlk182828154"/>
            <w:r w:rsidR="00837CEE">
              <w:rPr>
                <w:rFonts w:ascii="Arial" w:hAnsi="Arial" w:cs="Arial"/>
                <w:color w:val="000000"/>
                <w:kern w:val="24"/>
                <w:sz w:val="22"/>
                <w:szCs w:val="22"/>
              </w:rPr>
              <w:t xml:space="preserve"> </w:t>
            </w:r>
            <w:r>
              <w:rPr>
                <w:rFonts w:ascii="Arial" w:hAnsi="Arial" w:cs="Arial"/>
                <w:color w:val="000000"/>
                <w:kern w:val="24"/>
                <w:sz w:val="22"/>
                <w:szCs w:val="22"/>
              </w:rPr>
              <w:t xml:space="preserve">This is a </w:t>
            </w:r>
            <w:r w:rsidRPr="00DF1857">
              <w:rPr>
                <w:rFonts w:ascii="Arial" w:hAnsi="Arial" w:cs="Arial"/>
                <w:color w:val="000000"/>
                <w:kern w:val="24"/>
                <w:sz w:val="22"/>
                <w:szCs w:val="22"/>
              </w:rPr>
              <w:t xml:space="preserve">composite indicator based on weighted average score of questions from the </w:t>
            </w:r>
            <w:r w:rsidR="009E5AA1">
              <w:rPr>
                <w:rFonts w:ascii="Arial" w:hAnsi="Arial" w:cs="Arial"/>
                <w:color w:val="000000"/>
                <w:kern w:val="24"/>
                <w:sz w:val="22"/>
                <w:szCs w:val="22"/>
              </w:rPr>
              <w:t xml:space="preserve">NHS </w:t>
            </w:r>
            <w:r w:rsidR="00563E46">
              <w:rPr>
                <w:rFonts w:ascii="Arial" w:hAnsi="Arial" w:cs="Arial"/>
                <w:color w:val="000000"/>
                <w:kern w:val="24"/>
                <w:sz w:val="22"/>
                <w:szCs w:val="22"/>
              </w:rPr>
              <w:t>a</w:t>
            </w:r>
            <w:r w:rsidRPr="00DF1857">
              <w:rPr>
                <w:rFonts w:ascii="Arial" w:hAnsi="Arial" w:cs="Arial"/>
                <w:color w:val="000000"/>
                <w:kern w:val="24"/>
                <w:sz w:val="22"/>
                <w:szCs w:val="22"/>
              </w:rPr>
              <w:t xml:space="preserve">dult </w:t>
            </w:r>
            <w:r w:rsidR="00563E46">
              <w:rPr>
                <w:rFonts w:ascii="Arial" w:hAnsi="Arial" w:cs="Arial"/>
                <w:color w:val="000000"/>
                <w:kern w:val="24"/>
                <w:sz w:val="22"/>
                <w:szCs w:val="22"/>
              </w:rPr>
              <w:t>i</w:t>
            </w:r>
            <w:r w:rsidRPr="00DF1857">
              <w:rPr>
                <w:rFonts w:ascii="Arial" w:hAnsi="Arial" w:cs="Arial"/>
                <w:color w:val="000000"/>
                <w:kern w:val="24"/>
                <w:sz w:val="22"/>
                <w:szCs w:val="22"/>
              </w:rPr>
              <w:t xml:space="preserve">npatient </w:t>
            </w:r>
            <w:r w:rsidR="00563E46">
              <w:rPr>
                <w:rFonts w:ascii="Arial" w:hAnsi="Arial" w:cs="Arial"/>
                <w:color w:val="000000"/>
                <w:kern w:val="24"/>
                <w:sz w:val="22"/>
                <w:szCs w:val="22"/>
              </w:rPr>
              <w:t>s</w:t>
            </w:r>
            <w:r w:rsidRPr="00DF1857">
              <w:rPr>
                <w:rFonts w:ascii="Arial" w:hAnsi="Arial" w:cs="Arial"/>
                <w:color w:val="000000"/>
                <w:kern w:val="24"/>
                <w:sz w:val="22"/>
                <w:szCs w:val="22"/>
              </w:rPr>
              <w:t>urvey.</w:t>
            </w:r>
          </w:p>
          <w:bookmarkEnd w:id="2"/>
          <w:p w14:paraId="1A14D58B" w14:textId="2CF898B0" w:rsidR="009E5AA1" w:rsidRPr="00DF1857" w:rsidRDefault="009E5AA1" w:rsidP="009E5AA1">
            <w:pPr>
              <w:spacing w:before="120" w:after="120"/>
              <w:rPr>
                <w:rFonts w:ascii="Arial" w:hAnsi="Arial" w:cs="Arial"/>
                <w:color w:val="000000"/>
                <w:kern w:val="24"/>
                <w:sz w:val="22"/>
                <w:szCs w:val="22"/>
              </w:rPr>
            </w:pPr>
            <w:r w:rsidRPr="00DF1857">
              <w:rPr>
                <w:rFonts w:ascii="Arial" w:hAnsi="Arial" w:cs="Arial"/>
                <w:color w:val="000000"/>
                <w:kern w:val="24"/>
                <w:sz w:val="22"/>
                <w:szCs w:val="22"/>
              </w:rPr>
              <w:t>Exclusions:</w:t>
            </w:r>
            <w:r>
              <w:rPr>
                <w:rFonts w:ascii="Arial" w:hAnsi="Arial" w:cs="Arial"/>
                <w:color w:val="000000"/>
                <w:kern w:val="24"/>
                <w:sz w:val="22"/>
                <w:szCs w:val="22"/>
              </w:rPr>
              <w:t xml:space="preserve"> </w:t>
            </w:r>
            <w:bookmarkStart w:id="3" w:name="_Hlk184030154"/>
            <w:bookmarkStart w:id="4" w:name="_Hlk180794701"/>
            <w:r>
              <w:rPr>
                <w:rFonts w:ascii="Arial" w:hAnsi="Arial" w:cs="Arial"/>
                <w:color w:val="000000"/>
                <w:kern w:val="24"/>
                <w:sz w:val="22"/>
                <w:szCs w:val="22"/>
              </w:rPr>
              <w:t>survey excludes:</w:t>
            </w:r>
            <w:r w:rsidRPr="00DF1857">
              <w:rPr>
                <w:rFonts w:ascii="Arial" w:hAnsi="Arial" w:cs="Arial"/>
                <w:color w:val="000000"/>
                <w:kern w:val="24"/>
                <w:sz w:val="22"/>
                <w:szCs w:val="22"/>
              </w:rPr>
              <w:t xml:space="preserve"> </w:t>
            </w:r>
            <w:bookmarkEnd w:id="3"/>
          </w:p>
          <w:p w14:paraId="2C50F45D" w14:textId="77777777" w:rsidR="009E5AA1" w:rsidRDefault="009E5AA1" w:rsidP="009E5AA1">
            <w:pPr>
              <w:pStyle w:val="ListParagraph"/>
              <w:numPr>
                <w:ilvl w:val="0"/>
                <w:numId w:val="42"/>
              </w:numPr>
              <w:spacing w:before="120" w:after="120"/>
              <w:rPr>
                <w:rFonts w:ascii="Arial" w:hAnsi="Arial" w:cs="Arial"/>
                <w:color w:val="000000"/>
                <w:kern w:val="24"/>
                <w:sz w:val="22"/>
                <w:szCs w:val="22"/>
              </w:rPr>
            </w:pPr>
            <w:bookmarkStart w:id="5" w:name="_Hlk182828173"/>
            <w:r w:rsidRPr="008F7333">
              <w:rPr>
                <w:rFonts w:ascii="Arial" w:hAnsi="Arial" w:cs="Arial"/>
                <w:color w:val="000000"/>
                <w:kern w:val="24"/>
                <w:sz w:val="22"/>
                <w:szCs w:val="22"/>
              </w:rPr>
              <w:t>under 16s</w:t>
            </w:r>
          </w:p>
          <w:p w14:paraId="38BB5679" w14:textId="77777777" w:rsidR="009E5AA1" w:rsidRDefault="009E5AA1" w:rsidP="009E5AA1">
            <w:pPr>
              <w:pStyle w:val="ListParagraph"/>
              <w:numPr>
                <w:ilvl w:val="0"/>
                <w:numId w:val="42"/>
              </w:numPr>
              <w:spacing w:before="120" w:after="120"/>
              <w:rPr>
                <w:rFonts w:ascii="Arial" w:hAnsi="Arial" w:cs="Arial"/>
                <w:color w:val="000000"/>
                <w:kern w:val="24"/>
                <w:sz w:val="22"/>
                <w:szCs w:val="22"/>
              </w:rPr>
            </w:pPr>
            <w:r w:rsidRPr="008F7333">
              <w:rPr>
                <w:rFonts w:ascii="Arial" w:hAnsi="Arial" w:cs="Arial"/>
                <w:color w:val="000000"/>
                <w:kern w:val="24"/>
                <w:sz w:val="22"/>
                <w:szCs w:val="22"/>
              </w:rPr>
              <w:t>patients whose treatment related to maternity</w:t>
            </w:r>
          </w:p>
          <w:p w14:paraId="05F12CC3" w14:textId="77777777" w:rsidR="009E5AA1" w:rsidRDefault="009E5AA1" w:rsidP="009E5AA1">
            <w:pPr>
              <w:pStyle w:val="ListParagraph"/>
              <w:numPr>
                <w:ilvl w:val="0"/>
                <w:numId w:val="42"/>
              </w:numPr>
              <w:spacing w:before="120" w:after="120"/>
              <w:rPr>
                <w:rFonts w:ascii="Arial" w:hAnsi="Arial" w:cs="Arial"/>
                <w:color w:val="000000"/>
                <w:kern w:val="24"/>
                <w:sz w:val="22"/>
                <w:szCs w:val="22"/>
              </w:rPr>
            </w:pPr>
            <w:r w:rsidRPr="008F7333">
              <w:rPr>
                <w:rFonts w:ascii="Arial" w:hAnsi="Arial" w:cs="Arial"/>
                <w:color w:val="000000"/>
                <w:kern w:val="24"/>
                <w:sz w:val="22"/>
                <w:szCs w:val="22"/>
              </w:rPr>
              <w:t>patients admitted for planned termination of pregnancy</w:t>
            </w:r>
          </w:p>
          <w:p w14:paraId="104EEF4A" w14:textId="41E3F8CB" w:rsidR="009E5AA1" w:rsidRDefault="009E5AA1" w:rsidP="009E5AA1">
            <w:pPr>
              <w:pStyle w:val="ListParagraph"/>
              <w:numPr>
                <w:ilvl w:val="0"/>
                <w:numId w:val="42"/>
              </w:numPr>
              <w:spacing w:before="120" w:after="120"/>
              <w:rPr>
                <w:rFonts w:ascii="Arial" w:hAnsi="Arial" w:cs="Arial"/>
                <w:color w:val="000000"/>
                <w:kern w:val="24"/>
                <w:sz w:val="22"/>
                <w:szCs w:val="22"/>
              </w:rPr>
            </w:pPr>
            <w:r w:rsidRPr="008F7333">
              <w:rPr>
                <w:rFonts w:ascii="Arial" w:hAnsi="Arial" w:cs="Arial"/>
                <w:color w:val="000000"/>
                <w:kern w:val="24"/>
                <w:sz w:val="22"/>
                <w:szCs w:val="22"/>
              </w:rPr>
              <w:t>day</w:t>
            </w:r>
            <w:r w:rsidR="003F46DB">
              <w:rPr>
                <w:rFonts w:ascii="Arial" w:hAnsi="Arial" w:cs="Arial"/>
                <w:color w:val="000000"/>
                <w:kern w:val="24"/>
                <w:sz w:val="22"/>
                <w:szCs w:val="22"/>
              </w:rPr>
              <w:t>-</w:t>
            </w:r>
            <w:r w:rsidRPr="008F7333">
              <w:rPr>
                <w:rFonts w:ascii="Arial" w:hAnsi="Arial" w:cs="Arial"/>
                <w:color w:val="000000"/>
                <w:kern w:val="24"/>
                <w:sz w:val="22"/>
                <w:szCs w:val="22"/>
              </w:rPr>
              <w:t xml:space="preserve">case patients and private patients (non-NHS). </w:t>
            </w:r>
          </w:p>
          <w:bookmarkEnd w:id="5"/>
          <w:p w14:paraId="124D0EF7" w14:textId="302BA74F" w:rsidR="003F46DB" w:rsidRPr="003F46DB" w:rsidRDefault="003F46DB" w:rsidP="003F46DB">
            <w:pPr>
              <w:spacing w:before="120" w:after="120"/>
              <w:rPr>
                <w:rFonts w:ascii="Arial" w:hAnsi="Arial" w:cs="Arial"/>
                <w:color w:val="000000"/>
                <w:kern w:val="24"/>
                <w:sz w:val="22"/>
                <w:szCs w:val="22"/>
              </w:rPr>
            </w:pPr>
            <w:r>
              <w:rPr>
                <w:rFonts w:ascii="Arial" w:hAnsi="Arial" w:cs="Arial"/>
                <w:color w:val="000000"/>
                <w:kern w:val="24"/>
                <w:sz w:val="22"/>
                <w:szCs w:val="22"/>
              </w:rPr>
              <w:t xml:space="preserve">Data source: </w:t>
            </w:r>
            <w:bookmarkStart w:id="6" w:name="_Hlk182828230"/>
            <w:r w:rsidR="008509C1">
              <w:rPr>
                <w:rFonts w:ascii="Arial" w:hAnsi="Arial" w:cs="Arial"/>
                <w:color w:val="000000"/>
                <w:kern w:val="24"/>
                <w:sz w:val="22"/>
                <w:szCs w:val="22"/>
              </w:rPr>
              <w:fldChar w:fldCharType="begin"/>
            </w:r>
            <w:r w:rsidR="008509C1">
              <w:rPr>
                <w:rFonts w:ascii="Arial" w:hAnsi="Arial" w:cs="Arial"/>
                <w:color w:val="000000"/>
                <w:kern w:val="24"/>
                <w:sz w:val="22"/>
                <w:szCs w:val="22"/>
              </w:rPr>
              <w:instrText>HYPERLINK "https://www.cqc.org.uk/publications/surveys/adult-inpatient-survey"</w:instrText>
            </w:r>
            <w:r w:rsidR="008509C1">
              <w:rPr>
                <w:rFonts w:ascii="Arial" w:hAnsi="Arial" w:cs="Arial"/>
                <w:color w:val="000000"/>
                <w:kern w:val="24"/>
                <w:sz w:val="22"/>
                <w:szCs w:val="22"/>
              </w:rPr>
            </w:r>
            <w:r w:rsidR="008509C1">
              <w:rPr>
                <w:rFonts w:ascii="Arial" w:hAnsi="Arial" w:cs="Arial"/>
                <w:color w:val="000000"/>
                <w:kern w:val="24"/>
                <w:sz w:val="22"/>
                <w:szCs w:val="22"/>
              </w:rPr>
              <w:fldChar w:fldCharType="separate"/>
            </w:r>
            <w:r w:rsidR="00AD1E4A" w:rsidRPr="008509C1">
              <w:rPr>
                <w:rStyle w:val="Hyperlink"/>
                <w:rFonts w:ascii="Arial" w:hAnsi="Arial" w:cs="Arial"/>
                <w:kern w:val="24"/>
                <w:sz w:val="22"/>
                <w:szCs w:val="22"/>
              </w:rPr>
              <w:t>Adult inpatient survey</w:t>
            </w:r>
            <w:r w:rsidR="008509C1">
              <w:rPr>
                <w:rFonts w:ascii="Arial" w:hAnsi="Arial" w:cs="Arial"/>
                <w:color w:val="000000"/>
                <w:kern w:val="24"/>
                <w:sz w:val="22"/>
                <w:szCs w:val="22"/>
              </w:rPr>
              <w:fldChar w:fldCharType="end"/>
            </w:r>
            <w:r w:rsidR="00B71851">
              <w:rPr>
                <w:rFonts w:ascii="Arial" w:hAnsi="Arial" w:cs="Arial"/>
                <w:color w:val="000000"/>
                <w:kern w:val="24"/>
                <w:sz w:val="22"/>
                <w:szCs w:val="22"/>
              </w:rPr>
              <w:t>.</w:t>
            </w:r>
            <w:r w:rsidR="007250E1">
              <w:rPr>
                <w:rFonts w:ascii="Arial" w:hAnsi="Arial" w:cs="Arial"/>
                <w:color w:val="000000"/>
                <w:kern w:val="24"/>
                <w:sz w:val="22"/>
                <w:szCs w:val="22"/>
              </w:rPr>
              <w:t xml:space="preserve"> </w:t>
            </w:r>
            <w:bookmarkEnd w:id="6"/>
          </w:p>
          <w:p w14:paraId="0C27D8FC" w14:textId="0A166322" w:rsidR="00A402D5" w:rsidRDefault="009E5AA1" w:rsidP="00C71D2C">
            <w:pPr>
              <w:spacing w:before="120" w:after="120"/>
              <w:rPr>
                <w:rFonts w:ascii="Arial" w:hAnsi="Arial" w:cs="Arial"/>
                <w:color w:val="000000"/>
                <w:kern w:val="24"/>
                <w:sz w:val="22"/>
                <w:szCs w:val="22"/>
              </w:rPr>
            </w:pPr>
            <w:bookmarkStart w:id="7" w:name="_Hlk184030356"/>
            <w:bookmarkEnd w:id="4"/>
            <w:r w:rsidRPr="00DF1857">
              <w:rPr>
                <w:rFonts w:ascii="Arial" w:hAnsi="Arial" w:cs="Arial"/>
                <w:color w:val="000000"/>
                <w:kern w:val="24"/>
                <w:sz w:val="22"/>
                <w:szCs w:val="22"/>
              </w:rPr>
              <w:t xml:space="preserve">Disclosure control: </w:t>
            </w:r>
            <w:r>
              <w:rPr>
                <w:rFonts w:ascii="Arial" w:hAnsi="Arial" w:cs="Arial"/>
                <w:color w:val="000000"/>
                <w:kern w:val="24"/>
                <w:sz w:val="22"/>
                <w:szCs w:val="22"/>
              </w:rPr>
              <w:t>s</w:t>
            </w:r>
            <w:r w:rsidRPr="00DF1857">
              <w:rPr>
                <w:rFonts w:ascii="Arial" w:hAnsi="Arial" w:cs="Arial"/>
                <w:color w:val="000000"/>
                <w:kern w:val="24"/>
                <w:sz w:val="22"/>
                <w:szCs w:val="22"/>
              </w:rPr>
              <w:t xml:space="preserve">uppressed if </w:t>
            </w:r>
            <w:r>
              <w:rPr>
                <w:rFonts w:ascii="Arial" w:hAnsi="Arial" w:cs="Arial"/>
                <w:color w:val="000000"/>
                <w:kern w:val="24"/>
                <w:sz w:val="22"/>
                <w:szCs w:val="22"/>
              </w:rPr>
              <w:t>fewer</w:t>
            </w:r>
            <w:r w:rsidRPr="00DF1857">
              <w:rPr>
                <w:rFonts w:ascii="Arial" w:hAnsi="Arial" w:cs="Arial"/>
                <w:color w:val="000000"/>
                <w:kern w:val="24"/>
                <w:sz w:val="22"/>
                <w:szCs w:val="22"/>
              </w:rPr>
              <w:t xml:space="preserve"> than 30 people answer </w:t>
            </w:r>
            <w:r w:rsidR="00C71D2C">
              <w:rPr>
                <w:rFonts w:ascii="Arial" w:hAnsi="Arial" w:cs="Arial"/>
                <w:color w:val="000000"/>
                <w:kern w:val="24"/>
                <w:sz w:val="22"/>
                <w:szCs w:val="22"/>
              </w:rPr>
              <w:t>a</w:t>
            </w:r>
            <w:r w:rsidR="005750B1">
              <w:rPr>
                <w:rFonts w:ascii="Arial" w:hAnsi="Arial" w:cs="Arial"/>
                <w:color w:val="000000"/>
                <w:kern w:val="24"/>
                <w:sz w:val="22"/>
                <w:szCs w:val="22"/>
              </w:rPr>
              <w:t>ny of the 5 questions.</w:t>
            </w:r>
            <w:r w:rsidR="00837CEE">
              <w:rPr>
                <w:rFonts w:ascii="Arial" w:hAnsi="Arial" w:cs="Arial"/>
                <w:color w:val="000000"/>
                <w:kern w:val="24"/>
                <w:sz w:val="22"/>
                <w:szCs w:val="22"/>
              </w:rPr>
              <w:t xml:space="preserve"> This is in line with the rules used when publishing </w:t>
            </w:r>
            <w:r w:rsidR="00CC7E15">
              <w:rPr>
                <w:rFonts w:ascii="Arial" w:hAnsi="Arial" w:cs="Arial"/>
                <w:color w:val="000000"/>
                <w:kern w:val="24"/>
                <w:sz w:val="22"/>
                <w:szCs w:val="22"/>
              </w:rPr>
              <w:t xml:space="preserve">survey </w:t>
            </w:r>
            <w:r w:rsidR="00837CEE">
              <w:rPr>
                <w:rFonts w:ascii="Arial" w:hAnsi="Arial" w:cs="Arial"/>
                <w:color w:val="000000"/>
                <w:kern w:val="24"/>
                <w:sz w:val="22"/>
                <w:szCs w:val="22"/>
              </w:rPr>
              <w:t xml:space="preserve">results. </w:t>
            </w:r>
          </w:p>
          <w:bookmarkEnd w:id="7"/>
          <w:p w14:paraId="1A8C1D16" w14:textId="18C1E9DA" w:rsidR="00A402D5" w:rsidRPr="009E5AA1" w:rsidRDefault="00A402D5" w:rsidP="00C71D2C">
            <w:pPr>
              <w:spacing w:before="120" w:after="120"/>
              <w:rPr>
                <w:rFonts w:ascii="Arial" w:hAnsi="Arial" w:cs="Arial"/>
                <w:color w:val="000000"/>
                <w:kern w:val="24"/>
                <w:sz w:val="22"/>
                <w:szCs w:val="22"/>
              </w:rPr>
            </w:pPr>
            <w:r w:rsidRPr="00A402D5">
              <w:rPr>
                <w:rFonts w:ascii="Arial" w:hAnsi="Arial" w:cs="Arial"/>
                <w:color w:val="000000"/>
                <w:kern w:val="24"/>
                <w:sz w:val="22"/>
                <w:szCs w:val="22"/>
              </w:rPr>
              <w:t xml:space="preserve">(Adapted from CQC (2024) </w:t>
            </w:r>
            <w:hyperlink r:id="rId16" w:history="1">
              <w:r w:rsidRPr="00A402D5">
                <w:rPr>
                  <w:rStyle w:val="Hyperlink"/>
                  <w:rFonts w:ascii="Arial" w:hAnsi="Arial" w:cs="Arial"/>
                  <w:kern w:val="24"/>
                  <w:sz w:val="22"/>
                  <w:szCs w:val="22"/>
                </w:rPr>
                <w:t>2023 adult inpatient survey: statistical release</w:t>
              </w:r>
            </w:hyperlink>
            <w:r w:rsidRPr="00A402D5">
              <w:rPr>
                <w:rFonts w:ascii="Arial" w:hAnsi="Arial" w:cs="Arial"/>
                <w:color w:val="000000"/>
                <w:kern w:val="24"/>
                <w:sz w:val="22"/>
                <w:szCs w:val="22"/>
              </w:rPr>
              <w:t xml:space="preserve">; </w:t>
            </w:r>
            <w:hyperlink r:id="rId17" w:history="1">
              <w:r w:rsidRPr="00A402D5">
                <w:rPr>
                  <w:rStyle w:val="Hyperlink"/>
                  <w:rFonts w:ascii="Arial" w:hAnsi="Arial" w:cs="Arial"/>
                  <w:kern w:val="24"/>
                  <w:sz w:val="22"/>
                  <w:szCs w:val="22"/>
                </w:rPr>
                <w:t>2023 adult inpatient care survey: methodology report</w:t>
              </w:r>
            </w:hyperlink>
            <w:r w:rsidRPr="00A402D5">
              <w:rPr>
                <w:rFonts w:ascii="Arial" w:hAnsi="Arial" w:cs="Arial"/>
                <w:color w:val="000000"/>
                <w:kern w:val="24"/>
                <w:sz w:val="22"/>
                <w:szCs w:val="22"/>
              </w:rPr>
              <w:t xml:space="preserve">, and </w:t>
            </w:r>
            <w:hyperlink r:id="rId18" w:history="1">
              <w:r w:rsidRPr="00A402D5">
                <w:rPr>
                  <w:rStyle w:val="Hyperlink"/>
                  <w:rFonts w:ascii="Arial" w:hAnsi="Arial" w:cs="Arial"/>
                  <w:kern w:val="24"/>
                  <w:sz w:val="22"/>
                  <w:szCs w:val="22"/>
                </w:rPr>
                <w:t>NHSOF data for indicator 4b</w:t>
              </w:r>
            </w:hyperlink>
            <w:r w:rsidRPr="00A402D5">
              <w:rPr>
                <w:rFonts w:ascii="Arial" w:hAnsi="Arial" w:cs="Arial"/>
                <w:color w:val="000000"/>
                <w:kern w:val="24"/>
                <w:sz w:val="22"/>
                <w:szCs w:val="22"/>
              </w:rPr>
              <w:t xml:space="preserve"> (May 2020)).</w:t>
            </w:r>
          </w:p>
        </w:tc>
        <w:tc>
          <w:tcPr>
            <w:tcW w:w="3118" w:type="dxa"/>
          </w:tcPr>
          <w:p w14:paraId="1439227D" w14:textId="12F55479" w:rsidR="002338EB" w:rsidRPr="00B804CE" w:rsidRDefault="002338EB" w:rsidP="002338EB">
            <w:pPr>
              <w:spacing w:before="120" w:after="120"/>
              <w:rPr>
                <w:rFonts w:ascii="Arial" w:hAnsi="Arial" w:cs="Arial"/>
                <w:color w:val="000000"/>
                <w:kern w:val="24"/>
                <w:sz w:val="22"/>
                <w:szCs w:val="22"/>
                <w:highlight w:val="lightGray"/>
              </w:rPr>
            </w:pPr>
            <w:r w:rsidRPr="00B804CE">
              <w:rPr>
                <w:rFonts w:ascii="Arial" w:hAnsi="Arial" w:cs="Arial"/>
                <w:color w:val="000000"/>
                <w:kern w:val="24"/>
                <w:sz w:val="22"/>
                <w:szCs w:val="22"/>
              </w:rPr>
              <w:t>The indicator has defined components necessary to construct the indicator, including numerator, denominator and exclusions</w:t>
            </w:r>
            <w:r w:rsidR="0084619D">
              <w:rPr>
                <w:rFonts w:ascii="Arial" w:hAnsi="Arial" w:cs="Arial"/>
                <w:color w:val="000000"/>
                <w:kern w:val="24"/>
                <w:sz w:val="22"/>
                <w:szCs w:val="22"/>
              </w:rPr>
              <w:t>.</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tc>
          <w:tcPr>
            <w:tcW w:w="5949" w:type="dxa"/>
          </w:tcPr>
          <w:p w14:paraId="76F2DE91" w14:textId="6C79D017" w:rsidR="00B804CE" w:rsidRDefault="00B804CE" w:rsidP="00817349">
            <w:pPr>
              <w:pStyle w:val="Paragraph"/>
              <w:spacing w:before="120" w:after="120" w:line="240" w:lineRule="auto"/>
              <w:rPr>
                <w:rFonts w:cs="Arial"/>
                <w:color w:val="000000"/>
                <w:kern w:val="24"/>
                <w:sz w:val="22"/>
                <w:szCs w:val="22"/>
              </w:rPr>
            </w:pPr>
            <w:bookmarkStart w:id="8" w:name="_Hlk180794779"/>
            <w:r w:rsidRPr="00B804CE">
              <w:rPr>
                <w:rFonts w:cs="Arial"/>
                <w:color w:val="000000"/>
                <w:kern w:val="24"/>
                <w:sz w:val="22"/>
                <w:szCs w:val="22"/>
              </w:rPr>
              <w:t>An estimated population size cannot be calculated because there is no denominator for this indicator.</w:t>
            </w:r>
          </w:p>
          <w:p w14:paraId="4B4889E2" w14:textId="51FDB65E" w:rsidR="00AF67E7" w:rsidRPr="00960777" w:rsidRDefault="005C74AC" w:rsidP="00817349">
            <w:pPr>
              <w:pStyle w:val="Paragraph"/>
              <w:spacing w:before="120" w:after="120" w:line="240" w:lineRule="auto"/>
              <w:rPr>
                <w:rFonts w:cs="Arial"/>
                <w:color w:val="000000"/>
                <w:kern w:val="24"/>
                <w:sz w:val="22"/>
                <w:szCs w:val="22"/>
              </w:rPr>
            </w:pPr>
            <w:r w:rsidRPr="005C74AC">
              <w:rPr>
                <w:rFonts w:cs="Arial"/>
                <w:color w:val="000000"/>
                <w:kern w:val="24"/>
                <w:sz w:val="22"/>
                <w:szCs w:val="22"/>
              </w:rPr>
              <w:t xml:space="preserve">The number of respondents </w:t>
            </w:r>
            <w:r w:rsidR="00095F01">
              <w:rPr>
                <w:rFonts w:cs="Arial"/>
                <w:color w:val="000000"/>
                <w:kern w:val="24"/>
                <w:sz w:val="22"/>
                <w:szCs w:val="22"/>
              </w:rPr>
              <w:t xml:space="preserve">to the survey </w:t>
            </w:r>
            <w:r w:rsidRPr="005C74AC">
              <w:rPr>
                <w:rFonts w:cs="Arial"/>
                <w:color w:val="000000"/>
                <w:kern w:val="24"/>
                <w:sz w:val="22"/>
                <w:szCs w:val="22"/>
              </w:rPr>
              <w:t>has been consistently more than 60,000 nationally</w:t>
            </w:r>
            <w:r w:rsidR="00F85CA8">
              <w:rPr>
                <w:rFonts w:cs="Arial"/>
                <w:color w:val="000000"/>
                <w:kern w:val="24"/>
                <w:sz w:val="22"/>
                <w:szCs w:val="22"/>
              </w:rPr>
              <w:t>.</w:t>
            </w:r>
            <w:bookmarkEnd w:id="8"/>
          </w:p>
        </w:tc>
        <w:tc>
          <w:tcPr>
            <w:tcW w:w="3118" w:type="dxa"/>
          </w:tcPr>
          <w:p w14:paraId="1567BE59" w14:textId="5CBADF24" w:rsidR="002338EB" w:rsidRPr="009E7448" w:rsidRDefault="002338EB" w:rsidP="002338EB">
            <w:pPr>
              <w:pStyle w:val="Paragraph"/>
              <w:spacing w:before="120" w:after="120" w:line="240" w:lineRule="auto"/>
              <w:rPr>
                <w:rFonts w:cs="Arial"/>
                <w:color w:val="000000"/>
                <w:kern w:val="24"/>
                <w:sz w:val="22"/>
                <w:szCs w:val="22"/>
              </w:rPr>
            </w:pPr>
            <w:r w:rsidRPr="009E7448">
              <w:rPr>
                <w:rFonts w:cs="Arial"/>
                <w:color w:val="000000"/>
                <w:kern w:val="24"/>
                <w:sz w:val="22"/>
                <w:szCs w:val="22"/>
              </w:rPr>
              <w:t>The indicator does not outline minimum numbers of patients needed to be confident in the assessment of variation.</w:t>
            </w:r>
          </w:p>
          <w:p w14:paraId="38DE6D48" w14:textId="7475CAC4" w:rsidR="000C4A97" w:rsidRPr="002338EB" w:rsidRDefault="000C4A97" w:rsidP="002338EB">
            <w:pPr>
              <w:pStyle w:val="Paragraph"/>
              <w:spacing w:before="120" w:after="120" w:line="240" w:lineRule="auto"/>
              <w:rPr>
                <w:highlight w:val="lightGray"/>
              </w:rPr>
            </w:pPr>
            <w:r w:rsidRPr="009E7448">
              <w:rPr>
                <w:rFonts w:cs="Arial"/>
                <w:color w:val="000000"/>
                <w:kern w:val="24"/>
                <w:sz w:val="22"/>
                <w:szCs w:val="22"/>
              </w:rPr>
              <w:t xml:space="preserve">Available data does </w:t>
            </w:r>
            <w:r w:rsidR="0018645B">
              <w:rPr>
                <w:rFonts w:cs="Arial"/>
                <w:color w:val="000000"/>
                <w:kern w:val="24"/>
                <w:sz w:val="22"/>
                <w:szCs w:val="22"/>
              </w:rPr>
              <w:t xml:space="preserve">not </w:t>
            </w:r>
            <w:r w:rsidRPr="009E7448">
              <w:rPr>
                <w:rFonts w:cs="Arial"/>
                <w:color w:val="000000"/>
                <w:kern w:val="24"/>
                <w:sz w:val="22"/>
                <w:szCs w:val="22"/>
              </w:rPr>
              <w:t>suggest that the number of eligible patients per average</w:t>
            </w:r>
            <w:r w:rsidR="0018645B">
              <w:rPr>
                <w:rFonts w:cs="Arial"/>
                <w:color w:val="000000"/>
                <w:kern w:val="24"/>
                <w:sz w:val="22"/>
                <w:szCs w:val="22"/>
              </w:rPr>
              <w:t xml:space="preserve"> </w:t>
            </w:r>
            <w:r w:rsidR="006B50DC">
              <w:rPr>
                <w:rFonts w:cs="Arial"/>
                <w:color w:val="000000"/>
                <w:kern w:val="24"/>
                <w:sz w:val="22"/>
                <w:szCs w:val="22"/>
              </w:rPr>
              <w:t>trust</w:t>
            </w:r>
            <w:r w:rsidRPr="009E7448">
              <w:rPr>
                <w:rFonts w:cs="Arial"/>
                <w:color w:val="000000"/>
                <w:kern w:val="24"/>
                <w:sz w:val="22"/>
                <w:szCs w:val="22"/>
              </w:rPr>
              <w:t xml:space="preserve"> would be above this minimum number.</w:t>
            </w:r>
          </w:p>
        </w:tc>
      </w:tr>
    </w:tbl>
    <w:p w14:paraId="1F89E1DD" w14:textId="24151FF3" w:rsidR="002338EB" w:rsidRDefault="002338EB" w:rsidP="002338EB">
      <w:pPr>
        <w:pStyle w:val="Paragraph"/>
      </w:pPr>
    </w:p>
    <w:p w14:paraId="597779EE" w14:textId="5E0747D0" w:rsidR="002338EB" w:rsidRDefault="002338EB" w:rsidP="00192685">
      <w:pPr>
        <w:pStyle w:val="Heading1"/>
      </w:pPr>
      <w:r w:rsidRPr="00400934">
        <w:lastRenderedPageBreak/>
        <w:t>Feasibility</w:t>
      </w:r>
      <w:r>
        <w:t xml:space="preserve"> </w:t>
      </w:r>
    </w:p>
    <w:tbl>
      <w:tblPr>
        <w:tblStyle w:val="TableGrid"/>
        <w:tblW w:w="9067" w:type="dxa"/>
        <w:tblLook w:val="04A0" w:firstRow="1" w:lastRow="0" w:firstColumn="1" w:lastColumn="0" w:noHBand="0" w:noVBand="1"/>
      </w:tblPr>
      <w:tblGrid>
        <w:gridCol w:w="5949"/>
        <w:gridCol w:w="3118"/>
      </w:tblGrid>
      <w:tr w:rsidR="002338EB" w14:paraId="40453993" w14:textId="77777777">
        <w:tc>
          <w:tcPr>
            <w:tcW w:w="5949" w:type="dxa"/>
          </w:tcPr>
          <w:p w14:paraId="1B5D3E68" w14:textId="77777777" w:rsidR="002338EB" w:rsidRPr="00735337" w:rsidRDefault="002338EB">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pPr>
              <w:pStyle w:val="Paragraph"/>
              <w:spacing w:before="120" w:after="120" w:line="240" w:lineRule="auto"/>
              <w:rPr>
                <w:b/>
                <w:bCs/>
                <w:sz w:val="22"/>
                <w:szCs w:val="22"/>
              </w:rPr>
            </w:pPr>
            <w:r w:rsidRPr="00735337">
              <w:rPr>
                <w:b/>
                <w:bCs/>
                <w:sz w:val="22"/>
                <w:szCs w:val="22"/>
              </w:rPr>
              <w:t>Assessment</w:t>
            </w:r>
          </w:p>
        </w:tc>
      </w:tr>
      <w:tr w:rsidR="00735337" w14:paraId="7CB24BE4" w14:textId="77777777">
        <w:tc>
          <w:tcPr>
            <w:tcW w:w="5949" w:type="dxa"/>
          </w:tcPr>
          <w:p w14:paraId="3ABE91E5" w14:textId="0CA569A7" w:rsidR="00442497" w:rsidRPr="00563E46" w:rsidRDefault="00FF2D36" w:rsidP="00424E70">
            <w:pPr>
              <w:pStyle w:val="Paragraph"/>
              <w:spacing w:before="120" w:after="120" w:line="240" w:lineRule="auto"/>
              <w:rPr>
                <w:rFonts w:cs="Arial"/>
                <w:sz w:val="22"/>
                <w:szCs w:val="22"/>
              </w:rPr>
            </w:pPr>
            <w:r w:rsidRPr="00563E46">
              <w:rPr>
                <w:rFonts w:cs="Arial"/>
                <w:sz w:val="22"/>
                <w:szCs w:val="22"/>
              </w:rPr>
              <w:t>Data are collected from</w:t>
            </w:r>
            <w:r w:rsidR="00333E63" w:rsidRPr="00563E46">
              <w:rPr>
                <w:rFonts w:cs="Arial"/>
                <w:sz w:val="22"/>
                <w:szCs w:val="22"/>
              </w:rPr>
              <w:t xml:space="preserve"> long</w:t>
            </w:r>
            <w:r w:rsidR="00DB6BC1">
              <w:rPr>
                <w:rFonts w:cs="Arial"/>
                <w:sz w:val="22"/>
                <w:szCs w:val="22"/>
              </w:rPr>
              <w:t>-</w:t>
            </w:r>
            <w:r w:rsidR="00333E63" w:rsidRPr="00563E46">
              <w:rPr>
                <w:rFonts w:cs="Arial"/>
                <w:sz w:val="22"/>
                <w:szCs w:val="22"/>
              </w:rPr>
              <w:t>running and</w:t>
            </w:r>
            <w:r w:rsidRPr="00563E46">
              <w:rPr>
                <w:rFonts w:cs="Arial"/>
                <w:sz w:val="22"/>
                <w:szCs w:val="22"/>
              </w:rPr>
              <w:t xml:space="preserve"> ongoing</w:t>
            </w:r>
            <w:r w:rsidR="00155C95" w:rsidRPr="00563E46">
              <w:rPr>
                <w:rFonts w:cs="Arial"/>
                <w:sz w:val="22"/>
                <w:szCs w:val="22"/>
              </w:rPr>
              <w:t xml:space="preserve"> patient surveys</w:t>
            </w:r>
            <w:r w:rsidRPr="00563E46">
              <w:rPr>
                <w:rFonts w:cs="Arial"/>
                <w:sz w:val="22"/>
                <w:szCs w:val="22"/>
              </w:rPr>
              <w:t>.</w:t>
            </w:r>
          </w:p>
        </w:tc>
        <w:tc>
          <w:tcPr>
            <w:tcW w:w="3118" w:type="dxa"/>
          </w:tcPr>
          <w:p w14:paraId="7E07F302" w14:textId="5F984164"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is repeatable.</w:t>
            </w:r>
          </w:p>
          <w:p w14:paraId="3BEFE1B2" w14:textId="77777777" w:rsidR="00735337" w:rsidRPr="00E50EF5" w:rsidRDefault="00735337" w:rsidP="00735337">
            <w:pPr>
              <w:pStyle w:val="Paragraph"/>
              <w:spacing w:before="120" w:after="120" w:line="240" w:lineRule="auto"/>
            </w:pPr>
          </w:p>
        </w:tc>
      </w:tr>
      <w:tr w:rsidR="00735337" w14:paraId="2FE27CD6" w14:textId="77777777">
        <w:tc>
          <w:tcPr>
            <w:tcW w:w="5949" w:type="dxa"/>
          </w:tcPr>
          <w:p w14:paraId="0741AD43" w14:textId="587A5545" w:rsidR="00FF2D36" w:rsidRDefault="00AF67E7" w:rsidP="00235569">
            <w:pPr>
              <w:spacing w:before="120" w:after="120"/>
            </w:pPr>
            <w:r w:rsidRPr="00AF67E7">
              <w:rPr>
                <w:rFonts w:ascii="Arial" w:hAnsi="Arial" w:cs="Arial"/>
                <w:sz w:val="22"/>
                <w:szCs w:val="22"/>
              </w:rPr>
              <w:t xml:space="preserve">Patient experience measured by scoring the results of a selection of questions from the </w:t>
            </w:r>
            <w:hyperlink r:id="rId19" w:history="1">
              <w:r w:rsidR="009D08C0">
                <w:rPr>
                  <w:rStyle w:val="Hyperlink"/>
                  <w:rFonts w:ascii="Arial" w:hAnsi="Arial" w:cs="Arial"/>
                  <w:sz w:val="22"/>
                  <w:szCs w:val="22"/>
                </w:rPr>
                <w:t>adult inpatient survey</w:t>
              </w:r>
            </w:hyperlink>
            <w:r w:rsidR="00FF2D36">
              <w:rPr>
                <w:rStyle w:val="Hyperlink"/>
                <w:rFonts w:ascii="Arial" w:hAnsi="Arial" w:cs="Arial"/>
                <w:sz w:val="22"/>
                <w:szCs w:val="22"/>
              </w:rPr>
              <w:t>,</w:t>
            </w:r>
            <w:r w:rsidR="00FF2D36">
              <w:rPr>
                <w:rStyle w:val="Hyperlink"/>
              </w:rPr>
              <w:t xml:space="preserve"> </w:t>
            </w:r>
            <w:r w:rsidR="00235569">
              <w:t xml:space="preserve"> </w:t>
            </w:r>
            <w:r w:rsidR="00FF2D36" w:rsidRPr="00FF2D36">
              <w:rPr>
                <w:rFonts w:ascii="Arial" w:hAnsi="Arial" w:cs="Arial"/>
                <w:sz w:val="22"/>
                <w:szCs w:val="22"/>
              </w:rPr>
              <w:t>looking at a range of elements of hospital care.</w:t>
            </w:r>
            <w:r w:rsidR="00FF2D36">
              <w:t xml:space="preserve"> </w:t>
            </w:r>
          </w:p>
          <w:p w14:paraId="1287BB77" w14:textId="63A6B084" w:rsidR="00FF2D36" w:rsidRPr="00AF67E7" w:rsidRDefault="00FF2D36" w:rsidP="00235569">
            <w:pPr>
              <w:spacing w:before="120" w:after="120"/>
              <w:rPr>
                <w:rFonts w:ascii="Arial" w:hAnsi="Arial" w:cs="Arial"/>
                <w:sz w:val="22"/>
                <w:szCs w:val="22"/>
              </w:rPr>
            </w:pPr>
            <w:r w:rsidRPr="00FF2D36">
              <w:rPr>
                <w:rFonts w:ascii="Arial" w:hAnsi="Arial" w:cs="Arial"/>
                <w:sz w:val="22"/>
                <w:szCs w:val="22"/>
              </w:rPr>
              <w:t xml:space="preserve">Methodology: </w:t>
            </w:r>
            <w:bookmarkStart w:id="9" w:name="_Hlk182828218"/>
            <w:bookmarkStart w:id="10" w:name="_Hlk184030185"/>
            <w:r w:rsidR="00350E89" w:rsidRPr="00563E46">
              <w:rPr>
                <w:rFonts w:ascii="Arial" w:hAnsi="Arial" w:cs="Arial"/>
                <w:sz w:val="22"/>
                <w:szCs w:val="22"/>
              </w:rPr>
              <w:t>c</w:t>
            </w:r>
            <w:r w:rsidRPr="00563E46">
              <w:rPr>
                <w:rFonts w:ascii="Arial" w:hAnsi="Arial" w:cs="Arial"/>
                <w:sz w:val="22"/>
                <w:szCs w:val="22"/>
              </w:rPr>
              <w:t>omposite</w:t>
            </w:r>
            <w:r w:rsidRPr="00FF2D36">
              <w:rPr>
                <w:rFonts w:ascii="Arial" w:hAnsi="Arial" w:cs="Arial"/>
                <w:sz w:val="22"/>
                <w:szCs w:val="22"/>
              </w:rPr>
              <w:t xml:space="preserve"> indicator based on</w:t>
            </w:r>
            <w:r w:rsidR="00B804CE">
              <w:rPr>
                <w:rFonts w:ascii="Arial" w:hAnsi="Arial" w:cs="Arial"/>
                <w:sz w:val="22"/>
                <w:szCs w:val="22"/>
              </w:rPr>
              <w:t xml:space="preserve"> </w:t>
            </w:r>
            <w:r w:rsidR="00B804CE" w:rsidRPr="00563E46">
              <w:rPr>
                <w:rFonts w:ascii="Arial" w:hAnsi="Arial" w:cs="Arial"/>
                <w:sz w:val="22"/>
                <w:szCs w:val="22"/>
              </w:rPr>
              <w:t>the</w:t>
            </w:r>
            <w:r w:rsidRPr="00FF2D36">
              <w:rPr>
                <w:rFonts w:ascii="Arial" w:hAnsi="Arial" w:cs="Arial"/>
                <w:sz w:val="22"/>
                <w:szCs w:val="22"/>
              </w:rPr>
              <w:t xml:space="preserve"> weighted average scores to</w:t>
            </w:r>
            <w:r w:rsidR="00AD1E4A">
              <w:rPr>
                <w:rFonts w:ascii="Arial" w:hAnsi="Arial" w:cs="Arial"/>
                <w:sz w:val="22"/>
                <w:szCs w:val="22"/>
              </w:rPr>
              <w:t xml:space="preserve"> </w:t>
            </w:r>
            <w:r w:rsidRPr="00FF2D36">
              <w:rPr>
                <w:rFonts w:ascii="Arial" w:hAnsi="Arial" w:cs="Arial"/>
                <w:sz w:val="22"/>
                <w:szCs w:val="22"/>
              </w:rPr>
              <w:t>patient experience questions.</w:t>
            </w:r>
            <w:r>
              <w:rPr>
                <w:rFonts w:ascii="Arial" w:hAnsi="Arial" w:cs="Arial"/>
                <w:sz w:val="22"/>
                <w:szCs w:val="22"/>
              </w:rPr>
              <w:t xml:space="preserve"> </w:t>
            </w:r>
            <w:r w:rsidRPr="00FF2D36">
              <w:rPr>
                <w:rFonts w:ascii="Arial" w:hAnsi="Arial" w:cs="Arial"/>
                <w:sz w:val="22"/>
                <w:szCs w:val="22"/>
              </w:rPr>
              <w:t>The survey is weighted by age, gender and method of admission (emergency or elective).</w:t>
            </w:r>
            <w:bookmarkEnd w:id="9"/>
          </w:p>
          <w:bookmarkEnd w:id="10"/>
          <w:p w14:paraId="248026DC" w14:textId="0C434739" w:rsidR="00FF2D36" w:rsidRDefault="00B804CE" w:rsidP="00235569">
            <w:pPr>
              <w:spacing w:before="120" w:after="120"/>
              <w:rPr>
                <w:rFonts w:ascii="Arial" w:hAnsi="Arial" w:cs="Arial"/>
                <w:sz w:val="22"/>
                <w:szCs w:val="22"/>
              </w:rPr>
            </w:pPr>
            <w:r>
              <w:rPr>
                <w:rFonts w:ascii="Arial" w:hAnsi="Arial" w:cs="Arial"/>
                <w:sz w:val="22"/>
                <w:szCs w:val="22"/>
              </w:rPr>
              <w:t>The q</w:t>
            </w:r>
            <w:r w:rsidR="00FF2D36" w:rsidRPr="00FF2D36">
              <w:rPr>
                <w:rFonts w:ascii="Arial" w:hAnsi="Arial" w:cs="Arial"/>
                <w:sz w:val="22"/>
                <w:szCs w:val="22"/>
              </w:rPr>
              <w:t xml:space="preserve">uestions are grouped into 5 domains, scores are multiplied by </w:t>
            </w:r>
            <w:r w:rsidR="00F964D4">
              <w:rPr>
                <w:rFonts w:ascii="Arial" w:hAnsi="Arial" w:cs="Arial"/>
                <w:sz w:val="22"/>
                <w:szCs w:val="22"/>
              </w:rPr>
              <w:t>10</w:t>
            </w:r>
            <w:r w:rsidR="00FF2D36" w:rsidRPr="00FF2D36">
              <w:rPr>
                <w:rFonts w:ascii="Arial" w:hAnsi="Arial" w:cs="Arial"/>
                <w:sz w:val="22"/>
                <w:szCs w:val="22"/>
              </w:rPr>
              <w:t xml:space="preserve"> to give an overall score out of 100, then an average of the 5 domains is calculated to give a value. The domains are:</w:t>
            </w:r>
            <w:bookmarkStart w:id="11" w:name="_Hlk180794055"/>
          </w:p>
          <w:p w14:paraId="73F34A36" w14:textId="77777777" w:rsidR="00FF2D36" w:rsidRDefault="00FF2D36" w:rsidP="00FF2D36">
            <w:pPr>
              <w:pStyle w:val="ListParagraph"/>
              <w:numPr>
                <w:ilvl w:val="0"/>
                <w:numId w:val="46"/>
              </w:numPr>
              <w:spacing w:before="120" w:after="120"/>
              <w:rPr>
                <w:rFonts w:ascii="Arial" w:hAnsi="Arial" w:cs="Arial"/>
                <w:sz w:val="22"/>
                <w:szCs w:val="22"/>
              </w:rPr>
            </w:pPr>
            <w:r w:rsidRPr="00FF2D36">
              <w:rPr>
                <w:rFonts w:ascii="Arial" w:hAnsi="Arial" w:cs="Arial"/>
                <w:sz w:val="22"/>
                <w:szCs w:val="22"/>
              </w:rPr>
              <w:t>Access and waiting</w:t>
            </w:r>
          </w:p>
          <w:p w14:paraId="0DF0CAD3" w14:textId="77777777" w:rsidR="00FF2D36" w:rsidRDefault="00FF2D36" w:rsidP="00FF2D36">
            <w:pPr>
              <w:pStyle w:val="ListParagraph"/>
              <w:numPr>
                <w:ilvl w:val="0"/>
                <w:numId w:val="46"/>
              </w:numPr>
              <w:spacing w:before="120" w:after="120"/>
              <w:rPr>
                <w:rFonts w:ascii="Arial" w:hAnsi="Arial" w:cs="Arial"/>
                <w:sz w:val="22"/>
                <w:szCs w:val="22"/>
              </w:rPr>
            </w:pPr>
            <w:r w:rsidRPr="00FF2D36">
              <w:rPr>
                <w:rFonts w:ascii="Arial" w:hAnsi="Arial" w:cs="Arial"/>
                <w:sz w:val="22"/>
                <w:szCs w:val="22"/>
              </w:rPr>
              <w:t>Safe, high quality co-ordinated care</w:t>
            </w:r>
          </w:p>
          <w:p w14:paraId="13B3C167" w14:textId="77777777" w:rsidR="00FF2D36" w:rsidRDefault="00FF2D36" w:rsidP="00FF2D36">
            <w:pPr>
              <w:pStyle w:val="ListParagraph"/>
              <w:numPr>
                <w:ilvl w:val="0"/>
                <w:numId w:val="46"/>
              </w:numPr>
              <w:spacing w:before="120" w:after="120"/>
              <w:rPr>
                <w:rFonts w:ascii="Arial" w:hAnsi="Arial" w:cs="Arial"/>
                <w:sz w:val="22"/>
                <w:szCs w:val="22"/>
              </w:rPr>
            </w:pPr>
            <w:r w:rsidRPr="00FF2D36">
              <w:rPr>
                <w:rFonts w:ascii="Arial" w:hAnsi="Arial" w:cs="Arial"/>
                <w:sz w:val="22"/>
                <w:szCs w:val="22"/>
              </w:rPr>
              <w:t>Better information, more choice</w:t>
            </w:r>
          </w:p>
          <w:p w14:paraId="187904E6" w14:textId="77777777" w:rsidR="00FF2D36" w:rsidRDefault="00FF2D36" w:rsidP="00FF2D36">
            <w:pPr>
              <w:pStyle w:val="ListParagraph"/>
              <w:numPr>
                <w:ilvl w:val="0"/>
                <w:numId w:val="46"/>
              </w:numPr>
              <w:spacing w:before="120" w:after="120"/>
              <w:rPr>
                <w:rFonts w:ascii="Arial" w:hAnsi="Arial" w:cs="Arial"/>
                <w:sz w:val="22"/>
                <w:szCs w:val="22"/>
              </w:rPr>
            </w:pPr>
            <w:r w:rsidRPr="00FF2D36">
              <w:rPr>
                <w:rFonts w:ascii="Arial" w:hAnsi="Arial" w:cs="Arial"/>
                <w:sz w:val="22"/>
                <w:szCs w:val="22"/>
              </w:rPr>
              <w:t>Building closer relationships</w:t>
            </w:r>
          </w:p>
          <w:p w14:paraId="6B3D2BF0" w14:textId="19B92569" w:rsidR="009C05EB" w:rsidRPr="00A763F0" w:rsidRDefault="00FF2D36" w:rsidP="00A763F0">
            <w:pPr>
              <w:pStyle w:val="ListParagraph"/>
              <w:numPr>
                <w:ilvl w:val="0"/>
                <w:numId w:val="46"/>
              </w:numPr>
              <w:spacing w:before="120" w:after="120"/>
              <w:rPr>
                <w:rFonts w:ascii="Arial" w:hAnsi="Arial" w:cs="Arial"/>
                <w:sz w:val="22"/>
                <w:szCs w:val="22"/>
              </w:rPr>
            </w:pPr>
            <w:r w:rsidRPr="00FF2D36">
              <w:rPr>
                <w:rFonts w:ascii="Arial" w:hAnsi="Arial" w:cs="Arial"/>
                <w:sz w:val="22"/>
                <w:szCs w:val="22"/>
              </w:rPr>
              <w:t>Clean, friendly, comfortable place to be</w:t>
            </w:r>
            <w:bookmarkEnd w:id="11"/>
            <w:r w:rsidR="00A763F0">
              <w:rPr>
                <w:rFonts w:ascii="Arial" w:hAnsi="Arial" w:cs="Arial"/>
                <w:sz w:val="22"/>
                <w:szCs w:val="22"/>
              </w:rPr>
              <w:t>.</w:t>
            </w:r>
          </w:p>
        </w:tc>
        <w:tc>
          <w:tcPr>
            <w:tcW w:w="3118" w:type="dxa"/>
          </w:tcPr>
          <w:p w14:paraId="501A7677" w14:textId="7777777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 xml:space="preserve">The indicator is measuring what it is designed to measure. </w:t>
            </w:r>
          </w:p>
          <w:p w14:paraId="24CB8CBA" w14:textId="284E71C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tc>
          <w:tcPr>
            <w:tcW w:w="5949" w:type="dxa"/>
          </w:tcPr>
          <w:p w14:paraId="50FC03A9" w14:textId="77777777" w:rsidR="002338EB" w:rsidRPr="00A47852" w:rsidRDefault="002338EB">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pPr>
              <w:pStyle w:val="Paragraph"/>
              <w:spacing w:before="120" w:after="120" w:line="240" w:lineRule="auto"/>
              <w:rPr>
                <w:b/>
                <w:bCs/>
                <w:sz w:val="22"/>
                <w:szCs w:val="22"/>
              </w:rPr>
            </w:pPr>
            <w:r w:rsidRPr="00A47852">
              <w:rPr>
                <w:b/>
                <w:bCs/>
                <w:sz w:val="22"/>
                <w:szCs w:val="22"/>
              </w:rPr>
              <w:t>Assessment</w:t>
            </w:r>
          </w:p>
        </w:tc>
      </w:tr>
      <w:tr w:rsidR="00735337" w14:paraId="5EC80837" w14:textId="77777777">
        <w:tc>
          <w:tcPr>
            <w:tcW w:w="5949" w:type="dxa"/>
          </w:tcPr>
          <w:p w14:paraId="009E37A6" w14:textId="25C14AA9" w:rsidR="00735337" w:rsidRPr="008175A5" w:rsidRDefault="009C4598" w:rsidP="00735337">
            <w:pPr>
              <w:pStyle w:val="Paragraph"/>
              <w:spacing w:before="120" w:after="120" w:line="240" w:lineRule="auto"/>
              <w:rPr>
                <w:rFonts w:cs="Arial"/>
                <w:sz w:val="22"/>
                <w:szCs w:val="22"/>
              </w:rPr>
            </w:pPr>
            <w:r>
              <w:rPr>
                <w:rFonts w:cs="Arial"/>
                <w:sz w:val="22"/>
                <w:szCs w:val="22"/>
              </w:rPr>
              <w:t xml:space="preserve">NICE did not have an option to consult on National Library indicators and therefore cannot confirm practitioner acceptability of control. </w:t>
            </w:r>
            <w:r w:rsidR="008175A5">
              <w:rPr>
                <w:rFonts w:cs="Arial"/>
                <w:sz w:val="22"/>
                <w:szCs w:val="22"/>
              </w:rPr>
              <w:t xml:space="preserve"> </w:t>
            </w:r>
            <w:r>
              <w:rPr>
                <w:rFonts w:cs="Arial"/>
                <w:sz w:val="22"/>
                <w:szCs w:val="22"/>
              </w:rPr>
              <w:t>However</w:t>
            </w:r>
            <w:r w:rsidR="00350E89" w:rsidRPr="00350E89">
              <w:rPr>
                <w:rFonts w:cs="Arial"/>
                <w:b/>
                <w:bCs/>
                <w:sz w:val="22"/>
                <w:szCs w:val="22"/>
              </w:rPr>
              <w:t>,</w:t>
            </w:r>
            <w:r>
              <w:rPr>
                <w:rFonts w:cs="Arial"/>
                <w:sz w:val="22"/>
                <w:szCs w:val="22"/>
              </w:rPr>
              <w:t xml:space="preserve"> the NHSOF is long</w:t>
            </w:r>
            <w:r w:rsidR="00043279">
              <w:rPr>
                <w:rFonts w:cs="Arial"/>
                <w:sz w:val="22"/>
                <w:szCs w:val="22"/>
              </w:rPr>
              <w:t>-</w:t>
            </w:r>
            <w:r>
              <w:rPr>
                <w:rFonts w:cs="Arial"/>
                <w:sz w:val="22"/>
                <w:szCs w:val="22"/>
              </w:rPr>
              <w:t xml:space="preserve">running and </w:t>
            </w:r>
            <w:r w:rsidR="001221EF">
              <w:rPr>
                <w:rFonts w:cs="Arial"/>
                <w:sz w:val="22"/>
                <w:szCs w:val="22"/>
              </w:rPr>
              <w:t xml:space="preserve">practitioner </w:t>
            </w:r>
            <w:r>
              <w:rPr>
                <w:rFonts w:cs="Arial"/>
                <w:sz w:val="22"/>
                <w:szCs w:val="22"/>
              </w:rPr>
              <w:t xml:space="preserve">acceptability may be assumed from that. </w:t>
            </w:r>
            <w:r w:rsidR="00735337" w:rsidRPr="009C4598">
              <w:rPr>
                <w:rFonts w:cs="Arial"/>
                <w:sz w:val="22"/>
                <w:szCs w:val="22"/>
              </w:rPr>
              <w:t xml:space="preserve"> </w:t>
            </w:r>
          </w:p>
        </w:tc>
        <w:tc>
          <w:tcPr>
            <w:tcW w:w="3118" w:type="dxa"/>
          </w:tcPr>
          <w:p w14:paraId="50C98A36" w14:textId="14C32902" w:rsidR="00735337" w:rsidRPr="009C4598" w:rsidRDefault="00735337" w:rsidP="00735337">
            <w:pPr>
              <w:pStyle w:val="Paragraph"/>
              <w:spacing w:before="120" w:after="120" w:line="240" w:lineRule="auto"/>
            </w:pPr>
            <w:r w:rsidRPr="009C4598">
              <w:rPr>
                <w:rFonts w:cs="Arial"/>
                <w:color w:val="000000"/>
                <w:kern w:val="24"/>
                <w:sz w:val="22"/>
                <w:szCs w:val="22"/>
              </w:rPr>
              <w:t>The indicator assesses performance that is attributable to or within the control of the audience</w:t>
            </w:r>
          </w:p>
        </w:tc>
      </w:tr>
      <w:tr w:rsidR="00735337" w14:paraId="7E164FBD" w14:textId="77777777">
        <w:tc>
          <w:tcPr>
            <w:tcW w:w="5949" w:type="dxa"/>
          </w:tcPr>
          <w:p w14:paraId="3967C549" w14:textId="60B637E1" w:rsidR="001221EF" w:rsidRDefault="001221EF" w:rsidP="00043279">
            <w:pPr>
              <w:pStyle w:val="Paragraph"/>
              <w:spacing w:before="120" w:after="120" w:line="240" w:lineRule="auto"/>
              <w:rPr>
                <w:rFonts w:cs="Arial"/>
                <w:sz w:val="22"/>
                <w:szCs w:val="22"/>
              </w:rPr>
            </w:pPr>
            <w:r>
              <w:rPr>
                <w:rFonts w:cs="Arial"/>
                <w:sz w:val="22"/>
                <w:szCs w:val="22"/>
              </w:rPr>
              <w:t>Nationally</w:t>
            </w:r>
            <w:r w:rsidR="00A763F0">
              <w:rPr>
                <w:rFonts w:cs="Arial"/>
                <w:sz w:val="22"/>
                <w:szCs w:val="22"/>
              </w:rPr>
              <w:t>,</w:t>
            </w:r>
            <w:r w:rsidR="00043279" w:rsidRPr="00A43EA1">
              <w:rPr>
                <w:rFonts w:cs="Arial"/>
                <w:sz w:val="22"/>
                <w:szCs w:val="22"/>
              </w:rPr>
              <w:t xml:space="preserve"> </w:t>
            </w:r>
            <w:r w:rsidR="00043279">
              <w:rPr>
                <w:rFonts w:cs="Arial"/>
                <w:sz w:val="22"/>
                <w:szCs w:val="22"/>
              </w:rPr>
              <w:t xml:space="preserve">there has been </w:t>
            </w:r>
            <w:r w:rsidR="00043279" w:rsidRPr="00A43EA1">
              <w:rPr>
                <w:rFonts w:cs="Arial"/>
                <w:sz w:val="22"/>
                <w:szCs w:val="22"/>
              </w:rPr>
              <w:t xml:space="preserve">little variation over time. </w:t>
            </w:r>
            <w:r w:rsidRPr="001221EF">
              <w:rPr>
                <w:rFonts w:cs="Arial"/>
                <w:sz w:val="22"/>
                <w:szCs w:val="22"/>
              </w:rPr>
              <w:t>Variation exists across geography.</w:t>
            </w:r>
            <w:r>
              <w:rPr>
                <w:rFonts w:cs="Arial"/>
                <w:sz w:val="22"/>
                <w:szCs w:val="22"/>
              </w:rPr>
              <w:t xml:space="preserve"> </w:t>
            </w:r>
          </w:p>
          <w:p w14:paraId="78EE747E" w14:textId="5D08415B" w:rsidR="00043279" w:rsidRDefault="00043279" w:rsidP="00043279">
            <w:pPr>
              <w:pStyle w:val="Paragraph"/>
              <w:spacing w:before="120" w:after="120" w:line="240" w:lineRule="auto"/>
              <w:rPr>
                <w:rFonts w:cs="Arial"/>
                <w:sz w:val="22"/>
                <w:szCs w:val="22"/>
              </w:rPr>
            </w:pPr>
            <w:r>
              <w:rPr>
                <w:rFonts w:cs="Arial"/>
                <w:sz w:val="22"/>
                <w:szCs w:val="22"/>
              </w:rPr>
              <w:t xml:space="preserve">It is noted that </w:t>
            </w:r>
            <w:r w:rsidR="001221EF">
              <w:rPr>
                <w:rFonts w:cs="Arial"/>
                <w:sz w:val="22"/>
                <w:szCs w:val="22"/>
              </w:rPr>
              <w:t>‘t</w:t>
            </w:r>
            <w:r w:rsidR="001221EF" w:rsidRPr="001221EF">
              <w:rPr>
                <w:rFonts w:cs="Arial"/>
                <w:sz w:val="22"/>
                <w:szCs w:val="22"/>
              </w:rPr>
              <w:t>he trust values in the indicator data file cannot be compared against each other since trusts can have different demographic compositions which can bias the results. Valid comparisons can be made over time for all trust and England values</w:t>
            </w:r>
            <w:r w:rsidR="001221EF">
              <w:rPr>
                <w:rFonts w:cs="Arial"/>
                <w:sz w:val="22"/>
                <w:szCs w:val="22"/>
              </w:rPr>
              <w:t>’.</w:t>
            </w:r>
          </w:p>
          <w:p w14:paraId="3AF0200A" w14:textId="1FEDC073" w:rsidR="00C71D2C" w:rsidRPr="00717916" w:rsidRDefault="005B7C81" w:rsidP="00B001E2">
            <w:pPr>
              <w:pStyle w:val="Paragraph"/>
              <w:spacing w:before="120" w:after="120" w:line="240" w:lineRule="auto"/>
              <w:rPr>
                <w:rFonts w:cs="Arial"/>
                <w:sz w:val="22"/>
                <w:szCs w:val="22"/>
              </w:rPr>
            </w:pPr>
            <w:r w:rsidRPr="00DA2716">
              <w:rPr>
                <w:rFonts w:cs="Arial"/>
                <w:sz w:val="22"/>
                <w:szCs w:val="22"/>
              </w:rPr>
              <w:t xml:space="preserve">(adapted from </w:t>
            </w:r>
            <w:hyperlink r:id="rId20" w:history="1">
              <w:r>
                <w:rPr>
                  <w:rStyle w:val="Hyperlink"/>
                  <w:rFonts w:cs="Arial"/>
                  <w:sz w:val="22"/>
                  <w:szCs w:val="22"/>
                </w:rPr>
                <w:t>NHSOF quality statement for indicator 4b</w:t>
              </w:r>
            </w:hyperlink>
            <w:r w:rsidRPr="00DA2716">
              <w:rPr>
                <w:rFonts w:cs="Arial"/>
                <w:sz w:val="22"/>
                <w:szCs w:val="22"/>
              </w:rPr>
              <w:t xml:space="preserve">, version </w:t>
            </w:r>
            <w:r>
              <w:rPr>
                <w:rFonts w:cs="Arial"/>
                <w:sz w:val="22"/>
                <w:szCs w:val="22"/>
              </w:rPr>
              <w:t>1</w:t>
            </w:r>
            <w:r w:rsidRPr="00DA2716">
              <w:rPr>
                <w:rFonts w:cs="Arial"/>
                <w:sz w:val="22"/>
                <w:szCs w:val="22"/>
              </w:rPr>
              <w:t>.</w:t>
            </w:r>
            <w:r>
              <w:rPr>
                <w:rFonts w:cs="Arial"/>
                <w:sz w:val="22"/>
                <w:szCs w:val="22"/>
              </w:rPr>
              <w:t>9</w:t>
            </w:r>
            <w:r w:rsidRPr="00DA2716">
              <w:rPr>
                <w:rFonts w:cs="Arial"/>
                <w:sz w:val="22"/>
                <w:szCs w:val="22"/>
              </w:rPr>
              <w:t xml:space="preserve"> (</w:t>
            </w:r>
            <w:r>
              <w:rPr>
                <w:rFonts w:cs="Arial"/>
                <w:sz w:val="22"/>
                <w:szCs w:val="22"/>
              </w:rPr>
              <w:t>August</w:t>
            </w:r>
            <w:r w:rsidRPr="00DA2716">
              <w:rPr>
                <w:rFonts w:cs="Arial"/>
                <w:sz w:val="22"/>
                <w:szCs w:val="22"/>
              </w:rPr>
              <w:t xml:space="preserve"> 20</w:t>
            </w:r>
            <w:r>
              <w:rPr>
                <w:rFonts w:cs="Arial"/>
                <w:sz w:val="22"/>
                <w:szCs w:val="22"/>
              </w:rPr>
              <w:t>20)).</w:t>
            </w:r>
          </w:p>
        </w:tc>
        <w:tc>
          <w:tcPr>
            <w:tcW w:w="3118" w:type="dxa"/>
          </w:tcPr>
          <w:p w14:paraId="2909F55A" w14:textId="550EBBEB" w:rsidR="00735337" w:rsidRPr="009C4598" w:rsidRDefault="00735337" w:rsidP="00735337">
            <w:pPr>
              <w:pStyle w:val="Paragraph"/>
              <w:spacing w:before="120" w:after="120" w:line="240" w:lineRule="auto"/>
            </w:pPr>
            <w:r w:rsidRPr="009C4598">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4F9CECCC" w14:textId="77777777">
        <w:tc>
          <w:tcPr>
            <w:tcW w:w="5949" w:type="dxa"/>
          </w:tcPr>
          <w:p w14:paraId="7D45A224" w14:textId="77777777" w:rsidR="00A47852" w:rsidRPr="00A47852" w:rsidRDefault="00A47852">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pPr>
              <w:pStyle w:val="Paragraph"/>
              <w:spacing w:before="120" w:after="120" w:line="240" w:lineRule="auto"/>
              <w:rPr>
                <w:b/>
                <w:bCs/>
                <w:sz w:val="22"/>
                <w:szCs w:val="22"/>
              </w:rPr>
            </w:pPr>
            <w:r w:rsidRPr="00A47852">
              <w:rPr>
                <w:b/>
                <w:bCs/>
                <w:sz w:val="22"/>
                <w:szCs w:val="22"/>
              </w:rPr>
              <w:t>Assessment</w:t>
            </w:r>
          </w:p>
        </w:tc>
      </w:tr>
      <w:tr w:rsidR="00A47852" w14:paraId="2365E62E" w14:textId="77777777">
        <w:tc>
          <w:tcPr>
            <w:tcW w:w="5949" w:type="dxa"/>
          </w:tcPr>
          <w:p w14:paraId="5D0DDE27" w14:textId="0D0ED858" w:rsidR="00155C95" w:rsidRPr="00155C95" w:rsidRDefault="009C4598" w:rsidP="00A47852">
            <w:pPr>
              <w:pStyle w:val="Paragraph"/>
              <w:spacing w:before="120" w:after="120" w:line="240" w:lineRule="auto"/>
              <w:rPr>
                <w:rFonts w:cs="Arial"/>
                <w:color w:val="000000"/>
                <w:kern w:val="24"/>
                <w:sz w:val="22"/>
                <w:szCs w:val="22"/>
                <w:lang w:eastAsia="en-GB"/>
              </w:rPr>
            </w:pPr>
            <w:r w:rsidRPr="00A43EA1">
              <w:rPr>
                <w:rFonts w:cs="Arial"/>
                <w:color w:val="000000"/>
                <w:kern w:val="24"/>
                <w:sz w:val="22"/>
                <w:szCs w:val="22"/>
                <w:lang w:eastAsia="en-GB"/>
              </w:rPr>
              <w:t>The survey questions may change from year-to-year so there is some risk that the questions used to construct this indicator may be</w:t>
            </w:r>
            <w:r w:rsidR="001221EF">
              <w:rPr>
                <w:rFonts w:cs="Arial"/>
                <w:color w:val="000000"/>
                <w:kern w:val="24"/>
                <w:sz w:val="22"/>
                <w:szCs w:val="22"/>
                <w:lang w:eastAsia="en-GB"/>
              </w:rPr>
              <w:t xml:space="preserve"> removed and changed. </w:t>
            </w:r>
            <w:r w:rsidRPr="00A43EA1">
              <w:rPr>
                <w:rFonts w:cs="Arial"/>
                <w:color w:val="000000"/>
                <w:kern w:val="24"/>
                <w:sz w:val="22"/>
                <w:szCs w:val="22"/>
                <w:lang w:eastAsia="en-GB"/>
              </w:rPr>
              <w:t xml:space="preserve"> </w:t>
            </w:r>
          </w:p>
        </w:tc>
        <w:tc>
          <w:tcPr>
            <w:tcW w:w="3118" w:type="dxa"/>
          </w:tcPr>
          <w:p w14:paraId="29FB2923" w14:textId="4EE07B97" w:rsidR="00A47852" w:rsidRPr="009C4598" w:rsidRDefault="00A47852" w:rsidP="00A47852">
            <w:pPr>
              <w:pStyle w:val="Paragraph"/>
              <w:spacing w:before="120" w:after="120" w:line="240" w:lineRule="auto"/>
            </w:pPr>
            <w:r w:rsidRPr="009C4598">
              <w:rPr>
                <w:rFonts w:cs="Arial"/>
                <w:color w:val="000000"/>
                <w:kern w:val="24"/>
                <w:sz w:val="22"/>
                <w:szCs w:val="22"/>
              </w:rPr>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21"/>
      <w:footerReference w:type="default" r:id="rId22"/>
      <w:headerReference w:type="first" r:id="rId2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E97D" w14:textId="77777777" w:rsidR="007C2289" w:rsidRDefault="007C2289" w:rsidP="00446BEE">
      <w:r>
        <w:separator/>
      </w:r>
    </w:p>
  </w:endnote>
  <w:endnote w:type="continuationSeparator" w:id="0">
    <w:p w14:paraId="4300E6A2" w14:textId="77777777" w:rsidR="007C2289" w:rsidRDefault="007C228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380285FA" w:rsidR="00BB14CA" w:rsidRPr="008C1C95" w:rsidRDefault="0084619D" w:rsidP="008C1C95">
    <w:pPr>
      <w:pStyle w:val="Footer"/>
      <w:jc w:val="right"/>
    </w:pPr>
    <w:r>
      <w:t>IND290:</w:t>
    </w:r>
    <w:r w:rsidR="009B0E59">
      <w:t xml:space="preserve"> Validity assessment </w:t>
    </w:r>
    <w:r w:rsidR="00095F01">
      <w:t>December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CE75" w14:textId="77777777" w:rsidR="007C2289" w:rsidRDefault="007C2289" w:rsidP="00446BEE">
      <w:r>
        <w:separator/>
      </w:r>
    </w:p>
  </w:footnote>
  <w:footnote w:type="continuationSeparator" w:id="0">
    <w:p w14:paraId="00694A03" w14:textId="77777777" w:rsidR="007C2289" w:rsidRDefault="007C228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C6C3AAD"/>
    <w:multiLevelType w:val="hybridMultilevel"/>
    <w:tmpl w:val="7B8E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140CAF"/>
    <w:multiLevelType w:val="hybridMultilevel"/>
    <w:tmpl w:val="A8F8D86A"/>
    <w:lvl w:ilvl="0" w:tplc="ECC4D518">
      <w:start w:val="1"/>
      <w:numFmt w:val="bullet"/>
      <w:lvlText w:val=""/>
      <w:lvlJc w:val="left"/>
      <w:pPr>
        <w:ind w:left="1440" w:hanging="360"/>
      </w:pPr>
      <w:rPr>
        <w:rFonts w:ascii="Symbol" w:hAnsi="Symbol"/>
      </w:rPr>
    </w:lvl>
    <w:lvl w:ilvl="1" w:tplc="942288B6">
      <w:start w:val="1"/>
      <w:numFmt w:val="bullet"/>
      <w:lvlText w:val=""/>
      <w:lvlJc w:val="left"/>
      <w:pPr>
        <w:ind w:left="1440" w:hanging="360"/>
      </w:pPr>
      <w:rPr>
        <w:rFonts w:ascii="Symbol" w:hAnsi="Symbol"/>
      </w:rPr>
    </w:lvl>
    <w:lvl w:ilvl="2" w:tplc="17D4645E">
      <w:start w:val="1"/>
      <w:numFmt w:val="bullet"/>
      <w:lvlText w:val=""/>
      <w:lvlJc w:val="left"/>
      <w:pPr>
        <w:ind w:left="1440" w:hanging="360"/>
      </w:pPr>
      <w:rPr>
        <w:rFonts w:ascii="Symbol" w:hAnsi="Symbol"/>
      </w:rPr>
    </w:lvl>
    <w:lvl w:ilvl="3" w:tplc="CF988CF0">
      <w:start w:val="1"/>
      <w:numFmt w:val="bullet"/>
      <w:lvlText w:val=""/>
      <w:lvlJc w:val="left"/>
      <w:pPr>
        <w:ind w:left="1440" w:hanging="360"/>
      </w:pPr>
      <w:rPr>
        <w:rFonts w:ascii="Symbol" w:hAnsi="Symbol"/>
      </w:rPr>
    </w:lvl>
    <w:lvl w:ilvl="4" w:tplc="55D41CAE">
      <w:start w:val="1"/>
      <w:numFmt w:val="bullet"/>
      <w:lvlText w:val=""/>
      <w:lvlJc w:val="left"/>
      <w:pPr>
        <w:ind w:left="1440" w:hanging="360"/>
      </w:pPr>
      <w:rPr>
        <w:rFonts w:ascii="Symbol" w:hAnsi="Symbol"/>
      </w:rPr>
    </w:lvl>
    <w:lvl w:ilvl="5" w:tplc="8EF6E5BA">
      <w:start w:val="1"/>
      <w:numFmt w:val="bullet"/>
      <w:lvlText w:val=""/>
      <w:lvlJc w:val="left"/>
      <w:pPr>
        <w:ind w:left="1440" w:hanging="360"/>
      </w:pPr>
      <w:rPr>
        <w:rFonts w:ascii="Symbol" w:hAnsi="Symbol"/>
      </w:rPr>
    </w:lvl>
    <w:lvl w:ilvl="6" w:tplc="AB86AC4E">
      <w:start w:val="1"/>
      <w:numFmt w:val="bullet"/>
      <w:lvlText w:val=""/>
      <w:lvlJc w:val="left"/>
      <w:pPr>
        <w:ind w:left="1440" w:hanging="360"/>
      </w:pPr>
      <w:rPr>
        <w:rFonts w:ascii="Symbol" w:hAnsi="Symbol"/>
      </w:rPr>
    </w:lvl>
    <w:lvl w:ilvl="7" w:tplc="D4FAF8BA">
      <w:start w:val="1"/>
      <w:numFmt w:val="bullet"/>
      <w:lvlText w:val=""/>
      <w:lvlJc w:val="left"/>
      <w:pPr>
        <w:ind w:left="1440" w:hanging="360"/>
      </w:pPr>
      <w:rPr>
        <w:rFonts w:ascii="Symbol" w:hAnsi="Symbol"/>
      </w:rPr>
    </w:lvl>
    <w:lvl w:ilvl="8" w:tplc="A4FA7EC2">
      <w:start w:val="1"/>
      <w:numFmt w:val="bullet"/>
      <w:lvlText w:val=""/>
      <w:lvlJc w:val="left"/>
      <w:pPr>
        <w:ind w:left="1440" w:hanging="360"/>
      </w:pPr>
      <w:rPr>
        <w:rFonts w:ascii="Symbol" w:hAnsi="Symbol"/>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A46257"/>
    <w:multiLevelType w:val="hybridMultilevel"/>
    <w:tmpl w:val="DDA4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C957CD"/>
    <w:multiLevelType w:val="hybridMultilevel"/>
    <w:tmpl w:val="2D94EB9E"/>
    <w:lvl w:ilvl="0" w:tplc="B5AE46FA">
      <w:start w:val="1"/>
      <w:numFmt w:val="bullet"/>
      <w:lvlText w:val=""/>
      <w:lvlJc w:val="left"/>
      <w:pPr>
        <w:ind w:left="1440" w:hanging="360"/>
      </w:pPr>
      <w:rPr>
        <w:rFonts w:ascii="Symbol" w:hAnsi="Symbol"/>
      </w:rPr>
    </w:lvl>
    <w:lvl w:ilvl="1" w:tplc="731A3138">
      <w:start w:val="1"/>
      <w:numFmt w:val="bullet"/>
      <w:lvlText w:val=""/>
      <w:lvlJc w:val="left"/>
      <w:pPr>
        <w:ind w:left="1440" w:hanging="360"/>
      </w:pPr>
      <w:rPr>
        <w:rFonts w:ascii="Symbol" w:hAnsi="Symbol"/>
      </w:rPr>
    </w:lvl>
    <w:lvl w:ilvl="2" w:tplc="AD2CE244">
      <w:start w:val="1"/>
      <w:numFmt w:val="bullet"/>
      <w:lvlText w:val=""/>
      <w:lvlJc w:val="left"/>
      <w:pPr>
        <w:ind w:left="1440" w:hanging="360"/>
      </w:pPr>
      <w:rPr>
        <w:rFonts w:ascii="Symbol" w:hAnsi="Symbol"/>
      </w:rPr>
    </w:lvl>
    <w:lvl w:ilvl="3" w:tplc="C5B89ED6">
      <w:start w:val="1"/>
      <w:numFmt w:val="bullet"/>
      <w:lvlText w:val=""/>
      <w:lvlJc w:val="left"/>
      <w:pPr>
        <w:ind w:left="1440" w:hanging="360"/>
      </w:pPr>
      <w:rPr>
        <w:rFonts w:ascii="Symbol" w:hAnsi="Symbol"/>
      </w:rPr>
    </w:lvl>
    <w:lvl w:ilvl="4" w:tplc="F572A6AE">
      <w:start w:val="1"/>
      <w:numFmt w:val="bullet"/>
      <w:lvlText w:val=""/>
      <w:lvlJc w:val="left"/>
      <w:pPr>
        <w:ind w:left="1440" w:hanging="360"/>
      </w:pPr>
      <w:rPr>
        <w:rFonts w:ascii="Symbol" w:hAnsi="Symbol"/>
      </w:rPr>
    </w:lvl>
    <w:lvl w:ilvl="5" w:tplc="07824618">
      <w:start w:val="1"/>
      <w:numFmt w:val="bullet"/>
      <w:lvlText w:val=""/>
      <w:lvlJc w:val="left"/>
      <w:pPr>
        <w:ind w:left="1440" w:hanging="360"/>
      </w:pPr>
      <w:rPr>
        <w:rFonts w:ascii="Symbol" w:hAnsi="Symbol"/>
      </w:rPr>
    </w:lvl>
    <w:lvl w:ilvl="6" w:tplc="6CB84B3A">
      <w:start w:val="1"/>
      <w:numFmt w:val="bullet"/>
      <w:lvlText w:val=""/>
      <w:lvlJc w:val="left"/>
      <w:pPr>
        <w:ind w:left="1440" w:hanging="360"/>
      </w:pPr>
      <w:rPr>
        <w:rFonts w:ascii="Symbol" w:hAnsi="Symbol"/>
      </w:rPr>
    </w:lvl>
    <w:lvl w:ilvl="7" w:tplc="6F66FB52">
      <w:start w:val="1"/>
      <w:numFmt w:val="bullet"/>
      <w:lvlText w:val=""/>
      <w:lvlJc w:val="left"/>
      <w:pPr>
        <w:ind w:left="1440" w:hanging="360"/>
      </w:pPr>
      <w:rPr>
        <w:rFonts w:ascii="Symbol" w:hAnsi="Symbol"/>
      </w:rPr>
    </w:lvl>
    <w:lvl w:ilvl="8" w:tplc="2FFAFE6A">
      <w:start w:val="1"/>
      <w:numFmt w:val="bullet"/>
      <w:lvlText w:val=""/>
      <w:lvlJc w:val="left"/>
      <w:pPr>
        <w:ind w:left="1440" w:hanging="360"/>
      </w:pPr>
      <w:rPr>
        <w:rFonts w:ascii="Symbol" w:hAnsi="Symbol"/>
      </w:rPr>
    </w:lvl>
  </w:abstractNum>
  <w:abstractNum w:abstractNumId="21"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44A2F"/>
    <w:multiLevelType w:val="hybridMultilevel"/>
    <w:tmpl w:val="45D6A2C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96099"/>
    <w:multiLevelType w:val="hybridMultilevel"/>
    <w:tmpl w:val="1D9C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7"/>
  </w:num>
  <w:num w:numId="2" w16cid:durableId="233853175">
    <w:abstractNumId w:val="13"/>
  </w:num>
  <w:num w:numId="3" w16cid:durableId="1529370562">
    <w:abstractNumId w:val="31"/>
  </w:num>
  <w:num w:numId="4" w16cid:durableId="657612754">
    <w:abstractNumId w:val="14"/>
  </w:num>
  <w:num w:numId="5" w16cid:durableId="1193808871">
    <w:abstractNumId w:val="28"/>
  </w:num>
  <w:num w:numId="6" w16cid:durableId="781268177">
    <w:abstractNumId w:val="1"/>
  </w:num>
  <w:num w:numId="7" w16cid:durableId="201872007">
    <w:abstractNumId w:val="12"/>
  </w:num>
  <w:num w:numId="8" w16cid:durableId="1295333019">
    <w:abstractNumId w:val="26"/>
  </w:num>
  <w:num w:numId="9" w16cid:durableId="513112173">
    <w:abstractNumId w:val="27"/>
  </w:num>
  <w:num w:numId="10" w16cid:durableId="2049523386">
    <w:abstractNumId w:val="6"/>
  </w:num>
  <w:num w:numId="11" w16cid:durableId="1370840847">
    <w:abstractNumId w:val="9"/>
  </w:num>
  <w:num w:numId="12" w16cid:durableId="1021859395">
    <w:abstractNumId w:val="2"/>
  </w:num>
  <w:num w:numId="13" w16cid:durableId="1167093030">
    <w:abstractNumId w:val="36"/>
  </w:num>
  <w:num w:numId="14" w16cid:durableId="1771392860">
    <w:abstractNumId w:val="17"/>
  </w:num>
  <w:num w:numId="15" w16cid:durableId="1260019971">
    <w:abstractNumId w:val="11"/>
  </w:num>
  <w:num w:numId="16" w16cid:durableId="546987736">
    <w:abstractNumId w:val="23"/>
  </w:num>
  <w:num w:numId="17" w16cid:durableId="2137412053">
    <w:abstractNumId w:val="19"/>
  </w:num>
  <w:num w:numId="18" w16cid:durableId="2039037637">
    <w:abstractNumId w:val="25"/>
  </w:num>
  <w:num w:numId="19" w16cid:durableId="1939945119">
    <w:abstractNumId w:val="29"/>
  </w:num>
  <w:num w:numId="20" w16cid:durableId="1057584041">
    <w:abstractNumId w:val="7"/>
  </w:num>
  <w:num w:numId="21" w16cid:durableId="1439716324">
    <w:abstractNumId w:val="33"/>
  </w:num>
  <w:num w:numId="22" w16cid:durableId="321355733">
    <w:abstractNumId w:val="0"/>
  </w:num>
  <w:num w:numId="23" w16cid:durableId="317730129">
    <w:abstractNumId w:val="5"/>
  </w:num>
  <w:num w:numId="24" w16cid:durableId="480850916">
    <w:abstractNumId w:val="30"/>
  </w:num>
  <w:num w:numId="25" w16cid:durableId="130027160">
    <w:abstractNumId w:val="22"/>
  </w:num>
  <w:num w:numId="26" w16cid:durableId="58794158">
    <w:abstractNumId w:val="21"/>
  </w:num>
  <w:num w:numId="27" w16cid:durableId="214454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6"/>
  </w:num>
  <w:num w:numId="30" w16cid:durableId="1681851572">
    <w:abstractNumId w:val="15"/>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4"/>
  </w:num>
  <w:num w:numId="39" w16cid:durableId="1357119577">
    <w:abstractNumId w:val="24"/>
  </w:num>
  <w:num w:numId="40" w16cid:durableId="1472091102">
    <w:abstractNumId w:val="4"/>
  </w:num>
  <w:num w:numId="41" w16cid:durableId="1046374122">
    <w:abstractNumId w:val="32"/>
  </w:num>
  <w:num w:numId="42" w16cid:durableId="1906182690">
    <w:abstractNumId w:val="35"/>
  </w:num>
  <w:num w:numId="43" w16cid:durableId="1306664881">
    <w:abstractNumId w:val="3"/>
  </w:num>
  <w:num w:numId="44" w16cid:durableId="555287837">
    <w:abstractNumId w:val="8"/>
  </w:num>
  <w:num w:numId="45" w16cid:durableId="1492914221">
    <w:abstractNumId w:val="20"/>
  </w:num>
  <w:num w:numId="46" w16cid:durableId="107782890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17FF0"/>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3279"/>
    <w:rsid w:val="000453F8"/>
    <w:rsid w:val="00050710"/>
    <w:rsid w:val="000523A6"/>
    <w:rsid w:val="000524FA"/>
    <w:rsid w:val="00052A67"/>
    <w:rsid w:val="00052B85"/>
    <w:rsid w:val="00053145"/>
    <w:rsid w:val="0005538C"/>
    <w:rsid w:val="000562CB"/>
    <w:rsid w:val="00057A05"/>
    <w:rsid w:val="0006054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1CF2"/>
    <w:rsid w:val="000853CB"/>
    <w:rsid w:val="000910A7"/>
    <w:rsid w:val="00094BC2"/>
    <w:rsid w:val="00094C1B"/>
    <w:rsid w:val="00095F01"/>
    <w:rsid w:val="000963D1"/>
    <w:rsid w:val="000A16C2"/>
    <w:rsid w:val="000A638C"/>
    <w:rsid w:val="000A7163"/>
    <w:rsid w:val="000A76AA"/>
    <w:rsid w:val="000B1301"/>
    <w:rsid w:val="000B1CBF"/>
    <w:rsid w:val="000B1FEE"/>
    <w:rsid w:val="000B33BD"/>
    <w:rsid w:val="000B34B8"/>
    <w:rsid w:val="000B5939"/>
    <w:rsid w:val="000B5EBE"/>
    <w:rsid w:val="000C22B9"/>
    <w:rsid w:val="000C4A97"/>
    <w:rsid w:val="000C4D57"/>
    <w:rsid w:val="000C4EE8"/>
    <w:rsid w:val="000C50D5"/>
    <w:rsid w:val="000C51CA"/>
    <w:rsid w:val="000C7A5D"/>
    <w:rsid w:val="000D04B0"/>
    <w:rsid w:val="000D1487"/>
    <w:rsid w:val="000D3776"/>
    <w:rsid w:val="000E0E0D"/>
    <w:rsid w:val="000E4899"/>
    <w:rsid w:val="000E7E3C"/>
    <w:rsid w:val="000F3B49"/>
    <w:rsid w:val="000F6502"/>
    <w:rsid w:val="00100281"/>
    <w:rsid w:val="001043B0"/>
    <w:rsid w:val="00110A94"/>
    <w:rsid w:val="00110AD8"/>
    <w:rsid w:val="00112FAE"/>
    <w:rsid w:val="001131E2"/>
    <w:rsid w:val="001134E7"/>
    <w:rsid w:val="00117DAD"/>
    <w:rsid w:val="00120291"/>
    <w:rsid w:val="00121C0F"/>
    <w:rsid w:val="001221EF"/>
    <w:rsid w:val="00124CBD"/>
    <w:rsid w:val="001252AE"/>
    <w:rsid w:val="00125557"/>
    <w:rsid w:val="001306F4"/>
    <w:rsid w:val="00130EC7"/>
    <w:rsid w:val="00134FDA"/>
    <w:rsid w:val="00135081"/>
    <w:rsid w:val="001352C4"/>
    <w:rsid w:val="00135596"/>
    <w:rsid w:val="00136466"/>
    <w:rsid w:val="001368F7"/>
    <w:rsid w:val="00137868"/>
    <w:rsid w:val="00140B46"/>
    <w:rsid w:val="001411D8"/>
    <w:rsid w:val="001413FC"/>
    <w:rsid w:val="00145D3C"/>
    <w:rsid w:val="00147DFA"/>
    <w:rsid w:val="001503E8"/>
    <w:rsid w:val="00154516"/>
    <w:rsid w:val="0015530D"/>
    <w:rsid w:val="00155A83"/>
    <w:rsid w:val="00155C95"/>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645B"/>
    <w:rsid w:val="001869CE"/>
    <w:rsid w:val="00187570"/>
    <w:rsid w:val="00192188"/>
    <w:rsid w:val="00192685"/>
    <w:rsid w:val="00192B09"/>
    <w:rsid w:val="001936A7"/>
    <w:rsid w:val="00193D4B"/>
    <w:rsid w:val="00194E6C"/>
    <w:rsid w:val="00195D2F"/>
    <w:rsid w:val="00196167"/>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2D7"/>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687"/>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5569"/>
    <w:rsid w:val="00236060"/>
    <w:rsid w:val="00236B76"/>
    <w:rsid w:val="002408EA"/>
    <w:rsid w:val="00241410"/>
    <w:rsid w:val="00250D2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9A7"/>
    <w:rsid w:val="00286C3A"/>
    <w:rsid w:val="00287467"/>
    <w:rsid w:val="00291A5B"/>
    <w:rsid w:val="00292456"/>
    <w:rsid w:val="00292B2C"/>
    <w:rsid w:val="0029330E"/>
    <w:rsid w:val="002967AC"/>
    <w:rsid w:val="00296E2E"/>
    <w:rsid w:val="002A5503"/>
    <w:rsid w:val="002A6812"/>
    <w:rsid w:val="002A7339"/>
    <w:rsid w:val="002A7A24"/>
    <w:rsid w:val="002B1D52"/>
    <w:rsid w:val="002B4762"/>
    <w:rsid w:val="002B565A"/>
    <w:rsid w:val="002B71D2"/>
    <w:rsid w:val="002C1199"/>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05735"/>
    <w:rsid w:val="00310E3D"/>
    <w:rsid w:val="00311ED0"/>
    <w:rsid w:val="00311FE4"/>
    <w:rsid w:val="003132FA"/>
    <w:rsid w:val="00314933"/>
    <w:rsid w:val="0031497D"/>
    <w:rsid w:val="00315A58"/>
    <w:rsid w:val="00315E20"/>
    <w:rsid w:val="00316D48"/>
    <w:rsid w:val="00320CA5"/>
    <w:rsid w:val="00320EE5"/>
    <w:rsid w:val="003236DA"/>
    <w:rsid w:val="003244E5"/>
    <w:rsid w:val="00324C60"/>
    <w:rsid w:val="00326131"/>
    <w:rsid w:val="00326482"/>
    <w:rsid w:val="00330EED"/>
    <w:rsid w:val="00331B26"/>
    <w:rsid w:val="00332A07"/>
    <w:rsid w:val="00333E63"/>
    <w:rsid w:val="003351B7"/>
    <w:rsid w:val="0033631A"/>
    <w:rsid w:val="00336946"/>
    <w:rsid w:val="00340D15"/>
    <w:rsid w:val="00341BA8"/>
    <w:rsid w:val="00343A77"/>
    <w:rsid w:val="00343BAA"/>
    <w:rsid w:val="00344166"/>
    <w:rsid w:val="00344AA6"/>
    <w:rsid w:val="003464B3"/>
    <w:rsid w:val="00346B57"/>
    <w:rsid w:val="00347A39"/>
    <w:rsid w:val="00347EDE"/>
    <w:rsid w:val="00350E89"/>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0CF"/>
    <w:rsid w:val="00376C2A"/>
    <w:rsid w:val="00377277"/>
    <w:rsid w:val="00377304"/>
    <w:rsid w:val="00381BEA"/>
    <w:rsid w:val="00381FB7"/>
    <w:rsid w:val="00382495"/>
    <w:rsid w:val="00384141"/>
    <w:rsid w:val="003856AA"/>
    <w:rsid w:val="00385DDD"/>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2FAD"/>
    <w:rsid w:val="003B69AA"/>
    <w:rsid w:val="003C06E9"/>
    <w:rsid w:val="003C3023"/>
    <w:rsid w:val="003C39D1"/>
    <w:rsid w:val="003C7AAF"/>
    <w:rsid w:val="003C7B7D"/>
    <w:rsid w:val="003D1CFB"/>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6DB"/>
    <w:rsid w:val="003F4970"/>
    <w:rsid w:val="003F540E"/>
    <w:rsid w:val="003F694A"/>
    <w:rsid w:val="003F7CE6"/>
    <w:rsid w:val="003F7D78"/>
    <w:rsid w:val="00400934"/>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E70"/>
    <w:rsid w:val="004271A0"/>
    <w:rsid w:val="0042742A"/>
    <w:rsid w:val="004306C0"/>
    <w:rsid w:val="00431F8B"/>
    <w:rsid w:val="0044029F"/>
    <w:rsid w:val="00440CCA"/>
    <w:rsid w:val="00442497"/>
    <w:rsid w:val="00442D76"/>
    <w:rsid w:val="004440AF"/>
    <w:rsid w:val="00446BEE"/>
    <w:rsid w:val="00450E6D"/>
    <w:rsid w:val="004518F7"/>
    <w:rsid w:val="0045334C"/>
    <w:rsid w:val="004539A8"/>
    <w:rsid w:val="004539D9"/>
    <w:rsid w:val="00453E46"/>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2F6"/>
    <w:rsid w:val="00483498"/>
    <w:rsid w:val="0048353B"/>
    <w:rsid w:val="00486953"/>
    <w:rsid w:val="0049012F"/>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04"/>
    <w:rsid w:val="00511471"/>
    <w:rsid w:val="00511887"/>
    <w:rsid w:val="005127C1"/>
    <w:rsid w:val="005138B7"/>
    <w:rsid w:val="005143BA"/>
    <w:rsid w:val="00520DC8"/>
    <w:rsid w:val="00523BB4"/>
    <w:rsid w:val="005243EC"/>
    <w:rsid w:val="005249CF"/>
    <w:rsid w:val="00525DD1"/>
    <w:rsid w:val="00527A29"/>
    <w:rsid w:val="00527E86"/>
    <w:rsid w:val="005343E1"/>
    <w:rsid w:val="005353CB"/>
    <w:rsid w:val="00535CCD"/>
    <w:rsid w:val="00545970"/>
    <w:rsid w:val="00550783"/>
    <w:rsid w:val="005508EE"/>
    <w:rsid w:val="005536FB"/>
    <w:rsid w:val="00555CC8"/>
    <w:rsid w:val="00556B58"/>
    <w:rsid w:val="005577FA"/>
    <w:rsid w:val="00557FBC"/>
    <w:rsid w:val="00563994"/>
    <w:rsid w:val="00563E46"/>
    <w:rsid w:val="0056425E"/>
    <w:rsid w:val="00565745"/>
    <w:rsid w:val="00566FFF"/>
    <w:rsid w:val="0056705D"/>
    <w:rsid w:val="00571370"/>
    <w:rsid w:val="005750B1"/>
    <w:rsid w:val="00575207"/>
    <w:rsid w:val="00577C83"/>
    <w:rsid w:val="00580FF4"/>
    <w:rsid w:val="00583913"/>
    <w:rsid w:val="005842A7"/>
    <w:rsid w:val="00584C95"/>
    <w:rsid w:val="00584CC9"/>
    <w:rsid w:val="00585C10"/>
    <w:rsid w:val="00585FCF"/>
    <w:rsid w:val="00586210"/>
    <w:rsid w:val="00586316"/>
    <w:rsid w:val="00590E29"/>
    <w:rsid w:val="005935C0"/>
    <w:rsid w:val="005963D4"/>
    <w:rsid w:val="00596607"/>
    <w:rsid w:val="005A014D"/>
    <w:rsid w:val="005A188D"/>
    <w:rsid w:val="005A1A5C"/>
    <w:rsid w:val="005A3125"/>
    <w:rsid w:val="005A31A0"/>
    <w:rsid w:val="005A4AD8"/>
    <w:rsid w:val="005A50D3"/>
    <w:rsid w:val="005A576F"/>
    <w:rsid w:val="005A64F3"/>
    <w:rsid w:val="005A6AB3"/>
    <w:rsid w:val="005B0095"/>
    <w:rsid w:val="005B3A6D"/>
    <w:rsid w:val="005B5C8B"/>
    <w:rsid w:val="005B6D38"/>
    <w:rsid w:val="005B73E7"/>
    <w:rsid w:val="005B7C81"/>
    <w:rsid w:val="005C05E1"/>
    <w:rsid w:val="005C3893"/>
    <w:rsid w:val="005C5E41"/>
    <w:rsid w:val="005C74AC"/>
    <w:rsid w:val="005C7DB5"/>
    <w:rsid w:val="005D15B9"/>
    <w:rsid w:val="005D1E0A"/>
    <w:rsid w:val="005D352A"/>
    <w:rsid w:val="005D48F9"/>
    <w:rsid w:val="005D4C95"/>
    <w:rsid w:val="005E0AC1"/>
    <w:rsid w:val="005E2508"/>
    <w:rsid w:val="005E437F"/>
    <w:rsid w:val="005E58ED"/>
    <w:rsid w:val="005E62A7"/>
    <w:rsid w:val="005E6A05"/>
    <w:rsid w:val="005E6B30"/>
    <w:rsid w:val="005F25FD"/>
    <w:rsid w:val="005F3989"/>
    <w:rsid w:val="005F3C5C"/>
    <w:rsid w:val="005F3C69"/>
    <w:rsid w:val="005F5AFD"/>
    <w:rsid w:val="005F6BB8"/>
    <w:rsid w:val="005F6F0A"/>
    <w:rsid w:val="005F7681"/>
    <w:rsid w:val="00601291"/>
    <w:rsid w:val="0060351B"/>
    <w:rsid w:val="00607959"/>
    <w:rsid w:val="0061221F"/>
    <w:rsid w:val="006134B0"/>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16F"/>
    <w:rsid w:val="00685588"/>
    <w:rsid w:val="006862FD"/>
    <w:rsid w:val="00686D56"/>
    <w:rsid w:val="006879F4"/>
    <w:rsid w:val="006921E1"/>
    <w:rsid w:val="00692F13"/>
    <w:rsid w:val="006937D0"/>
    <w:rsid w:val="00693996"/>
    <w:rsid w:val="006948AC"/>
    <w:rsid w:val="00696325"/>
    <w:rsid w:val="006966FC"/>
    <w:rsid w:val="006A2C36"/>
    <w:rsid w:val="006A5E06"/>
    <w:rsid w:val="006B17FD"/>
    <w:rsid w:val="006B44E2"/>
    <w:rsid w:val="006B50DC"/>
    <w:rsid w:val="006C0C61"/>
    <w:rsid w:val="006C293A"/>
    <w:rsid w:val="006C3D61"/>
    <w:rsid w:val="006C63E7"/>
    <w:rsid w:val="006D3CBE"/>
    <w:rsid w:val="006D4325"/>
    <w:rsid w:val="006D4C8A"/>
    <w:rsid w:val="006D55A6"/>
    <w:rsid w:val="006D6BD0"/>
    <w:rsid w:val="006E09CB"/>
    <w:rsid w:val="006E2124"/>
    <w:rsid w:val="006E23A2"/>
    <w:rsid w:val="006E303F"/>
    <w:rsid w:val="006E46C1"/>
    <w:rsid w:val="006E4E37"/>
    <w:rsid w:val="006E5D76"/>
    <w:rsid w:val="006F17D4"/>
    <w:rsid w:val="006F255A"/>
    <w:rsid w:val="006F2843"/>
    <w:rsid w:val="006F4D08"/>
    <w:rsid w:val="006F6463"/>
    <w:rsid w:val="0070542C"/>
    <w:rsid w:val="00705671"/>
    <w:rsid w:val="007067D1"/>
    <w:rsid w:val="00713287"/>
    <w:rsid w:val="007136A7"/>
    <w:rsid w:val="007139DD"/>
    <w:rsid w:val="007143AC"/>
    <w:rsid w:val="00716007"/>
    <w:rsid w:val="00716835"/>
    <w:rsid w:val="00716ACF"/>
    <w:rsid w:val="00717916"/>
    <w:rsid w:val="007210C5"/>
    <w:rsid w:val="007250E1"/>
    <w:rsid w:val="00726086"/>
    <w:rsid w:val="00726FF0"/>
    <w:rsid w:val="00727230"/>
    <w:rsid w:val="00730AA4"/>
    <w:rsid w:val="0073113B"/>
    <w:rsid w:val="007324D9"/>
    <w:rsid w:val="00732C44"/>
    <w:rsid w:val="00734CC7"/>
    <w:rsid w:val="00735337"/>
    <w:rsid w:val="00736348"/>
    <w:rsid w:val="00736448"/>
    <w:rsid w:val="00736D41"/>
    <w:rsid w:val="00736E0A"/>
    <w:rsid w:val="00737F84"/>
    <w:rsid w:val="00740203"/>
    <w:rsid w:val="0074085C"/>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2289"/>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70"/>
    <w:rsid w:val="007F14A6"/>
    <w:rsid w:val="007F71A5"/>
    <w:rsid w:val="007F744E"/>
    <w:rsid w:val="007F7F72"/>
    <w:rsid w:val="008010D5"/>
    <w:rsid w:val="0080217C"/>
    <w:rsid w:val="00802828"/>
    <w:rsid w:val="0080288C"/>
    <w:rsid w:val="0080417F"/>
    <w:rsid w:val="00804466"/>
    <w:rsid w:val="00804CEB"/>
    <w:rsid w:val="00806468"/>
    <w:rsid w:val="00806DBE"/>
    <w:rsid w:val="00807FF1"/>
    <w:rsid w:val="008100D4"/>
    <w:rsid w:val="00810C89"/>
    <w:rsid w:val="008137AD"/>
    <w:rsid w:val="008138B2"/>
    <w:rsid w:val="00813C4A"/>
    <w:rsid w:val="00815862"/>
    <w:rsid w:val="00817349"/>
    <w:rsid w:val="008175A5"/>
    <w:rsid w:val="00817C3D"/>
    <w:rsid w:val="00820118"/>
    <w:rsid w:val="00822301"/>
    <w:rsid w:val="00822F81"/>
    <w:rsid w:val="00826926"/>
    <w:rsid w:val="008274B0"/>
    <w:rsid w:val="0082752E"/>
    <w:rsid w:val="008318F6"/>
    <w:rsid w:val="0083313E"/>
    <w:rsid w:val="008331BB"/>
    <w:rsid w:val="008338B5"/>
    <w:rsid w:val="00833D43"/>
    <w:rsid w:val="00837CEE"/>
    <w:rsid w:val="00840FF7"/>
    <w:rsid w:val="00841169"/>
    <w:rsid w:val="00844032"/>
    <w:rsid w:val="008443D8"/>
    <w:rsid w:val="008445E7"/>
    <w:rsid w:val="0084619D"/>
    <w:rsid w:val="00847D3A"/>
    <w:rsid w:val="008509C1"/>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0F89"/>
    <w:rsid w:val="008F2FAE"/>
    <w:rsid w:val="008F4B70"/>
    <w:rsid w:val="008F4E22"/>
    <w:rsid w:val="008F4ED3"/>
    <w:rsid w:val="008F591A"/>
    <w:rsid w:val="008F61C4"/>
    <w:rsid w:val="008F7333"/>
    <w:rsid w:val="009004F9"/>
    <w:rsid w:val="009019A9"/>
    <w:rsid w:val="00904368"/>
    <w:rsid w:val="00904953"/>
    <w:rsid w:val="009052F5"/>
    <w:rsid w:val="00905991"/>
    <w:rsid w:val="009072F7"/>
    <w:rsid w:val="00907583"/>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1FAA"/>
    <w:rsid w:val="00934644"/>
    <w:rsid w:val="0093543E"/>
    <w:rsid w:val="00937E8B"/>
    <w:rsid w:val="009460E7"/>
    <w:rsid w:val="00947483"/>
    <w:rsid w:val="00947FDB"/>
    <w:rsid w:val="00952219"/>
    <w:rsid w:val="009539B0"/>
    <w:rsid w:val="009543A4"/>
    <w:rsid w:val="00955F17"/>
    <w:rsid w:val="009562D0"/>
    <w:rsid w:val="00957124"/>
    <w:rsid w:val="00960777"/>
    <w:rsid w:val="00960B9B"/>
    <w:rsid w:val="00960CC3"/>
    <w:rsid w:val="0096180D"/>
    <w:rsid w:val="00961E3B"/>
    <w:rsid w:val="00962360"/>
    <w:rsid w:val="009626F3"/>
    <w:rsid w:val="009669AD"/>
    <w:rsid w:val="00966EB0"/>
    <w:rsid w:val="00970115"/>
    <w:rsid w:val="00970894"/>
    <w:rsid w:val="00972945"/>
    <w:rsid w:val="00973C64"/>
    <w:rsid w:val="00974384"/>
    <w:rsid w:val="00974D81"/>
    <w:rsid w:val="00976903"/>
    <w:rsid w:val="00977F9C"/>
    <w:rsid w:val="00983AF5"/>
    <w:rsid w:val="00985E51"/>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2B37"/>
    <w:rsid w:val="009B3223"/>
    <w:rsid w:val="009B3F8C"/>
    <w:rsid w:val="009B4063"/>
    <w:rsid w:val="009B52E5"/>
    <w:rsid w:val="009B5C5F"/>
    <w:rsid w:val="009B6AF7"/>
    <w:rsid w:val="009C05EB"/>
    <w:rsid w:val="009C0968"/>
    <w:rsid w:val="009C1354"/>
    <w:rsid w:val="009C3C0C"/>
    <w:rsid w:val="009C3CDC"/>
    <w:rsid w:val="009C4598"/>
    <w:rsid w:val="009C5ADA"/>
    <w:rsid w:val="009C6070"/>
    <w:rsid w:val="009C6214"/>
    <w:rsid w:val="009C77BF"/>
    <w:rsid w:val="009D02ED"/>
    <w:rsid w:val="009D08C0"/>
    <w:rsid w:val="009D1D56"/>
    <w:rsid w:val="009D1EB8"/>
    <w:rsid w:val="009D49AA"/>
    <w:rsid w:val="009D4FBB"/>
    <w:rsid w:val="009D7602"/>
    <w:rsid w:val="009E3151"/>
    <w:rsid w:val="009E5AA1"/>
    <w:rsid w:val="009E680B"/>
    <w:rsid w:val="009E7448"/>
    <w:rsid w:val="009F1902"/>
    <w:rsid w:val="009F4086"/>
    <w:rsid w:val="009F4F44"/>
    <w:rsid w:val="009F7239"/>
    <w:rsid w:val="00A0249B"/>
    <w:rsid w:val="00A036C5"/>
    <w:rsid w:val="00A0479E"/>
    <w:rsid w:val="00A05C88"/>
    <w:rsid w:val="00A07644"/>
    <w:rsid w:val="00A1151F"/>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57AD"/>
    <w:rsid w:val="00A402D5"/>
    <w:rsid w:val="00A4094A"/>
    <w:rsid w:val="00A426BE"/>
    <w:rsid w:val="00A43EA1"/>
    <w:rsid w:val="00A47852"/>
    <w:rsid w:val="00A526EF"/>
    <w:rsid w:val="00A53E97"/>
    <w:rsid w:val="00A54F81"/>
    <w:rsid w:val="00A56483"/>
    <w:rsid w:val="00A60794"/>
    <w:rsid w:val="00A611CE"/>
    <w:rsid w:val="00A614C6"/>
    <w:rsid w:val="00A7018B"/>
    <w:rsid w:val="00A70A7A"/>
    <w:rsid w:val="00A71410"/>
    <w:rsid w:val="00A74AE2"/>
    <w:rsid w:val="00A756BB"/>
    <w:rsid w:val="00A763F0"/>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1E4A"/>
    <w:rsid w:val="00AD23FF"/>
    <w:rsid w:val="00AD3BCE"/>
    <w:rsid w:val="00AD56B1"/>
    <w:rsid w:val="00AD7CB3"/>
    <w:rsid w:val="00AE0661"/>
    <w:rsid w:val="00AE22A6"/>
    <w:rsid w:val="00AE249A"/>
    <w:rsid w:val="00AE29F8"/>
    <w:rsid w:val="00AE38DB"/>
    <w:rsid w:val="00AE495F"/>
    <w:rsid w:val="00AE537D"/>
    <w:rsid w:val="00AE5576"/>
    <w:rsid w:val="00AE5854"/>
    <w:rsid w:val="00AE76CB"/>
    <w:rsid w:val="00AF108A"/>
    <w:rsid w:val="00AF10F5"/>
    <w:rsid w:val="00AF1393"/>
    <w:rsid w:val="00AF27B4"/>
    <w:rsid w:val="00AF5D31"/>
    <w:rsid w:val="00AF67E7"/>
    <w:rsid w:val="00AF6DD8"/>
    <w:rsid w:val="00B001E2"/>
    <w:rsid w:val="00B01831"/>
    <w:rsid w:val="00B0269C"/>
    <w:rsid w:val="00B02E55"/>
    <w:rsid w:val="00B03527"/>
    <w:rsid w:val="00B0389A"/>
    <w:rsid w:val="00B0538C"/>
    <w:rsid w:val="00B06D4E"/>
    <w:rsid w:val="00B06F68"/>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35F3"/>
    <w:rsid w:val="00B44CE2"/>
    <w:rsid w:val="00B453BB"/>
    <w:rsid w:val="00B50B39"/>
    <w:rsid w:val="00B53A23"/>
    <w:rsid w:val="00B54BE5"/>
    <w:rsid w:val="00B55D4E"/>
    <w:rsid w:val="00B570F4"/>
    <w:rsid w:val="00B57BE4"/>
    <w:rsid w:val="00B67460"/>
    <w:rsid w:val="00B67A85"/>
    <w:rsid w:val="00B70575"/>
    <w:rsid w:val="00B70FFB"/>
    <w:rsid w:val="00B712E5"/>
    <w:rsid w:val="00B71851"/>
    <w:rsid w:val="00B72513"/>
    <w:rsid w:val="00B73B73"/>
    <w:rsid w:val="00B75ACF"/>
    <w:rsid w:val="00B77084"/>
    <w:rsid w:val="00B804CE"/>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6E56"/>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653E"/>
    <w:rsid w:val="00C47DDE"/>
    <w:rsid w:val="00C50912"/>
    <w:rsid w:val="00C50FF0"/>
    <w:rsid w:val="00C56073"/>
    <w:rsid w:val="00C578C1"/>
    <w:rsid w:val="00C57E04"/>
    <w:rsid w:val="00C613B1"/>
    <w:rsid w:val="00C63347"/>
    <w:rsid w:val="00C64D23"/>
    <w:rsid w:val="00C67B74"/>
    <w:rsid w:val="00C67F14"/>
    <w:rsid w:val="00C7123A"/>
    <w:rsid w:val="00C7128F"/>
    <w:rsid w:val="00C71666"/>
    <w:rsid w:val="00C71D2C"/>
    <w:rsid w:val="00C7331B"/>
    <w:rsid w:val="00C74667"/>
    <w:rsid w:val="00C74D07"/>
    <w:rsid w:val="00C772E8"/>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586D"/>
    <w:rsid w:val="00CB60DD"/>
    <w:rsid w:val="00CB6E1F"/>
    <w:rsid w:val="00CB7E4D"/>
    <w:rsid w:val="00CC04DE"/>
    <w:rsid w:val="00CC12E7"/>
    <w:rsid w:val="00CC1EEC"/>
    <w:rsid w:val="00CC3F84"/>
    <w:rsid w:val="00CC517E"/>
    <w:rsid w:val="00CC6E2D"/>
    <w:rsid w:val="00CC7E15"/>
    <w:rsid w:val="00CD24A8"/>
    <w:rsid w:val="00CD315A"/>
    <w:rsid w:val="00CD319A"/>
    <w:rsid w:val="00CD5502"/>
    <w:rsid w:val="00CD5E11"/>
    <w:rsid w:val="00CE0526"/>
    <w:rsid w:val="00CE1ED9"/>
    <w:rsid w:val="00CE2C78"/>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0A47"/>
    <w:rsid w:val="00D11C27"/>
    <w:rsid w:val="00D13EFE"/>
    <w:rsid w:val="00D148D5"/>
    <w:rsid w:val="00D14EE7"/>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34B5"/>
    <w:rsid w:val="00D8405B"/>
    <w:rsid w:val="00D84E7D"/>
    <w:rsid w:val="00D86BF0"/>
    <w:rsid w:val="00D86DCB"/>
    <w:rsid w:val="00D91BA1"/>
    <w:rsid w:val="00D939B7"/>
    <w:rsid w:val="00D950D8"/>
    <w:rsid w:val="00D95477"/>
    <w:rsid w:val="00D959C3"/>
    <w:rsid w:val="00D961B8"/>
    <w:rsid w:val="00DA1511"/>
    <w:rsid w:val="00DA2716"/>
    <w:rsid w:val="00DA6FB8"/>
    <w:rsid w:val="00DA777A"/>
    <w:rsid w:val="00DB0188"/>
    <w:rsid w:val="00DB26A8"/>
    <w:rsid w:val="00DB3C58"/>
    <w:rsid w:val="00DB4F9F"/>
    <w:rsid w:val="00DB5728"/>
    <w:rsid w:val="00DB5AE0"/>
    <w:rsid w:val="00DB6161"/>
    <w:rsid w:val="00DB65B9"/>
    <w:rsid w:val="00DB6BC1"/>
    <w:rsid w:val="00DB70FB"/>
    <w:rsid w:val="00DC0CD5"/>
    <w:rsid w:val="00DC334D"/>
    <w:rsid w:val="00DC6AAD"/>
    <w:rsid w:val="00DE165D"/>
    <w:rsid w:val="00DE2FD7"/>
    <w:rsid w:val="00DE45A3"/>
    <w:rsid w:val="00DE466D"/>
    <w:rsid w:val="00DE5EE7"/>
    <w:rsid w:val="00DF1857"/>
    <w:rsid w:val="00DF1EC1"/>
    <w:rsid w:val="00DF343E"/>
    <w:rsid w:val="00DF5C8E"/>
    <w:rsid w:val="00DF67C3"/>
    <w:rsid w:val="00DF6CEB"/>
    <w:rsid w:val="00E0098A"/>
    <w:rsid w:val="00E009D9"/>
    <w:rsid w:val="00E02B03"/>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0EF5"/>
    <w:rsid w:val="00E51920"/>
    <w:rsid w:val="00E53A58"/>
    <w:rsid w:val="00E542FA"/>
    <w:rsid w:val="00E54D26"/>
    <w:rsid w:val="00E620CC"/>
    <w:rsid w:val="00E63ADD"/>
    <w:rsid w:val="00E64120"/>
    <w:rsid w:val="00E655C8"/>
    <w:rsid w:val="00E65FA3"/>
    <w:rsid w:val="00E678CB"/>
    <w:rsid w:val="00E67D1E"/>
    <w:rsid w:val="00E707FD"/>
    <w:rsid w:val="00E710D7"/>
    <w:rsid w:val="00E71348"/>
    <w:rsid w:val="00E71657"/>
    <w:rsid w:val="00E72EDE"/>
    <w:rsid w:val="00E745BB"/>
    <w:rsid w:val="00E8010A"/>
    <w:rsid w:val="00E8229C"/>
    <w:rsid w:val="00E836E5"/>
    <w:rsid w:val="00E845C6"/>
    <w:rsid w:val="00E84601"/>
    <w:rsid w:val="00E85E09"/>
    <w:rsid w:val="00E8605D"/>
    <w:rsid w:val="00E92CE2"/>
    <w:rsid w:val="00E93CDD"/>
    <w:rsid w:val="00E949AC"/>
    <w:rsid w:val="00E952C5"/>
    <w:rsid w:val="00E977FB"/>
    <w:rsid w:val="00E97E5C"/>
    <w:rsid w:val="00EA0944"/>
    <w:rsid w:val="00EA1325"/>
    <w:rsid w:val="00EA22D5"/>
    <w:rsid w:val="00EA241F"/>
    <w:rsid w:val="00EA2704"/>
    <w:rsid w:val="00EA4221"/>
    <w:rsid w:val="00EA7C1E"/>
    <w:rsid w:val="00EB2186"/>
    <w:rsid w:val="00EB2FE6"/>
    <w:rsid w:val="00EB3CD8"/>
    <w:rsid w:val="00EB6F5F"/>
    <w:rsid w:val="00ED07B2"/>
    <w:rsid w:val="00ED246E"/>
    <w:rsid w:val="00ED379C"/>
    <w:rsid w:val="00ED4D08"/>
    <w:rsid w:val="00ED5834"/>
    <w:rsid w:val="00ED6736"/>
    <w:rsid w:val="00ED6AAF"/>
    <w:rsid w:val="00EE065C"/>
    <w:rsid w:val="00EE3926"/>
    <w:rsid w:val="00EE5D34"/>
    <w:rsid w:val="00EE776F"/>
    <w:rsid w:val="00EF319C"/>
    <w:rsid w:val="00EF3258"/>
    <w:rsid w:val="00EF7C4A"/>
    <w:rsid w:val="00F00846"/>
    <w:rsid w:val="00F02496"/>
    <w:rsid w:val="00F027E4"/>
    <w:rsid w:val="00F04FBD"/>
    <w:rsid w:val="00F055F1"/>
    <w:rsid w:val="00F05A46"/>
    <w:rsid w:val="00F100EB"/>
    <w:rsid w:val="00F15458"/>
    <w:rsid w:val="00F158C7"/>
    <w:rsid w:val="00F162F4"/>
    <w:rsid w:val="00F16C11"/>
    <w:rsid w:val="00F22278"/>
    <w:rsid w:val="00F25246"/>
    <w:rsid w:val="00F307D6"/>
    <w:rsid w:val="00F31A8E"/>
    <w:rsid w:val="00F3203B"/>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5CA8"/>
    <w:rsid w:val="00F87E9D"/>
    <w:rsid w:val="00F9034E"/>
    <w:rsid w:val="00F916DC"/>
    <w:rsid w:val="00F94BD6"/>
    <w:rsid w:val="00F952B4"/>
    <w:rsid w:val="00F958CC"/>
    <w:rsid w:val="00F964D4"/>
    <w:rsid w:val="00FA08F8"/>
    <w:rsid w:val="00FA464E"/>
    <w:rsid w:val="00FA60EE"/>
    <w:rsid w:val="00FB2379"/>
    <w:rsid w:val="00FB25E5"/>
    <w:rsid w:val="00FB3848"/>
    <w:rsid w:val="00FB5293"/>
    <w:rsid w:val="00FB5446"/>
    <w:rsid w:val="00FC0D46"/>
    <w:rsid w:val="00FC10ED"/>
    <w:rsid w:val="00FC1841"/>
    <w:rsid w:val="00FC2D11"/>
    <w:rsid w:val="00FC373B"/>
    <w:rsid w:val="00FC6230"/>
    <w:rsid w:val="00FD0259"/>
    <w:rsid w:val="00FD0268"/>
    <w:rsid w:val="00FD05BA"/>
    <w:rsid w:val="00FD0638"/>
    <w:rsid w:val="00FD23F9"/>
    <w:rsid w:val="00FD2A0A"/>
    <w:rsid w:val="00FD3934"/>
    <w:rsid w:val="00FD40F7"/>
    <w:rsid w:val="00FD5913"/>
    <w:rsid w:val="00FE0558"/>
    <w:rsid w:val="00FE0BF6"/>
    <w:rsid w:val="00FE11E8"/>
    <w:rsid w:val="00FE29B5"/>
    <w:rsid w:val="00FE32EB"/>
    <w:rsid w:val="00FE3AFF"/>
    <w:rsid w:val="00FE7F98"/>
    <w:rsid w:val="00FF065B"/>
    <w:rsid w:val="00FF23E1"/>
    <w:rsid w:val="00FF2D36"/>
    <w:rsid w:val="00FF3ED8"/>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7BEC1"/>
  <w15:docId w15:val="{1085AB8D-DA62-4119-A446-EDC30C1C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19754765">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287392534">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delivery-plan-for-recovering-urgent-and-emergency-care-services-january-2023/" TargetMode="External"/><Relationship Id="rId13" Type="http://schemas.openxmlformats.org/officeDocument/2006/relationships/hyperlink" Target="https://digital.nhs.uk/data-and-information/publications/ci-hub/nhs-outcomes-framework" TargetMode="External"/><Relationship Id="rId18" Type="http://schemas.openxmlformats.org/officeDocument/2006/relationships/hyperlink" Target="https://digital.nhs.uk/data-and-information/publications/statistical/nhs-outcomes-framework/march-2022/domain-4---ensuring-that-people-have-a-positive-experience-of-care-nof/4b-patient-experience-of-hospital-car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igital.nhs.uk/data-and-information/publications/statistical/nhs-outcomes-framework/march-2022/domain-4---ensuring-that-people-have-a-positive-experience-of-care-nof/4b-patient-experience-of-hospital-care" TargetMode="External"/><Relationship Id="rId17" Type="http://schemas.openxmlformats.org/officeDocument/2006/relationships/hyperlink" Target="https://www.cqc.org.uk/publications/surveys/adult-inpatient-surve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qc.org.uk/publications/surveys/adult-inpatient-survey" TargetMode="External"/><Relationship Id="rId20" Type="http://schemas.openxmlformats.org/officeDocument/2006/relationships/hyperlink" Target="https://digital.nhs.uk/data-and-information/publications/statistical/nhs-outcomes-framework/march-2022/domain-4---ensuring-that-people-have-a-positive-experience-of-care-nof/4b-patient-experience-of-hospital-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publications/statistical/nhs-outcomes-framework/march-2022/domain-4---ensuring-that-people-have-a-positive-experience-of-care-nof/4b-patient-experience-of-hospital-car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5" TargetMode="External"/><Relationship Id="rId23" Type="http://schemas.openxmlformats.org/officeDocument/2006/relationships/header" Target="header2.xml"/><Relationship Id="rId10" Type="http://schemas.openxmlformats.org/officeDocument/2006/relationships/hyperlink" Target="https://nhssurveys.org/" TargetMode="External"/><Relationship Id="rId19" Type="http://schemas.openxmlformats.org/officeDocument/2006/relationships/hyperlink" Target="https://www.cqc.org.uk/publications/surveys/adult-inpatient-survey" TargetMode="External"/><Relationship Id="rId4" Type="http://schemas.openxmlformats.org/officeDocument/2006/relationships/settings" Target="settings.xml"/><Relationship Id="rId9" Type="http://schemas.openxmlformats.org/officeDocument/2006/relationships/hyperlink" Target="https://www.england.nhs.uk/publication/the-nhs-long-term-plan/" TargetMode="External"/><Relationship Id="rId14" Type="http://schemas.openxmlformats.org/officeDocument/2006/relationships/hyperlink" Target="https://www.nice.org.uk/guidance/cg138"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3656-2382-4B5E-BA5A-760212CF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832</Words>
  <Characters>6444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Gick</dc:creator>
  <cp:keywords/>
  <dc:description/>
  <cp:lastModifiedBy>Nicola Greenway</cp:lastModifiedBy>
  <cp:revision>8</cp:revision>
  <dcterms:created xsi:type="dcterms:W3CDTF">2025-01-23T16:48:00Z</dcterms:created>
  <dcterms:modified xsi:type="dcterms:W3CDTF">2025-02-05T10:38:00Z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