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9C94" w14:textId="77777777" w:rsidR="003B0466" w:rsidRDefault="003B0466" w:rsidP="00363276">
      <w:pPr>
        <w:pStyle w:val="Title"/>
        <w:rPr>
          <w:sz w:val="40"/>
          <w:szCs w:val="40"/>
        </w:rPr>
      </w:pPr>
      <w:r>
        <w:rPr>
          <w:sz w:val="40"/>
          <w:szCs w:val="40"/>
        </w:rPr>
        <w:t xml:space="preserve">Indicator development programme </w:t>
      </w:r>
    </w:p>
    <w:p w14:paraId="6C6B43FC" w14:textId="1BCEA38A" w:rsidR="00482C01" w:rsidRPr="003B0466" w:rsidRDefault="009B0E59" w:rsidP="00363276">
      <w:pPr>
        <w:pStyle w:val="Title"/>
        <w:rPr>
          <w:sz w:val="40"/>
          <w:szCs w:val="40"/>
        </w:rPr>
      </w:pPr>
      <w:r w:rsidRPr="003B0466">
        <w:rPr>
          <w:sz w:val="40"/>
          <w:szCs w:val="40"/>
        </w:rPr>
        <w:t>NICE indicator v</w:t>
      </w:r>
      <w:r w:rsidR="00192B09" w:rsidRPr="003B0466">
        <w:rPr>
          <w:sz w:val="40"/>
          <w:szCs w:val="40"/>
        </w:rPr>
        <w:t>alidity assessment</w:t>
      </w:r>
    </w:p>
    <w:p w14:paraId="047E7BC9" w14:textId="57B0990E" w:rsidR="009B0E59" w:rsidRPr="009B0E59" w:rsidRDefault="009B0E59" w:rsidP="00192685">
      <w:pPr>
        <w:pStyle w:val="Heading1"/>
        <w:rPr>
          <w:lang w:eastAsia="en-GB"/>
        </w:rPr>
      </w:pPr>
      <w:r w:rsidRPr="009B0E59">
        <w:rPr>
          <w:lang w:eastAsia="en-GB"/>
        </w:rPr>
        <w:t xml:space="preserve">Indicator </w:t>
      </w:r>
      <w:r w:rsidR="00193E17">
        <w:rPr>
          <w:lang w:eastAsia="en-GB"/>
        </w:rPr>
        <w:t>IND295</w:t>
      </w:r>
    </w:p>
    <w:p w14:paraId="635ACE99" w14:textId="77777777" w:rsidR="00BB5EC7" w:rsidRDefault="00BB5EC7" w:rsidP="00192685">
      <w:pPr>
        <w:pStyle w:val="Heading1"/>
        <w:rPr>
          <w:b w:val="0"/>
          <w:bCs w:val="0"/>
          <w:kern w:val="0"/>
          <w:sz w:val="24"/>
          <w:szCs w:val="24"/>
          <w:lang w:eastAsia="en-GB"/>
        </w:rPr>
      </w:pPr>
      <w:r w:rsidRPr="00BB5EC7">
        <w:rPr>
          <w:b w:val="0"/>
          <w:bCs w:val="0"/>
          <w:kern w:val="0"/>
          <w:sz w:val="24"/>
          <w:szCs w:val="24"/>
          <w:lang w:eastAsia="en-GB"/>
        </w:rPr>
        <w:t xml:space="preserve">Tooth extractions due to decay for children admitted as inpatients to hospital, aged 10 years and under </w:t>
      </w:r>
    </w:p>
    <w:p w14:paraId="6CBA005E" w14:textId="5635A72A" w:rsidR="00236060" w:rsidRDefault="00236060" w:rsidP="00192685">
      <w:pPr>
        <w:pStyle w:val="Heading1"/>
      </w:pPr>
      <w:r>
        <w:t xml:space="preserve">Indicator type </w:t>
      </w:r>
    </w:p>
    <w:p w14:paraId="1C718A46" w14:textId="77777777" w:rsidR="00BB5EC7" w:rsidRDefault="00BB5EC7" w:rsidP="00192685">
      <w:pPr>
        <w:pStyle w:val="Heading1"/>
        <w:rPr>
          <w:b w:val="0"/>
          <w:bCs w:val="0"/>
          <w:kern w:val="0"/>
          <w:sz w:val="24"/>
          <w:szCs w:val="24"/>
        </w:rPr>
      </w:pPr>
      <w:r w:rsidRPr="00BB5EC7">
        <w:rPr>
          <w:b w:val="0"/>
          <w:bCs w:val="0"/>
          <w:kern w:val="0"/>
          <w:sz w:val="24"/>
          <w:szCs w:val="24"/>
        </w:rPr>
        <w:t>Network / system level indicator. The indicator would be appropriate to understand and report on the performance of networks or systems of providers.</w:t>
      </w:r>
    </w:p>
    <w:p w14:paraId="7C25BFBC" w14:textId="1AFDFA21"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0"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2E84FF10" w14:textId="77777777" w:rsidR="002338EB" w:rsidRDefault="002338EB" w:rsidP="002338EB">
            <w:pPr>
              <w:pStyle w:val="Paragraph"/>
              <w:spacing w:before="120" w:after="120" w:line="240" w:lineRule="auto"/>
              <w:rPr>
                <w:rFonts w:cs="Arial"/>
                <w:sz w:val="22"/>
                <w:szCs w:val="22"/>
              </w:rPr>
            </w:pPr>
            <w:r w:rsidRPr="00BB5EC7">
              <w:rPr>
                <w:rFonts w:cs="Arial"/>
                <w:sz w:val="22"/>
                <w:szCs w:val="22"/>
              </w:rPr>
              <w:t xml:space="preserve">The </w:t>
            </w:r>
            <w:hyperlink r:id="rId7" w:history="1">
              <w:r w:rsidRPr="00BB5EC7">
                <w:rPr>
                  <w:rFonts w:cs="Arial"/>
                  <w:color w:val="0000FF"/>
                  <w:sz w:val="22"/>
                  <w:szCs w:val="22"/>
                  <w:u w:val="single"/>
                </w:rPr>
                <w:t>NHS Long Term Plan</w:t>
              </w:r>
            </w:hyperlink>
            <w:r w:rsidRPr="00BB5EC7">
              <w:rPr>
                <w:rFonts w:cs="Arial"/>
                <w:sz w:val="22"/>
                <w:szCs w:val="22"/>
              </w:rPr>
              <w:t xml:space="preserve"> </w:t>
            </w:r>
            <w:r w:rsidR="00BB5EC7" w:rsidRPr="00BB5EC7">
              <w:rPr>
                <w:rFonts w:cs="Arial"/>
                <w:sz w:val="22"/>
                <w:szCs w:val="22"/>
              </w:rPr>
              <w:t xml:space="preserve">states that the </w:t>
            </w:r>
            <w:hyperlink r:id="rId8" w:history="1">
              <w:r w:rsidR="00BB5EC7" w:rsidRPr="00BB5EC7">
                <w:rPr>
                  <w:rStyle w:val="Hyperlink"/>
                  <w:rFonts w:cs="Arial"/>
                  <w:sz w:val="22"/>
                  <w:szCs w:val="22"/>
                </w:rPr>
                <w:t>Starting Well Core initiative</w:t>
              </w:r>
            </w:hyperlink>
            <w:r w:rsidR="00BB5EC7" w:rsidRPr="00BB5EC7">
              <w:rPr>
                <w:rFonts w:cs="Arial"/>
                <w:sz w:val="22"/>
                <w:szCs w:val="22"/>
              </w:rPr>
              <w:t xml:space="preserve"> is supporting 24,000 dentists across England to see more children from a young age to form good oral health habits.</w:t>
            </w:r>
            <w:r w:rsidRPr="00BB5EC7">
              <w:rPr>
                <w:rFonts w:cs="Arial"/>
                <w:sz w:val="22"/>
                <w:szCs w:val="22"/>
              </w:rPr>
              <w:t xml:space="preserve"> </w:t>
            </w:r>
          </w:p>
          <w:p w14:paraId="6F338971" w14:textId="624682EB" w:rsidR="00CD0C54" w:rsidRPr="00BB5EC7" w:rsidRDefault="00CD0C54" w:rsidP="002338EB">
            <w:pPr>
              <w:pStyle w:val="Paragraph"/>
              <w:spacing w:before="120" w:after="120" w:line="240" w:lineRule="auto"/>
            </w:pPr>
            <w:r w:rsidRPr="00CD0C54">
              <w:rPr>
                <w:rFonts w:cs="Arial"/>
                <w:sz w:val="22"/>
                <w:szCs w:val="22"/>
              </w:rPr>
              <w:t xml:space="preserve">The indicator is part of the NHS Outcomes Framework (NHSOF) domain 3 – </w:t>
            </w:r>
            <w:r w:rsidR="00B240BA">
              <w:rPr>
                <w:rFonts w:cs="Arial"/>
                <w:sz w:val="22"/>
                <w:szCs w:val="22"/>
              </w:rPr>
              <w:t>h</w:t>
            </w:r>
            <w:r w:rsidRPr="00CD0C54">
              <w:rPr>
                <w:rFonts w:cs="Arial"/>
                <w:sz w:val="22"/>
                <w:szCs w:val="22"/>
              </w:rPr>
              <w:t>elping people to recover from episodes of ill health or following injury.</w:t>
            </w:r>
          </w:p>
        </w:tc>
        <w:tc>
          <w:tcPr>
            <w:tcW w:w="3118" w:type="dxa"/>
          </w:tcPr>
          <w:p w14:paraId="062E903B" w14:textId="19F53F68" w:rsidR="002338EB" w:rsidRPr="00BB5EC7" w:rsidRDefault="002338EB" w:rsidP="002338EB">
            <w:pPr>
              <w:spacing w:before="120" w:after="120"/>
              <w:rPr>
                <w:rFonts w:ascii="Arial" w:hAnsi="Arial" w:cs="Arial"/>
                <w:color w:val="000000"/>
                <w:kern w:val="24"/>
                <w:sz w:val="22"/>
                <w:szCs w:val="22"/>
                <w:lang w:val="en-US"/>
              </w:rPr>
            </w:pPr>
            <w:r w:rsidRPr="00BB5EC7">
              <w:rPr>
                <w:rFonts w:ascii="Arial" w:hAnsi="Arial" w:cs="Arial"/>
                <w:color w:val="000000"/>
                <w:kern w:val="24"/>
                <w:sz w:val="22"/>
                <w:szCs w:val="22"/>
                <w:lang w:val="en-US"/>
              </w:rPr>
              <w:t>The indicator reflects a specific priority area identified by NHS England.</w:t>
            </w:r>
          </w:p>
          <w:p w14:paraId="272CA0EC" w14:textId="77777777" w:rsidR="002338EB" w:rsidRPr="00BB5EC7" w:rsidRDefault="002338EB" w:rsidP="002338EB">
            <w:pPr>
              <w:pStyle w:val="Paragraph"/>
              <w:spacing w:before="120" w:after="120" w:line="240" w:lineRule="auto"/>
            </w:pPr>
          </w:p>
        </w:tc>
      </w:tr>
      <w:tr w:rsidR="00735337" w14:paraId="2E2CE1C4" w14:textId="77777777" w:rsidTr="002338EB">
        <w:tc>
          <w:tcPr>
            <w:tcW w:w="5949" w:type="dxa"/>
          </w:tcPr>
          <w:p w14:paraId="2B46398F" w14:textId="2A9A6D86" w:rsidR="00BB5EC7" w:rsidRPr="00BB5EC7" w:rsidRDefault="003C1D33" w:rsidP="00BB5EC7">
            <w:pPr>
              <w:spacing w:before="120" w:after="120"/>
              <w:rPr>
                <w:rFonts w:ascii="Arial" w:hAnsi="Arial" w:cs="Arial"/>
                <w:sz w:val="22"/>
                <w:szCs w:val="22"/>
              </w:rPr>
            </w:pPr>
            <w:r>
              <w:rPr>
                <w:rFonts w:ascii="Arial" w:hAnsi="Arial" w:cs="Arial"/>
                <w:sz w:val="22"/>
                <w:szCs w:val="22"/>
              </w:rPr>
              <w:t>The n</w:t>
            </w:r>
            <w:r w:rsidRPr="003C1D33">
              <w:rPr>
                <w:rFonts w:ascii="Arial" w:hAnsi="Arial" w:cs="Arial"/>
                <w:sz w:val="22"/>
                <w:szCs w:val="22"/>
              </w:rPr>
              <w:t xml:space="preserve">ational value </w:t>
            </w:r>
            <w:r>
              <w:rPr>
                <w:rFonts w:ascii="Arial" w:hAnsi="Arial" w:cs="Arial"/>
                <w:sz w:val="22"/>
                <w:szCs w:val="22"/>
              </w:rPr>
              <w:t xml:space="preserve">has </w:t>
            </w:r>
            <w:r w:rsidRPr="003C1D33">
              <w:rPr>
                <w:rFonts w:ascii="Arial" w:hAnsi="Arial" w:cs="Arial"/>
                <w:sz w:val="22"/>
                <w:szCs w:val="22"/>
              </w:rPr>
              <w:t>improv</w:t>
            </w:r>
            <w:r>
              <w:rPr>
                <w:rFonts w:ascii="Arial" w:hAnsi="Arial" w:cs="Arial"/>
                <w:sz w:val="22"/>
                <w:szCs w:val="22"/>
              </w:rPr>
              <w:t>ed</w:t>
            </w:r>
            <w:r w:rsidRPr="003C1D33">
              <w:rPr>
                <w:rFonts w:ascii="Arial" w:hAnsi="Arial" w:cs="Arial"/>
                <w:sz w:val="22"/>
                <w:szCs w:val="22"/>
              </w:rPr>
              <w:t xml:space="preserve"> over tim</w:t>
            </w:r>
            <w:r>
              <w:rPr>
                <w:rFonts w:ascii="Arial" w:hAnsi="Arial" w:cs="Arial"/>
                <w:sz w:val="22"/>
                <w:szCs w:val="22"/>
              </w:rPr>
              <w:t>e;</w:t>
            </w:r>
            <w:r w:rsidRPr="003C1D33">
              <w:rPr>
                <w:rFonts w:ascii="Arial" w:hAnsi="Arial" w:cs="Arial"/>
                <w:sz w:val="22"/>
                <w:szCs w:val="22"/>
              </w:rPr>
              <w:t xml:space="preserve"> </w:t>
            </w:r>
            <w:r w:rsidR="00BB5EC7" w:rsidRPr="00BB5EC7">
              <w:rPr>
                <w:rFonts w:ascii="Arial" w:hAnsi="Arial" w:cs="Arial"/>
                <w:sz w:val="22"/>
                <w:szCs w:val="22"/>
              </w:rPr>
              <w:t>values have seen a slight but steady reduction over time between 2014</w:t>
            </w:r>
            <w:r w:rsidR="00403268">
              <w:rPr>
                <w:rFonts w:ascii="Arial" w:hAnsi="Arial" w:cs="Arial"/>
                <w:sz w:val="22"/>
                <w:szCs w:val="22"/>
              </w:rPr>
              <w:t xml:space="preserve"> to 20</w:t>
            </w:r>
            <w:r w:rsidR="00BB5EC7" w:rsidRPr="00BB5EC7">
              <w:rPr>
                <w:rFonts w:ascii="Arial" w:hAnsi="Arial" w:cs="Arial"/>
                <w:sz w:val="22"/>
                <w:szCs w:val="22"/>
              </w:rPr>
              <w:t>15 and 2018</w:t>
            </w:r>
            <w:r w:rsidR="00403268">
              <w:rPr>
                <w:rFonts w:ascii="Arial" w:hAnsi="Arial" w:cs="Arial"/>
                <w:sz w:val="22"/>
                <w:szCs w:val="22"/>
              </w:rPr>
              <w:t xml:space="preserve"> to 20</w:t>
            </w:r>
            <w:r w:rsidR="00BB5EC7" w:rsidRPr="00BB5EC7">
              <w:rPr>
                <w:rFonts w:ascii="Arial" w:hAnsi="Arial" w:cs="Arial"/>
                <w:sz w:val="22"/>
                <w:szCs w:val="22"/>
              </w:rPr>
              <w:t xml:space="preserve">19. A further </w:t>
            </w:r>
            <w:r w:rsidR="00BB5EC7" w:rsidRPr="00193E17">
              <w:rPr>
                <w:rFonts w:ascii="Arial" w:hAnsi="Arial" w:cs="Arial"/>
                <w:sz w:val="22"/>
                <w:szCs w:val="22"/>
              </w:rPr>
              <w:t>fall</w:t>
            </w:r>
            <w:r w:rsidR="00BB5EC7" w:rsidRPr="00BB5EC7">
              <w:rPr>
                <w:rFonts w:ascii="Arial" w:hAnsi="Arial" w:cs="Arial"/>
                <w:sz w:val="22"/>
                <w:szCs w:val="22"/>
              </w:rPr>
              <w:t xml:space="preserve"> occurred in 2019</w:t>
            </w:r>
            <w:r w:rsidR="00403268">
              <w:rPr>
                <w:rFonts w:ascii="Arial" w:hAnsi="Arial" w:cs="Arial"/>
                <w:sz w:val="22"/>
                <w:szCs w:val="22"/>
              </w:rPr>
              <w:t xml:space="preserve"> to </w:t>
            </w:r>
            <w:proofErr w:type="gramStart"/>
            <w:r w:rsidR="00403268">
              <w:rPr>
                <w:rFonts w:ascii="Arial" w:hAnsi="Arial" w:cs="Arial"/>
                <w:sz w:val="22"/>
                <w:szCs w:val="22"/>
              </w:rPr>
              <w:t>20</w:t>
            </w:r>
            <w:r w:rsidR="00BB5EC7" w:rsidRPr="00BB5EC7">
              <w:rPr>
                <w:rFonts w:ascii="Arial" w:hAnsi="Arial" w:cs="Arial"/>
                <w:sz w:val="22"/>
                <w:szCs w:val="22"/>
              </w:rPr>
              <w:t>20</w:t>
            </w:r>
            <w:proofErr w:type="gramEnd"/>
            <w:r w:rsidR="00BB5EC7" w:rsidRPr="00BB5EC7">
              <w:rPr>
                <w:rFonts w:ascii="Arial" w:hAnsi="Arial" w:cs="Arial"/>
                <w:sz w:val="22"/>
                <w:szCs w:val="22"/>
              </w:rPr>
              <w:t xml:space="preserve"> and an even greater </w:t>
            </w:r>
            <w:r w:rsidR="00BB5EC7" w:rsidRPr="00193E17">
              <w:rPr>
                <w:rFonts w:ascii="Arial" w:hAnsi="Arial" w:cs="Arial"/>
                <w:sz w:val="22"/>
                <w:szCs w:val="22"/>
              </w:rPr>
              <w:t>fall</w:t>
            </w:r>
            <w:r w:rsidR="00BB5EC7" w:rsidRPr="00BB5EC7">
              <w:rPr>
                <w:rFonts w:ascii="Arial" w:hAnsi="Arial" w:cs="Arial"/>
                <w:sz w:val="22"/>
                <w:szCs w:val="22"/>
              </w:rPr>
              <w:t xml:space="preserve"> can be seen in the 2020</w:t>
            </w:r>
            <w:r w:rsidR="00403268">
              <w:rPr>
                <w:rFonts w:ascii="Arial" w:hAnsi="Arial" w:cs="Arial"/>
                <w:sz w:val="22"/>
                <w:szCs w:val="22"/>
              </w:rPr>
              <w:t xml:space="preserve"> to 20</w:t>
            </w:r>
            <w:r w:rsidR="00BB5EC7" w:rsidRPr="00BB5EC7">
              <w:rPr>
                <w:rFonts w:ascii="Arial" w:hAnsi="Arial" w:cs="Arial"/>
                <w:sz w:val="22"/>
                <w:szCs w:val="22"/>
              </w:rPr>
              <w:t>21 data, though</w:t>
            </w:r>
            <w:r w:rsidR="00503825">
              <w:rPr>
                <w:rFonts w:ascii="Arial" w:hAnsi="Arial" w:cs="Arial"/>
                <w:sz w:val="22"/>
                <w:szCs w:val="22"/>
              </w:rPr>
              <w:t xml:space="preserve"> it should be</w:t>
            </w:r>
            <w:r w:rsidR="00BB5EC7" w:rsidRPr="00BB5EC7">
              <w:rPr>
                <w:rFonts w:ascii="Arial" w:hAnsi="Arial" w:cs="Arial"/>
                <w:sz w:val="22"/>
                <w:szCs w:val="22"/>
              </w:rPr>
              <w:t xml:space="preserve"> note</w:t>
            </w:r>
            <w:r w:rsidR="00503825">
              <w:rPr>
                <w:rFonts w:ascii="Arial" w:hAnsi="Arial" w:cs="Arial"/>
                <w:sz w:val="22"/>
                <w:szCs w:val="22"/>
              </w:rPr>
              <w:t>d</w:t>
            </w:r>
            <w:r w:rsidR="00BB5EC7" w:rsidRPr="00BB5EC7">
              <w:rPr>
                <w:rFonts w:ascii="Arial" w:hAnsi="Arial" w:cs="Arial"/>
                <w:sz w:val="22"/>
                <w:szCs w:val="22"/>
              </w:rPr>
              <w:t xml:space="preserve"> that this cover</w:t>
            </w:r>
            <w:r w:rsidR="00403268">
              <w:rPr>
                <w:rFonts w:ascii="Arial" w:hAnsi="Arial" w:cs="Arial"/>
                <w:sz w:val="22"/>
                <w:szCs w:val="22"/>
              </w:rPr>
              <w:t>ed</w:t>
            </w:r>
            <w:r w:rsidR="00BB5EC7" w:rsidRPr="00BB5EC7">
              <w:rPr>
                <w:rFonts w:ascii="Arial" w:hAnsi="Arial" w:cs="Arial"/>
                <w:sz w:val="22"/>
                <w:szCs w:val="22"/>
              </w:rPr>
              <w:t xml:space="preserve"> the COVID</w:t>
            </w:r>
            <w:r w:rsidR="00503825">
              <w:rPr>
                <w:rFonts w:ascii="Arial" w:hAnsi="Arial" w:cs="Arial"/>
                <w:sz w:val="22"/>
                <w:szCs w:val="22"/>
              </w:rPr>
              <w:t>–</w:t>
            </w:r>
            <w:r w:rsidR="00BB5EC7" w:rsidRPr="00BB5EC7">
              <w:rPr>
                <w:rFonts w:ascii="Arial" w:hAnsi="Arial" w:cs="Arial"/>
                <w:sz w:val="22"/>
                <w:szCs w:val="22"/>
              </w:rPr>
              <w:t xml:space="preserve">19 period and should be interpreted with caution. </w:t>
            </w:r>
            <w:r w:rsidR="00BB5EC7" w:rsidRPr="00403268">
              <w:rPr>
                <w:rFonts w:ascii="Arial" w:hAnsi="Arial" w:cs="Arial"/>
                <w:sz w:val="22"/>
                <w:szCs w:val="22"/>
              </w:rPr>
              <w:t xml:space="preserve">The </w:t>
            </w:r>
            <w:r w:rsidR="00403268" w:rsidRPr="00403268">
              <w:rPr>
                <w:rFonts w:ascii="Arial" w:hAnsi="Arial" w:cs="Arial"/>
                <w:sz w:val="22"/>
                <w:szCs w:val="22"/>
              </w:rPr>
              <w:t>most recent</w:t>
            </w:r>
            <w:r w:rsidR="00BB5EC7" w:rsidRPr="00403268">
              <w:rPr>
                <w:rFonts w:ascii="Arial" w:hAnsi="Arial" w:cs="Arial"/>
                <w:sz w:val="22"/>
                <w:szCs w:val="22"/>
              </w:rPr>
              <w:t xml:space="preserve"> data </w:t>
            </w:r>
            <w:r w:rsidR="00503825">
              <w:rPr>
                <w:rFonts w:ascii="Arial" w:hAnsi="Arial" w:cs="Arial"/>
                <w:sz w:val="22"/>
                <w:szCs w:val="22"/>
              </w:rPr>
              <w:t xml:space="preserve">were </w:t>
            </w:r>
            <w:r w:rsidR="00BB5EC7" w:rsidRPr="00403268">
              <w:rPr>
                <w:rFonts w:ascii="Arial" w:hAnsi="Arial" w:cs="Arial"/>
                <w:sz w:val="22"/>
                <w:szCs w:val="22"/>
              </w:rPr>
              <w:t>published in March 2022 due to an ongoing review of the NHS</w:t>
            </w:r>
            <w:r w:rsidR="00503825">
              <w:rPr>
                <w:rFonts w:ascii="Arial" w:hAnsi="Arial" w:cs="Arial"/>
                <w:sz w:val="22"/>
                <w:szCs w:val="22"/>
              </w:rPr>
              <w:t>OF</w:t>
            </w:r>
            <w:r w:rsidR="00BB5EC7" w:rsidRPr="00403268">
              <w:rPr>
                <w:rFonts w:ascii="Arial" w:hAnsi="Arial" w:cs="Arial"/>
                <w:sz w:val="22"/>
                <w:szCs w:val="22"/>
              </w:rPr>
              <w:t>.</w:t>
            </w:r>
            <w:r w:rsidR="00BB5EC7" w:rsidRPr="00BB5EC7">
              <w:rPr>
                <w:rFonts w:ascii="Arial" w:hAnsi="Arial" w:cs="Arial"/>
                <w:sz w:val="22"/>
                <w:szCs w:val="22"/>
              </w:rPr>
              <w:t xml:space="preserve"> </w:t>
            </w:r>
          </w:p>
          <w:p w14:paraId="01F8C651" w14:textId="6B1D3A3C" w:rsidR="00BB5EC7" w:rsidRDefault="00BB5EC7" w:rsidP="00BB5EC7">
            <w:pPr>
              <w:pStyle w:val="Paragraph"/>
              <w:spacing w:before="120" w:after="120" w:line="240" w:lineRule="auto"/>
              <w:rPr>
                <w:rFonts w:cs="Arial"/>
                <w:sz w:val="22"/>
                <w:szCs w:val="22"/>
              </w:rPr>
            </w:pPr>
            <w:r w:rsidRPr="00BB5EC7">
              <w:rPr>
                <w:rFonts w:cs="Arial"/>
                <w:sz w:val="22"/>
                <w:szCs w:val="22"/>
              </w:rPr>
              <w:t>Variation exists by age, gender, deprivation and geography.</w:t>
            </w:r>
          </w:p>
          <w:p w14:paraId="378D38FD" w14:textId="6BE78C1A" w:rsidR="00BB5EC7" w:rsidRPr="002338EB" w:rsidRDefault="00BB5EC7" w:rsidP="00BB5EC7">
            <w:pPr>
              <w:pStyle w:val="Paragraph"/>
              <w:spacing w:before="120" w:after="120" w:line="240" w:lineRule="auto"/>
              <w:rPr>
                <w:highlight w:val="lightGray"/>
              </w:rPr>
            </w:pPr>
            <w:r w:rsidRPr="006623CF">
              <w:rPr>
                <w:sz w:val="22"/>
                <w:szCs w:val="22"/>
              </w:rPr>
              <w:t>(</w:t>
            </w:r>
            <w:hyperlink r:id="rId9" w:history="1">
              <w:r w:rsidR="00503825">
                <w:rPr>
                  <w:rStyle w:val="Hyperlink"/>
                  <w:sz w:val="22"/>
                  <w:szCs w:val="22"/>
                </w:rPr>
                <w:t>NHSOF data for indicator 3.7.ii</w:t>
              </w:r>
            </w:hyperlink>
            <w:r w:rsidRPr="006623CF">
              <w:rPr>
                <w:sz w:val="22"/>
                <w:szCs w:val="22"/>
              </w:rPr>
              <w:t xml:space="preserve"> (March 2022)</w:t>
            </w:r>
            <w:r w:rsidR="00403268" w:rsidRPr="006623CF">
              <w:rPr>
                <w:sz w:val="22"/>
                <w:szCs w:val="22"/>
              </w:rPr>
              <w:t>)</w:t>
            </w:r>
            <w:r w:rsidRPr="006623CF">
              <w:rPr>
                <w:sz w:val="22"/>
                <w:szCs w:val="22"/>
              </w:rPr>
              <w:t>.</w:t>
            </w:r>
          </w:p>
        </w:tc>
        <w:tc>
          <w:tcPr>
            <w:tcW w:w="3118" w:type="dxa"/>
          </w:tcPr>
          <w:p w14:paraId="3C8B1CA2" w14:textId="77777777" w:rsidR="00735337" w:rsidRPr="00BB5EC7" w:rsidRDefault="00735337" w:rsidP="00735337">
            <w:pPr>
              <w:spacing w:before="120" w:after="120"/>
              <w:rPr>
                <w:rFonts w:ascii="Arial" w:hAnsi="Arial" w:cs="Arial"/>
                <w:color w:val="000000"/>
                <w:kern w:val="24"/>
                <w:sz w:val="22"/>
                <w:szCs w:val="22"/>
                <w:lang w:val="en-US"/>
              </w:rPr>
            </w:pPr>
            <w:r w:rsidRPr="00BB5EC7">
              <w:rPr>
                <w:rFonts w:ascii="Arial" w:hAnsi="Arial" w:cs="Arial"/>
                <w:color w:val="000000"/>
                <w:kern w:val="24"/>
                <w:sz w:val="22"/>
                <w:szCs w:val="22"/>
                <w:lang w:val="en-US"/>
              </w:rPr>
              <w:t>The indicator relates to an area where there is known variation in practice.</w:t>
            </w:r>
          </w:p>
          <w:p w14:paraId="3FD01E72" w14:textId="3FD63C35" w:rsidR="00735337" w:rsidRPr="002338EB" w:rsidRDefault="00735337" w:rsidP="00735337">
            <w:pPr>
              <w:pStyle w:val="Paragraph"/>
              <w:spacing w:before="120" w:after="120" w:line="240" w:lineRule="auto"/>
              <w:rPr>
                <w:highlight w:val="lightGray"/>
              </w:rPr>
            </w:pPr>
            <w:r w:rsidRPr="00BB5EC7">
              <w:rPr>
                <w:rFonts w:cs="Arial"/>
                <w:color w:val="000000"/>
                <w:kern w:val="24"/>
                <w:sz w:val="22"/>
                <w:szCs w:val="22"/>
                <w:lang w:val="en-US"/>
              </w:rPr>
              <w:t>The indicator addresses under-treatment.</w:t>
            </w:r>
          </w:p>
        </w:tc>
      </w:tr>
      <w:tr w:rsidR="00735337" w14:paraId="373D8AA4" w14:textId="77777777" w:rsidTr="002338EB">
        <w:tc>
          <w:tcPr>
            <w:tcW w:w="5949" w:type="dxa"/>
          </w:tcPr>
          <w:p w14:paraId="2B0D3D51" w14:textId="278F936C" w:rsidR="00CD0C54" w:rsidRPr="00CD0C54" w:rsidRDefault="00CD0C54" w:rsidP="00CD0C54">
            <w:pPr>
              <w:spacing w:before="120" w:after="120"/>
              <w:rPr>
                <w:rFonts w:ascii="Arial" w:hAnsi="Arial" w:cs="Arial"/>
                <w:sz w:val="22"/>
                <w:szCs w:val="22"/>
              </w:rPr>
            </w:pPr>
            <w:r w:rsidRPr="00CD0C54">
              <w:rPr>
                <w:rFonts w:ascii="Arial" w:hAnsi="Arial" w:cs="Arial"/>
                <w:sz w:val="22"/>
                <w:szCs w:val="22"/>
              </w:rPr>
              <w:t>An outcome of a secondary care extraction can be an indication that a patient has not received or access the right primary care dental service. It is not legal for a dentist to extract a child’s tooth in a primary care setting, as it requires a general anaesthetic</w:t>
            </w:r>
            <w:r>
              <w:rPr>
                <w:rFonts w:ascii="Arial" w:hAnsi="Arial" w:cs="Arial"/>
                <w:sz w:val="22"/>
                <w:szCs w:val="22"/>
              </w:rPr>
              <w:t>; t</w:t>
            </w:r>
            <w:r w:rsidRPr="00CD0C54">
              <w:rPr>
                <w:rFonts w:ascii="Arial" w:hAnsi="Arial" w:cs="Arial"/>
                <w:sz w:val="22"/>
                <w:szCs w:val="22"/>
              </w:rPr>
              <w:t xml:space="preserve">his </w:t>
            </w:r>
            <w:proofErr w:type="gramStart"/>
            <w:r w:rsidRPr="00CD0C54">
              <w:rPr>
                <w:rFonts w:ascii="Arial" w:hAnsi="Arial" w:cs="Arial"/>
                <w:sz w:val="22"/>
                <w:szCs w:val="22"/>
              </w:rPr>
              <w:t>has to</w:t>
            </w:r>
            <w:proofErr w:type="gramEnd"/>
            <w:r w:rsidRPr="00CD0C54">
              <w:rPr>
                <w:rFonts w:ascii="Arial" w:hAnsi="Arial" w:cs="Arial"/>
                <w:sz w:val="22"/>
                <w:szCs w:val="22"/>
              </w:rPr>
              <w:t xml:space="preserve"> be done in an acute environment with access to a paediatric intensive care unit. Likewise, independent sector or private dental practices cannot extract a child’s tooth under general anaesthetic; this </w:t>
            </w:r>
            <w:proofErr w:type="gramStart"/>
            <w:r w:rsidRPr="00CD0C54">
              <w:rPr>
                <w:rFonts w:ascii="Arial" w:hAnsi="Arial" w:cs="Arial"/>
                <w:sz w:val="22"/>
                <w:szCs w:val="22"/>
              </w:rPr>
              <w:t>has to</w:t>
            </w:r>
            <w:proofErr w:type="gramEnd"/>
            <w:r w:rsidRPr="00CD0C54">
              <w:rPr>
                <w:rFonts w:ascii="Arial" w:hAnsi="Arial" w:cs="Arial"/>
                <w:sz w:val="22"/>
                <w:szCs w:val="22"/>
              </w:rPr>
              <w:t xml:space="preserve"> be done in an acute setting, either an NHS hospital as a private patient, or private hospital.</w:t>
            </w:r>
          </w:p>
          <w:p w14:paraId="40A2EA38" w14:textId="479374ED" w:rsidR="00735337" w:rsidRPr="00CD0C54" w:rsidRDefault="00CD0C54" w:rsidP="00735337">
            <w:pPr>
              <w:spacing w:before="120" w:after="120"/>
              <w:rPr>
                <w:rFonts w:ascii="Arial" w:hAnsi="Arial" w:cs="Arial"/>
                <w:sz w:val="22"/>
                <w:szCs w:val="22"/>
              </w:rPr>
            </w:pPr>
            <w:r w:rsidRPr="00CD0C54">
              <w:rPr>
                <w:rFonts w:ascii="Arial" w:hAnsi="Arial" w:cs="Arial"/>
                <w:sz w:val="22"/>
                <w:szCs w:val="22"/>
              </w:rPr>
              <w:lastRenderedPageBreak/>
              <w:t xml:space="preserve">(adapted from </w:t>
            </w:r>
            <w:hyperlink r:id="rId10" w:history="1">
              <w:r>
                <w:rPr>
                  <w:rStyle w:val="Hyperlink"/>
                  <w:rFonts w:ascii="Arial" w:hAnsi="Arial" w:cs="Arial"/>
                  <w:sz w:val="22"/>
                  <w:szCs w:val="22"/>
                </w:rPr>
                <w:t>NHSOF quality statement for indicator 3.7.ii</w:t>
              </w:r>
            </w:hyperlink>
            <w:r w:rsidRPr="00CD0C54">
              <w:rPr>
                <w:rFonts w:ascii="Arial" w:hAnsi="Arial" w:cs="Arial"/>
                <w:sz w:val="22"/>
                <w:szCs w:val="22"/>
              </w:rPr>
              <w:t>, version 1.</w:t>
            </w:r>
            <w:r>
              <w:rPr>
                <w:rFonts w:ascii="Arial" w:hAnsi="Arial" w:cs="Arial"/>
                <w:sz w:val="22"/>
                <w:szCs w:val="22"/>
              </w:rPr>
              <w:t>4</w:t>
            </w:r>
            <w:r w:rsidRPr="00CD0C54">
              <w:rPr>
                <w:rFonts w:ascii="Arial" w:hAnsi="Arial" w:cs="Arial"/>
                <w:sz w:val="22"/>
                <w:szCs w:val="22"/>
              </w:rPr>
              <w:t xml:space="preserve"> (</w:t>
            </w:r>
            <w:r>
              <w:rPr>
                <w:rFonts w:ascii="Arial" w:hAnsi="Arial" w:cs="Arial"/>
                <w:sz w:val="22"/>
                <w:szCs w:val="22"/>
              </w:rPr>
              <w:t xml:space="preserve">February </w:t>
            </w:r>
            <w:r w:rsidRPr="00CD0C54">
              <w:rPr>
                <w:rFonts w:ascii="Arial" w:hAnsi="Arial" w:cs="Arial"/>
                <w:sz w:val="22"/>
                <w:szCs w:val="22"/>
              </w:rPr>
              <w:t>2020)).</w:t>
            </w:r>
          </w:p>
        </w:tc>
        <w:tc>
          <w:tcPr>
            <w:tcW w:w="3118" w:type="dxa"/>
          </w:tcPr>
          <w:p w14:paraId="380FC230" w14:textId="77777777" w:rsidR="00735337" w:rsidRPr="00CD0C54" w:rsidRDefault="00735337" w:rsidP="00735337">
            <w:pPr>
              <w:spacing w:before="120" w:after="120"/>
              <w:rPr>
                <w:rFonts w:ascii="Arial" w:hAnsi="Arial" w:cs="Arial"/>
                <w:color w:val="000000"/>
                <w:kern w:val="24"/>
                <w:sz w:val="22"/>
                <w:szCs w:val="22"/>
                <w:lang w:val="en-US"/>
              </w:rPr>
            </w:pPr>
            <w:r w:rsidRPr="00CD0C54">
              <w:rPr>
                <w:rFonts w:ascii="Arial" w:hAnsi="Arial" w:cs="Arial"/>
                <w:color w:val="000000"/>
                <w:kern w:val="24"/>
                <w:sz w:val="22"/>
                <w:szCs w:val="22"/>
                <w:lang w:val="en-US"/>
              </w:rPr>
              <w:lastRenderedPageBreak/>
              <w:t>The indicator will lead to a meaningful improvement in patient outcomes.</w:t>
            </w:r>
          </w:p>
          <w:p w14:paraId="45004AAC" w14:textId="77777777" w:rsidR="00735337" w:rsidRPr="002338EB" w:rsidRDefault="00735337" w:rsidP="00735337">
            <w:pPr>
              <w:spacing w:before="120" w:after="120"/>
              <w:rPr>
                <w:rFonts w:ascii="Arial" w:hAnsi="Arial" w:cs="Arial"/>
                <w:color w:val="000000"/>
                <w:kern w:val="24"/>
                <w:sz w:val="22"/>
                <w:szCs w:val="22"/>
                <w:highlight w:val="lightGray"/>
                <w:lang w:val="en-US"/>
              </w:rPr>
            </w:pPr>
          </w:p>
        </w:tc>
      </w:tr>
      <w:bookmarkEnd w:id="0"/>
    </w:tbl>
    <w:p w14:paraId="7408AD42" w14:textId="77777777" w:rsidR="002338EB" w:rsidRDefault="002338EB" w:rsidP="002338EB">
      <w:pPr>
        <w:pStyle w:val="Heading3"/>
      </w:pPr>
    </w:p>
    <w:p w14:paraId="5BA69987" w14:textId="6FA6FB6E"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604A6AE7" w14:textId="7315ECAD" w:rsidR="002F3707" w:rsidRPr="00193E17" w:rsidRDefault="002F3707" w:rsidP="00403268">
            <w:pPr>
              <w:spacing w:before="120" w:after="120"/>
              <w:rPr>
                <w:rFonts w:ascii="Arial" w:hAnsi="Arial" w:cs="Arial"/>
                <w:color w:val="000000"/>
                <w:kern w:val="24"/>
                <w:sz w:val="22"/>
                <w:szCs w:val="22"/>
                <w:lang w:eastAsia="en-GB"/>
              </w:rPr>
            </w:pPr>
            <w:r>
              <w:rPr>
                <w:rFonts w:ascii="Arial" w:hAnsi="Arial" w:cs="Arial"/>
                <w:color w:val="000000"/>
                <w:kern w:val="24"/>
                <w:sz w:val="22"/>
                <w:szCs w:val="22"/>
                <w:lang w:eastAsia="en-GB"/>
              </w:rPr>
              <w:t>‘</w:t>
            </w:r>
            <w:r w:rsidRPr="00CD0C54">
              <w:rPr>
                <w:rFonts w:ascii="Arial" w:hAnsi="Arial" w:cs="Arial"/>
                <w:color w:val="000000"/>
                <w:kern w:val="24"/>
                <w:sz w:val="22"/>
                <w:szCs w:val="22"/>
                <w:lang w:eastAsia="en-GB"/>
              </w:rPr>
              <w:t>Th</w:t>
            </w:r>
            <w:r>
              <w:rPr>
                <w:rFonts w:ascii="Arial" w:hAnsi="Arial" w:cs="Arial"/>
                <w:color w:val="000000"/>
                <w:kern w:val="24"/>
                <w:sz w:val="22"/>
                <w:szCs w:val="22"/>
                <w:lang w:eastAsia="en-GB"/>
              </w:rPr>
              <w:t>is</w:t>
            </w:r>
            <w:r w:rsidRPr="00CD0C54">
              <w:rPr>
                <w:rFonts w:ascii="Arial" w:hAnsi="Arial" w:cs="Arial"/>
                <w:color w:val="000000"/>
                <w:kern w:val="24"/>
                <w:sz w:val="22"/>
                <w:szCs w:val="22"/>
                <w:lang w:eastAsia="en-GB"/>
              </w:rPr>
              <w:t xml:space="preserve"> indicator measures the rate of the number of finished consultant episodes (FCEs) where a tooth extraction was performed on a child aged 10 years or under at the start of the episode of care, due to tooth decay, per 100,000 resident population</w:t>
            </w:r>
            <w:r>
              <w:rPr>
                <w:rFonts w:ascii="Arial" w:hAnsi="Arial" w:cs="Arial"/>
                <w:color w:val="000000"/>
                <w:kern w:val="24"/>
                <w:sz w:val="22"/>
                <w:szCs w:val="22"/>
                <w:lang w:eastAsia="en-GB"/>
              </w:rPr>
              <w:t>’.</w:t>
            </w:r>
          </w:p>
          <w:p w14:paraId="5E8E4B4C" w14:textId="4E5CFC5D" w:rsidR="00403268" w:rsidRDefault="00510AB3" w:rsidP="00403268">
            <w:pPr>
              <w:spacing w:before="120" w:after="120"/>
              <w:rPr>
                <w:rFonts w:ascii="Arial" w:hAnsi="Arial" w:cs="Arial"/>
                <w:sz w:val="22"/>
                <w:szCs w:val="22"/>
              </w:rPr>
            </w:pPr>
            <w:r>
              <w:rPr>
                <w:rFonts w:ascii="Arial" w:hAnsi="Arial" w:cs="Arial"/>
                <w:sz w:val="22"/>
                <w:szCs w:val="22"/>
              </w:rPr>
              <w:t xml:space="preserve">‘This </w:t>
            </w:r>
            <w:r w:rsidR="00403268" w:rsidRPr="00CD0C54">
              <w:rPr>
                <w:rFonts w:ascii="Arial" w:hAnsi="Arial" w:cs="Arial"/>
                <w:sz w:val="22"/>
                <w:szCs w:val="22"/>
              </w:rPr>
              <w:t xml:space="preserve">indicator </w:t>
            </w:r>
            <w:bookmarkStart w:id="1" w:name="_Hlk190083530"/>
            <w:r w:rsidR="00403268" w:rsidRPr="00CD0C54">
              <w:rPr>
                <w:rFonts w:ascii="Arial" w:hAnsi="Arial" w:cs="Arial"/>
                <w:sz w:val="22"/>
                <w:szCs w:val="22"/>
              </w:rPr>
              <w:t xml:space="preserve">captures those who have most likely been missed in primary care dentistry as the tooth decay is severe enough that they need hospital treatment, therefore it is likely that they have not regularly attended the dentist. </w:t>
            </w:r>
            <w:r w:rsidRPr="00510AB3">
              <w:rPr>
                <w:rFonts w:ascii="Arial" w:hAnsi="Arial" w:cs="Arial"/>
                <w:sz w:val="22"/>
                <w:szCs w:val="22"/>
              </w:rPr>
              <w:t>The treatment occurring in secondary care implies the children are having their teeth extracted under general anaesthetic and means that decay in the tooth has reached extreme levels</w:t>
            </w:r>
            <w:r>
              <w:rPr>
                <w:rFonts w:ascii="Arial" w:hAnsi="Arial" w:cs="Arial"/>
                <w:sz w:val="22"/>
                <w:szCs w:val="22"/>
              </w:rPr>
              <w:t>’</w:t>
            </w:r>
            <w:bookmarkEnd w:id="1"/>
            <w:r>
              <w:rPr>
                <w:rFonts w:ascii="Arial" w:hAnsi="Arial" w:cs="Arial"/>
                <w:sz w:val="22"/>
                <w:szCs w:val="22"/>
              </w:rPr>
              <w:t>.</w:t>
            </w:r>
          </w:p>
          <w:p w14:paraId="7C76B16E" w14:textId="0A7478DD" w:rsidR="00CD0C54" w:rsidRPr="00403268" w:rsidRDefault="00CD0C54" w:rsidP="00735337">
            <w:pPr>
              <w:spacing w:before="120" w:after="120"/>
              <w:rPr>
                <w:rFonts w:ascii="Arial" w:hAnsi="Arial" w:cs="Arial"/>
                <w:sz w:val="22"/>
                <w:szCs w:val="22"/>
              </w:rPr>
            </w:pPr>
            <w:r w:rsidRPr="00CD0C54">
              <w:rPr>
                <w:rFonts w:ascii="Arial" w:hAnsi="Arial" w:cs="Arial"/>
                <w:sz w:val="22"/>
                <w:szCs w:val="22"/>
              </w:rPr>
              <w:t>(</w:t>
            </w:r>
            <w:hyperlink r:id="rId11" w:history="1">
              <w:r>
                <w:rPr>
                  <w:rStyle w:val="Hyperlink"/>
                  <w:rFonts w:ascii="Arial" w:hAnsi="Arial" w:cs="Arial"/>
                  <w:sz w:val="22"/>
                  <w:szCs w:val="22"/>
                </w:rPr>
                <w:t>NHSOF quality statement for indicator 3.7.ii</w:t>
              </w:r>
            </w:hyperlink>
            <w:r w:rsidRPr="00CD0C54">
              <w:rPr>
                <w:rFonts w:ascii="Arial" w:hAnsi="Arial" w:cs="Arial"/>
                <w:sz w:val="22"/>
                <w:szCs w:val="22"/>
              </w:rPr>
              <w:t>, version 1.</w:t>
            </w:r>
            <w:r>
              <w:rPr>
                <w:rFonts w:ascii="Arial" w:hAnsi="Arial" w:cs="Arial"/>
                <w:sz w:val="22"/>
                <w:szCs w:val="22"/>
              </w:rPr>
              <w:t>4</w:t>
            </w:r>
            <w:r w:rsidRPr="00CD0C54">
              <w:rPr>
                <w:rFonts w:ascii="Arial" w:hAnsi="Arial" w:cs="Arial"/>
                <w:sz w:val="22"/>
                <w:szCs w:val="22"/>
              </w:rPr>
              <w:t xml:space="preserve"> (</w:t>
            </w:r>
            <w:r>
              <w:rPr>
                <w:rFonts w:ascii="Arial" w:hAnsi="Arial" w:cs="Arial"/>
                <w:sz w:val="22"/>
                <w:szCs w:val="22"/>
              </w:rPr>
              <w:t xml:space="preserve">February </w:t>
            </w:r>
            <w:r w:rsidRPr="00CD0C54">
              <w:rPr>
                <w:rFonts w:ascii="Arial" w:hAnsi="Arial" w:cs="Arial"/>
                <w:sz w:val="22"/>
                <w:szCs w:val="22"/>
              </w:rPr>
              <w:t>2020)).</w:t>
            </w:r>
          </w:p>
          <w:p w14:paraId="1359C26D" w14:textId="556D33EB" w:rsidR="002338EB" w:rsidRPr="003C7A5B" w:rsidRDefault="00CD0C54" w:rsidP="00140F7D">
            <w:pPr>
              <w:spacing w:before="120" w:after="120"/>
              <w:rPr>
                <w:rFonts w:ascii="Arial" w:hAnsi="Arial" w:cs="Arial"/>
                <w:sz w:val="22"/>
                <w:szCs w:val="22"/>
              </w:rPr>
            </w:pPr>
            <w:r w:rsidRPr="00CD0C54">
              <w:rPr>
                <w:rFonts w:ascii="Arial" w:hAnsi="Arial" w:cs="Arial"/>
                <w:sz w:val="22"/>
                <w:szCs w:val="22"/>
              </w:rPr>
              <w:t xml:space="preserve">Also </w:t>
            </w:r>
            <w:r>
              <w:rPr>
                <w:rFonts w:ascii="Arial" w:hAnsi="Arial" w:cs="Arial"/>
                <w:sz w:val="22"/>
                <w:szCs w:val="22"/>
              </w:rPr>
              <w:t xml:space="preserve">aligns with NICE’s guidelines on </w:t>
            </w:r>
            <w:hyperlink r:id="rId12" w:history="1">
              <w:r w:rsidR="00140F7D">
                <w:rPr>
                  <w:rStyle w:val="Hyperlink"/>
                  <w:rFonts w:ascii="Arial" w:hAnsi="Arial" w:cs="Arial"/>
                  <w:sz w:val="22"/>
                  <w:szCs w:val="22"/>
                </w:rPr>
                <w:t>oral health: local authorities and partners. NICE guideline PH55</w:t>
              </w:r>
            </w:hyperlink>
            <w:r w:rsidR="003C7A5B">
              <w:rPr>
                <w:rFonts w:ascii="Arial" w:hAnsi="Arial" w:cs="Arial"/>
                <w:sz w:val="22"/>
                <w:szCs w:val="22"/>
              </w:rPr>
              <w:t xml:space="preserve"> </w:t>
            </w:r>
            <w:r w:rsidR="00140F7D">
              <w:rPr>
                <w:rFonts w:ascii="Arial" w:hAnsi="Arial" w:cs="Arial"/>
                <w:sz w:val="22"/>
                <w:szCs w:val="22"/>
              </w:rPr>
              <w:t xml:space="preserve">(2014) </w:t>
            </w:r>
            <w:r w:rsidR="003C7A5B">
              <w:rPr>
                <w:rFonts w:ascii="Arial" w:hAnsi="Arial" w:cs="Arial"/>
                <w:sz w:val="22"/>
                <w:szCs w:val="22"/>
              </w:rPr>
              <w:t>recommendation</w:t>
            </w:r>
            <w:r w:rsidR="00503825">
              <w:rPr>
                <w:rFonts w:ascii="Arial" w:hAnsi="Arial" w:cs="Arial"/>
                <w:sz w:val="22"/>
                <w:szCs w:val="22"/>
              </w:rPr>
              <w:t>s</w:t>
            </w:r>
            <w:r w:rsidR="003C7A5B">
              <w:rPr>
                <w:rFonts w:ascii="Arial" w:hAnsi="Arial" w:cs="Arial"/>
                <w:sz w:val="22"/>
                <w:szCs w:val="22"/>
              </w:rPr>
              <w:t xml:space="preserve"> 2, 8, 14,</w:t>
            </w:r>
            <w:r w:rsidR="00140F7D">
              <w:rPr>
                <w:rFonts w:ascii="Arial" w:hAnsi="Arial" w:cs="Arial"/>
                <w:sz w:val="22"/>
                <w:szCs w:val="22"/>
              </w:rPr>
              <w:t xml:space="preserve"> to </w:t>
            </w:r>
            <w:r w:rsidR="003C7A5B">
              <w:rPr>
                <w:rFonts w:ascii="Arial" w:hAnsi="Arial" w:cs="Arial"/>
                <w:sz w:val="22"/>
                <w:szCs w:val="22"/>
              </w:rPr>
              <w:t>16, 18 and 21</w:t>
            </w:r>
            <w:r>
              <w:rPr>
                <w:rFonts w:ascii="Arial" w:hAnsi="Arial" w:cs="Arial"/>
                <w:sz w:val="22"/>
                <w:szCs w:val="22"/>
              </w:rPr>
              <w:t xml:space="preserve"> and </w:t>
            </w:r>
            <w:hyperlink r:id="rId13" w:history="1">
              <w:r w:rsidR="00140F7D">
                <w:rPr>
                  <w:rStyle w:val="Hyperlink"/>
                  <w:rFonts w:ascii="Arial" w:hAnsi="Arial" w:cs="Arial"/>
                  <w:sz w:val="22"/>
                  <w:szCs w:val="22"/>
                </w:rPr>
                <w:t>oral health promotion: general dental practice. NICE guideline NG30</w:t>
              </w:r>
            </w:hyperlink>
            <w:r w:rsidR="003C7A5B">
              <w:rPr>
                <w:rFonts w:ascii="Arial" w:hAnsi="Arial" w:cs="Arial"/>
                <w:sz w:val="22"/>
                <w:szCs w:val="22"/>
              </w:rPr>
              <w:t xml:space="preserve"> (</w:t>
            </w:r>
            <w:r w:rsidR="00140F7D">
              <w:rPr>
                <w:rFonts w:ascii="Arial" w:hAnsi="Arial" w:cs="Arial"/>
                <w:sz w:val="22"/>
                <w:szCs w:val="22"/>
              </w:rPr>
              <w:t>2015), and</w:t>
            </w:r>
            <w:r w:rsidR="003C7A5B">
              <w:rPr>
                <w:rFonts w:ascii="Arial" w:hAnsi="Arial" w:cs="Arial"/>
                <w:sz w:val="22"/>
                <w:szCs w:val="22"/>
              </w:rPr>
              <w:t xml:space="preserve"> NICE’s quality standard on </w:t>
            </w:r>
            <w:hyperlink r:id="rId14" w:history="1">
              <w:r w:rsidR="003C7A5B" w:rsidRPr="003C7A5B">
                <w:rPr>
                  <w:rStyle w:val="Hyperlink"/>
                  <w:rFonts w:ascii="Arial" w:hAnsi="Arial" w:cs="Arial"/>
                  <w:sz w:val="22"/>
                  <w:szCs w:val="22"/>
                </w:rPr>
                <w:t>oral health promotion in the community</w:t>
              </w:r>
            </w:hyperlink>
            <w:r w:rsidR="00503825">
              <w:rPr>
                <w:rStyle w:val="Hyperlink"/>
                <w:rFonts w:ascii="Arial" w:hAnsi="Arial" w:cs="Arial"/>
                <w:sz w:val="22"/>
                <w:szCs w:val="22"/>
                <w:u w:val="none"/>
              </w:rPr>
              <w:t xml:space="preserve">. </w:t>
            </w:r>
            <w:r w:rsidR="003C7A5B" w:rsidRPr="003C7A5B">
              <w:rPr>
                <w:rFonts w:ascii="Arial" w:hAnsi="Arial" w:cs="Arial"/>
                <w:sz w:val="22"/>
                <w:szCs w:val="22"/>
              </w:rPr>
              <w:t xml:space="preserve"> </w:t>
            </w:r>
            <w:r w:rsidR="003C7A5B">
              <w:rPr>
                <w:rFonts w:ascii="Arial" w:hAnsi="Arial" w:cs="Arial"/>
                <w:sz w:val="22"/>
                <w:szCs w:val="22"/>
              </w:rPr>
              <w:t xml:space="preserve"> </w:t>
            </w:r>
          </w:p>
        </w:tc>
        <w:tc>
          <w:tcPr>
            <w:tcW w:w="3118" w:type="dxa"/>
          </w:tcPr>
          <w:p w14:paraId="0D72329A" w14:textId="54F94FB4" w:rsidR="002338EB" w:rsidRPr="00403268" w:rsidRDefault="002338EB" w:rsidP="002338EB">
            <w:pPr>
              <w:spacing w:before="120" w:after="120"/>
              <w:rPr>
                <w:rFonts w:ascii="Arial" w:hAnsi="Arial" w:cs="Arial"/>
                <w:color w:val="000000"/>
                <w:kern w:val="24"/>
                <w:sz w:val="22"/>
                <w:szCs w:val="22"/>
                <w:lang w:val="en-US"/>
              </w:rPr>
            </w:pPr>
            <w:r w:rsidRPr="00403268">
              <w:rPr>
                <w:rFonts w:ascii="Arial" w:hAnsi="Arial" w:cs="Arial"/>
                <w:color w:val="000000"/>
                <w:kern w:val="24"/>
                <w:sz w:val="22"/>
                <w:szCs w:val="22"/>
                <w:lang w:val="en-US"/>
              </w:rPr>
              <w:t xml:space="preserve">The indicator is derived from a high-quality evidence base. </w:t>
            </w:r>
          </w:p>
          <w:p w14:paraId="75848804" w14:textId="710C020D" w:rsidR="002338EB" w:rsidRPr="002338EB" w:rsidRDefault="002338EB" w:rsidP="002338EB">
            <w:pPr>
              <w:pStyle w:val="Paragraph"/>
              <w:spacing w:before="120" w:after="120" w:line="240" w:lineRule="auto"/>
              <w:rPr>
                <w:highlight w:val="lightGray"/>
              </w:rPr>
            </w:pPr>
            <w:r w:rsidRPr="00403268">
              <w:rPr>
                <w:rFonts w:cs="Arial"/>
                <w:color w:val="000000"/>
                <w:kern w:val="24"/>
                <w:sz w:val="22"/>
                <w:szCs w:val="22"/>
                <w:lang w:val="en-US"/>
              </w:rPr>
              <w:t>The indicator aligns with the evidence base.</w:t>
            </w:r>
          </w:p>
        </w:tc>
      </w:tr>
    </w:tbl>
    <w:p w14:paraId="3393013A" w14:textId="29A2DB06" w:rsidR="002338EB" w:rsidRDefault="002338EB" w:rsidP="002338EB">
      <w:pPr>
        <w:pStyle w:val="Paragraph"/>
      </w:pPr>
    </w:p>
    <w:p w14:paraId="67B93D8F" w14:textId="6D992C33"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0491687F" w14:textId="02F989FD" w:rsidR="00D44AEB" w:rsidRPr="00D44AEB" w:rsidRDefault="002338EB" w:rsidP="00BE1F45">
            <w:pPr>
              <w:spacing w:before="120" w:after="120"/>
              <w:rPr>
                <w:rFonts w:ascii="Arial" w:hAnsi="Arial" w:cs="Arial"/>
                <w:color w:val="000000"/>
                <w:kern w:val="24"/>
                <w:sz w:val="22"/>
                <w:szCs w:val="22"/>
              </w:rPr>
            </w:pPr>
            <w:r w:rsidRPr="00D44AEB">
              <w:rPr>
                <w:rFonts w:ascii="Arial" w:hAnsi="Arial" w:cs="Arial"/>
                <w:color w:val="000000"/>
                <w:kern w:val="24"/>
                <w:sz w:val="22"/>
                <w:szCs w:val="22"/>
              </w:rPr>
              <w:t xml:space="preserve">Numerator: </w:t>
            </w:r>
            <w:bookmarkStart w:id="2" w:name="_Hlk189172218"/>
            <w:r w:rsidR="00D44AEB" w:rsidRPr="00D44AEB">
              <w:rPr>
                <w:rFonts w:ascii="Arial" w:hAnsi="Arial" w:cs="Arial"/>
                <w:color w:val="000000"/>
                <w:kern w:val="24"/>
                <w:sz w:val="22"/>
                <w:szCs w:val="22"/>
              </w:rPr>
              <w:t xml:space="preserve">The number of finished consultant episodes for extraction of tooth where the primary diagnosis is dental </w:t>
            </w:r>
            <w:proofErr w:type="gramStart"/>
            <w:r w:rsidR="00D44AEB" w:rsidRPr="00D44AEB">
              <w:rPr>
                <w:rFonts w:ascii="Arial" w:hAnsi="Arial" w:cs="Arial"/>
                <w:color w:val="000000"/>
                <w:kern w:val="24"/>
                <w:sz w:val="22"/>
                <w:szCs w:val="22"/>
              </w:rPr>
              <w:t>caries</w:t>
            </w:r>
            <w:proofErr w:type="gramEnd"/>
            <w:r w:rsidR="00D44AEB" w:rsidRPr="00D44AEB">
              <w:rPr>
                <w:rFonts w:ascii="Arial" w:hAnsi="Arial" w:cs="Arial"/>
                <w:color w:val="000000"/>
                <w:kern w:val="24"/>
                <w:sz w:val="22"/>
                <w:szCs w:val="22"/>
              </w:rPr>
              <w:t xml:space="preserve"> and the patient is aged 10 years or under.</w:t>
            </w:r>
            <w:bookmarkEnd w:id="2"/>
          </w:p>
          <w:p w14:paraId="424261B6" w14:textId="2BDC3BA7" w:rsidR="002338EB" w:rsidRDefault="00BE1F45" w:rsidP="00BE1F45">
            <w:pPr>
              <w:spacing w:before="120" w:after="120"/>
              <w:rPr>
                <w:rFonts w:ascii="Arial" w:hAnsi="Arial" w:cs="Arial"/>
                <w:color w:val="000000"/>
                <w:kern w:val="24"/>
                <w:sz w:val="22"/>
                <w:szCs w:val="22"/>
              </w:rPr>
            </w:pPr>
            <w:r w:rsidRPr="00D44AEB">
              <w:rPr>
                <w:rFonts w:ascii="Arial" w:hAnsi="Arial" w:cs="Arial"/>
                <w:color w:val="000000"/>
                <w:kern w:val="24"/>
                <w:sz w:val="22"/>
                <w:szCs w:val="22"/>
              </w:rPr>
              <w:t xml:space="preserve">Denominator: </w:t>
            </w:r>
            <w:bookmarkStart w:id="3" w:name="_Hlk189172230"/>
            <w:r w:rsidR="00D44AEB" w:rsidRPr="00D44AEB">
              <w:rPr>
                <w:rFonts w:ascii="Arial" w:hAnsi="Arial" w:cs="Arial"/>
                <w:color w:val="000000"/>
                <w:kern w:val="24"/>
                <w:sz w:val="22"/>
                <w:szCs w:val="22"/>
              </w:rPr>
              <w:t>ONS mid-year population estimates</w:t>
            </w:r>
            <w:r w:rsidR="002338EB" w:rsidRPr="00D44AEB">
              <w:rPr>
                <w:rFonts w:ascii="Arial" w:hAnsi="Arial" w:cs="Arial"/>
                <w:color w:val="000000"/>
                <w:kern w:val="24"/>
                <w:sz w:val="22"/>
                <w:szCs w:val="22"/>
              </w:rPr>
              <w:t xml:space="preserve">. </w:t>
            </w:r>
            <w:bookmarkEnd w:id="3"/>
          </w:p>
          <w:p w14:paraId="66D046C1" w14:textId="6566EC47" w:rsidR="00403268" w:rsidRPr="00D44AEB" w:rsidRDefault="00403268" w:rsidP="00BE1F45">
            <w:pPr>
              <w:spacing w:before="120" w:after="120"/>
              <w:rPr>
                <w:rFonts w:ascii="Arial" w:hAnsi="Arial" w:cs="Arial"/>
                <w:color w:val="000000"/>
                <w:kern w:val="24"/>
                <w:sz w:val="22"/>
                <w:szCs w:val="22"/>
              </w:rPr>
            </w:pPr>
            <w:r>
              <w:rPr>
                <w:rFonts w:ascii="Arial" w:hAnsi="Arial" w:cs="Arial"/>
                <w:color w:val="000000"/>
                <w:kern w:val="24"/>
                <w:sz w:val="22"/>
                <w:szCs w:val="22"/>
              </w:rPr>
              <w:t xml:space="preserve">Definition: </w:t>
            </w:r>
            <w:bookmarkStart w:id="4" w:name="_Hlk189172327"/>
            <w:r w:rsidR="006623CF">
              <w:rPr>
                <w:rFonts w:ascii="Arial" w:hAnsi="Arial" w:cs="Arial"/>
                <w:color w:val="000000"/>
                <w:kern w:val="24"/>
                <w:sz w:val="22"/>
                <w:szCs w:val="22"/>
              </w:rPr>
              <w:t>d</w:t>
            </w:r>
            <w:r>
              <w:rPr>
                <w:rFonts w:ascii="Arial" w:hAnsi="Arial" w:cs="Arial"/>
                <w:color w:val="000000"/>
                <w:kern w:val="24"/>
                <w:sz w:val="22"/>
                <w:szCs w:val="22"/>
              </w:rPr>
              <w:t xml:space="preserve">ental caries: </w:t>
            </w:r>
            <w:r w:rsidRPr="00D44AEB">
              <w:rPr>
                <w:rFonts w:ascii="Arial" w:hAnsi="Arial" w:cs="Arial"/>
                <w:color w:val="000000"/>
                <w:kern w:val="24"/>
                <w:sz w:val="22"/>
                <w:szCs w:val="22"/>
              </w:rPr>
              <w:t>ICD</w:t>
            </w:r>
            <w:r w:rsidR="00842B45">
              <w:rPr>
                <w:rFonts w:ascii="Arial" w:hAnsi="Arial" w:cs="Arial"/>
                <w:color w:val="000000"/>
                <w:kern w:val="24"/>
                <w:sz w:val="22"/>
                <w:szCs w:val="22"/>
              </w:rPr>
              <w:t>–</w:t>
            </w:r>
            <w:r w:rsidRPr="00D44AEB">
              <w:rPr>
                <w:rFonts w:ascii="Arial" w:hAnsi="Arial" w:cs="Arial"/>
                <w:color w:val="000000"/>
                <w:kern w:val="24"/>
                <w:sz w:val="22"/>
                <w:szCs w:val="22"/>
              </w:rPr>
              <w:t>10 codes K021, K025, K028, K029, K040, K045, K046 or K047</w:t>
            </w:r>
            <w:r>
              <w:rPr>
                <w:rFonts w:ascii="Arial" w:hAnsi="Arial" w:cs="Arial"/>
                <w:color w:val="000000"/>
                <w:kern w:val="24"/>
                <w:sz w:val="22"/>
                <w:szCs w:val="22"/>
              </w:rPr>
              <w:t>.</w:t>
            </w:r>
          </w:p>
          <w:bookmarkEnd w:id="4"/>
          <w:p w14:paraId="65AFDE55" w14:textId="4E916DCA" w:rsidR="001A3CA6" w:rsidRDefault="001A3CA6" w:rsidP="00BE1F45">
            <w:pPr>
              <w:spacing w:before="120" w:after="120"/>
              <w:rPr>
                <w:rFonts w:ascii="Arial" w:hAnsi="Arial" w:cs="Arial"/>
                <w:color w:val="000000"/>
                <w:kern w:val="24"/>
                <w:sz w:val="22"/>
                <w:szCs w:val="22"/>
              </w:rPr>
            </w:pPr>
            <w:r w:rsidRPr="00D44AEB">
              <w:rPr>
                <w:rFonts w:ascii="Arial" w:hAnsi="Arial" w:cs="Arial"/>
                <w:color w:val="000000"/>
                <w:kern w:val="24"/>
                <w:sz w:val="22"/>
                <w:szCs w:val="22"/>
              </w:rPr>
              <w:t xml:space="preserve">Exclusions: </w:t>
            </w:r>
            <w:r w:rsidR="00842B45">
              <w:rPr>
                <w:rFonts w:ascii="Arial" w:hAnsi="Arial" w:cs="Arial"/>
                <w:color w:val="000000"/>
                <w:kern w:val="24"/>
                <w:sz w:val="22"/>
                <w:szCs w:val="22"/>
              </w:rPr>
              <w:t>None.</w:t>
            </w:r>
          </w:p>
          <w:p w14:paraId="688057A3" w14:textId="2336F8D3" w:rsidR="00D44AEB" w:rsidRPr="00D44AEB" w:rsidRDefault="00D44AEB" w:rsidP="00BE1F45">
            <w:pPr>
              <w:spacing w:before="120" w:after="120"/>
              <w:rPr>
                <w:rFonts w:ascii="Arial" w:hAnsi="Arial" w:cs="Arial"/>
                <w:color w:val="000000"/>
                <w:kern w:val="24"/>
                <w:sz w:val="22"/>
                <w:szCs w:val="22"/>
              </w:rPr>
            </w:pPr>
            <w:r>
              <w:rPr>
                <w:rFonts w:ascii="Arial" w:hAnsi="Arial" w:cs="Arial"/>
                <w:color w:val="000000"/>
                <w:kern w:val="24"/>
                <w:sz w:val="22"/>
                <w:szCs w:val="22"/>
              </w:rPr>
              <w:t xml:space="preserve">Methodology: </w:t>
            </w:r>
            <w:bookmarkStart w:id="5" w:name="_Hlk189172238"/>
            <w:r w:rsidRPr="00D44AEB">
              <w:rPr>
                <w:rFonts w:ascii="Arial" w:hAnsi="Arial" w:cs="Arial"/>
                <w:color w:val="000000"/>
                <w:kern w:val="24"/>
                <w:sz w:val="22"/>
                <w:szCs w:val="22"/>
              </w:rPr>
              <w:t>Crude rate per 100,000.</w:t>
            </w:r>
            <w:bookmarkEnd w:id="5"/>
          </w:p>
          <w:p w14:paraId="02201A8B" w14:textId="77777777" w:rsidR="00D44AEB" w:rsidRDefault="00D44AEB" w:rsidP="002338EB">
            <w:pPr>
              <w:pStyle w:val="Paragraph"/>
              <w:spacing w:before="120" w:after="120" w:line="240" w:lineRule="auto"/>
              <w:rPr>
                <w:rFonts w:cs="Arial"/>
                <w:color w:val="000000"/>
                <w:kern w:val="24"/>
                <w:sz w:val="22"/>
                <w:szCs w:val="22"/>
              </w:rPr>
            </w:pPr>
            <w:r>
              <w:rPr>
                <w:rFonts w:cs="Arial"/>
                <w:color w:val="000000"/>
                <w:kern w:val="24"/>
                <w:sz w:val="22"/>
                <w:szCs w:val="22"/>
              </w:rPr>
              <w:t>Data source:</w:t>
            </w:r>
          </w:p>
          <w:p w14:paraId="2AB94050" w14:textId="70CC3B37" w:rsidR="00D44AEB" w:rsidRPr="00D44AEB" w:rsidRDefault="00503825" w:rsidP="00D44AEB">
            <w:pPr>
              <w:pStyle w:val="ListParagraph"/>
              <w:numPr>
                <w:ilvl w:val="0"/>
                <w:numId w:val="41"/>
              </w:numPr>
              <w:rPr>
                <w:rFonts w:ascii="Arial" w:hAnsi="Arial" w:cs="Arial"/>
                <w:color w:val="000000"/>
                <w:kern w:val="24"/>
                <w:sz w:val="22"/>
                <w:szCs w:val="22"/>
              </w:rPr>
            </w:pPr>
            <w:bookmarkStart w:id="6" w:name="_Hlk189172391"/>
            <w:r>
              <w:rPr>
                <w:rFonts w:ascii="Arial" w:hAnsi="Arial" w:cs="Arial"/>
                <w:color w:val="000000"/>
                <w:kern w:val="24"/>
                <w:sz w:val="22"/>
                <w:szCs w:val="22"/>
              </w:rPr>
              <w:t>n</w:t>
            </w:r>
            <w:r w:rsidR="00D44AEB" w:rsidRPr="00D44AEB">
              <w:rPr>
                <w:rFonts w:ascii="Arial" w:hAnsi="Arial" w:cs="Arial"/>
                <w:color w:val="000000"/>
                <w:kern w:val="24"/>
                <w:sz w:val="22"/>
                <w:szCs w:val="22"/>
              </w:rPr>
              <w:t xml:space="preserve">umerator: Hospital Episode Statistics (HES) </w:t>
            </w:r>
            <w:r w:rsidR="00D44AEB">
              <w:rPr>
                <w:rFonts w:ascii="Arial" w:hAnsi="Arial" w:cs="Arial"/>
                <w:color w:val="000000"/>
                <w:kern w:val="24"/>
                <w:sz w:val="22"/>
                <w:szCs w:val="22"/>
              </w:rPr>
              <w:t xml:space="preserve">- </w:t>
            </w:r>
            <w:r w:rsidR="00D44AEB" w:rsidRPr="00D44AEB">
              <w:rPr>
                <w:rFonts w:ascii="Arial" w:hAnsi="Arial" w:cs="Arial"/>
                <w:color w:val="000000"/>
                <w:kern w:val="24"/>
                <w:sz w:val="22"/>
                <w:szCs w:val="22"/>
              </w:rPr>
              <w:t>Admitted Patient Care (APC)</w:t>
            </w:r>
          </w:p>
          <w:p w14:paraId="0898DD37" w14:textId="733EB768" w:rsidR="00D44AEB" w:rsidRDefault="00503825" w:rsidP="00D44AEB">
            <w:pPr>
              <w:pStyle w:val="Paragraph"/>
              <w:numPr>
                <w:ilvl w:val="0"/>
                <w:numId w:val="41"/>
              </w:numPr>
              <w:spacing w:before="120" w:after="120" w:line="240" w:lineRule="auto"/>
              <w:rPr>
                <w:rFonts w:cs="Arial"/>
                <w:color w:val="000000"/>
                <w:kern w:val="24"/>
                <w:sz w:val="22"/>
                <w:szCs w:val="22"/>
              </w:rPr>
            </w:pPr>
            <w:r>
              <w:rPr>
                <w:rFonts w:cs="Arial"/>
                <w:color w:val="000000"/>
                <w:kern w:val="24"/>
                <w:sz w:val="22"/>
                <w:szCs w:val="22"/>
              </w:rPr>
              <w:lastRenderedPageBreak/>
              <w:t>d</w:t>
            </w:r>
            <w:r w:rsidR="00842B45">
              <w:rPr>
                <w:rFonts w:cs="Arial"/>
                <w:color w:val="000000"/>
                <w:kern w:val="24"/>
                <w:sz w:val="22"/>
                <w:szCs w:val="22"/>
              </w:rPr>
              <w:t xml:space="preserve">enominator: </w:t>
            </w:r>
            <w:r w:rsidR="00D44AEB" w:rsidRPr="00D44AEB">
              <w:rPr>
                <w:rFonts w:cs="Arial"/>
                <w:color w:val="000000"/>
                <w:kern w:val="24"/>
                <w:sz w:val="22"/>
                <w:szCs w:val="22"/>
              </w:rPr>
              <w:t>Mid-year population estimates published by the Office for National Statistics (ONS)</w:t>
            </w:r>
          </w:p>
          <w:bookmarkEnd w:id="6"/>
          <w:p w14:paraId="1A8C1D16" w14:textId="44CB6440" w:rsidR="00D44AEB" w:rsidRPr="00D44AEB" w:rsidRDefault="00D44AEB" w:rsidP="00D44AEB">
            <w:pPr>
              <w:pStyle w:val="Paragraph"/>
              <w:spacing w:before="120" w:after="120" w:line="240" w:lineRule="auto"/>
              <w:rPr>
                <w:rFonts w:cs="Arial"/>
                <w:color w:val="000000"/>
                <w:kern w:val="24"/>
                <w:sz w:val="22"/>
                <w:szCs w:val="22"/>
              </w:rPr>
            </w:pPr>
            <w:r>
              <w:rPr>
                <w:rFonts w:cs="Arial"/>
                <w:color w:val="000000"/>
                <w:kern w:val="24"/>
                <w:sz w:val="22"/>
                <w:szCs w:val="22"/>
              </w:rPr>
              <w:t xml:space="preserve">Disclosure control: </w:t>
            </w:r>
            <w:r w:rsidRPr="00D44AEB">
              <w:rPr>
                <w:rFonts w:cs="Arial"/>
                <w:color w:val="000000"/>
                <w:kern w:val="24"/>
                <w:sz w:val="22"/>
                <w:szCs w:val="22"/>
              </w:rPr>
              <w:t>Current HES disclosure rules – numerators between 1 and 7 are suppressed and values calculated from these are also suppressed. Numerator values are rounded to the nearest 5 after calculation of rates.</w:t>
            </w:r>
          </w:p>
        </w:tc>
        <w:tc>
          <w:tcPr>
            <w:tcW w:w="3118" w:type="dxa"/>
          </w:tcPr>
          <w:p w14:paraId="1439227D" w14:textId="5A1A009F" w:rsidR="002338EB" w:rsidRPr="00D44AEB" w:rsidRDefault="002338EB" w:rsidP="002338EB">
            <w:pPr>
              <w:spacing w:before="120" w:after="120"/>
              <w:rPr>
                <w:rFonts w:ascii="Arial" w:hAnsi="Arial" w:cs="Arial"/>
                <w:color w:val="000000"/>
                <w:kern w:val="24"/>
                <w:sz w:val="22"/>
                <w:szCs w:val="22"/>
              </w:rPr>
            </w:pPr>
            <w:r w:rsidRPr="00D44AEB">
              <w:rPr>
                <w:rFonts w:ascii="Arial" w:hAnsi="Arial" w:cs="Arial"/>
                <w:color w:val="000000"/>
                <w:kern w:val="24"/>
                <w:sz w:val="22"/>
                <w:szCs w:val="22"/>
              </w:rPr>
              <w:lastRenderedPageBreak/>
              <w:t>The indicator has defined components necessary to construct the indicator, including numerator, denominator and exclusions.</w:t>
            </w:r>
          </w:p>
          <w:p w14:paraId="0C449702" w14:textId="77777777" w:rsidR="002338EB" w:rsidRPr="00D44AEB" w:rsidRDefault="002338EB" w:rsidP="002338EB">
            <w:pPr>
              <w:pStyle w:val="Paragraph"/>
              <w:spacing w:before="120" w:after="120" w:line="240" w:lineRule="auto"/>
            </w:pPr>
          </w:p>
        </w:tc>
      </w:tr>
      <w:bookmarkStart w:id="7" w:name="_Hlk190083790"/>
      <w:tr w:rsidR="002338EB" w14:paraId="48133640" w14:textId="77777777" w:rsidTr="001C517D">
        <w:tc>
          <w:tcPr>
            <w:tcW w:w="5949" w:type="dxa"/>
          </w:tcPr>
          <w:p w14:paraId="4B4889E2" w14:textId="09D11F85" w:rsidR="002C1326" w:rsidRPr="006623CF" w:rsidRDefault="00842B45" w:rsidP="006623CF">
            <w:pPr>
              <w:pStyle w:val="Paragraph"/>
              <w:spacing w:before="120" w:after="120" w:line="240" w:lineRule="auto"/>
              <w:rPr>
                <w:sz w:val="22"/>
                <w:szCs w:val="22"/>
              </w:rPr>
            </w:pPr>
            <w:r w:rsidRPr="00842B45">
              <w:rPr>
                <w:sz w:val="22"/>
                <w:szCs w:val="22"/>
              </w:rPr>
              <w:fldChar w:fldCharType="begin"/>
            </w:r>
            <w:r w:rsidR="00384236">
              <w:rPr>
                <w:sz w:val="22"/>
                <w:szCs w:val="22"/>
              </w:rPr>
              <w:instrText>HYPERLINK "https://www.ons.gov.uk/peoplepopulationandcommunity/populationandmigration/populationestimates/datasets/analysisofpopulationestimatestoolforuk"</w:instrText>
            </w:r>
            <w:r w:rsidRPr="00842B45">
              <w:rPr>
                <w:sz w:val="22"/>
                <w:szCs w:val="22"/>
              </w:rPr>
            </w:r>
            <w:r w:rsidRPr="00842B45">
              <w:rPr>
                <w:sz w:val="22"/>
                <w:szCs w:val="22"/>
              </w:rPr>
              <w:fldChar w:fldCharType="separate"/>
            </w:r>
            <w:r w:rsidR="00384236">
              <w:rPr>
                <w:rStyle w:val="Hyperlink"/>
                <w:sz w:val="22"/>
                <w:szCs w:val="22"/>
              </w:rPr>
              <w:t>ONS (2024)’s analysis of population estimates tool for UK: England, 2023 edition – mid-2023</w:t>
            </w:r>
            <w:r w:rsidRPr="00842B45">
              <w:rPr>
                <w:sz w:val="22"/>
                <w:szCs w:val="22"/>
              </w:rPr>
              <w:fldChar w:fldCharType="end"/>
            </w:r>
            <w:r w:rsidRPr="00842B45">
              <w:rPr>
                <w:sz w:val="22"/>
                <w:szCs w:val="22"/>
              </w:rPr>
              <w:t xml:space="preserve"> (</w:t>
            </w:r>
            <w:r w:rsidR="00510AB3" w:rsidRPr="002F3707">
              <w:rPr>
                <w:sz w:val="20"/>
                <w:szCs w:val="20"/>
              </w:rPr>
              <w:t>s</w:t>
            </w:r>
            <w:r w:rsidR="00510AB3" w:rsidRPr="002F3707">
              <w:rPr>
                <w:sz w:val="22"/>
                <w:szCs w:val="22"/>
              </w:rPr>
              <w:t xml:space="preserve">ingle year of age: </w:t>
            </w:r>
            <w:r w:rsidRPr="00510AB3">
              <w:rPr>
                <w:sz w:val="22"/>
                <w:szCs w:val="22"/>
              </w:rPr>
              <w:t>for</w:t>
            </w:r>
            <w:r w:rsidRPr="002F3707">
              <w:rPr>
                <w:sz w:val="20"/>
                <w:szCs w:val="20"/>
              </w:rPr>
              <w:t xml:space="preserve"> </w:t>
            </w:r>
            <w:r w:rsidRPr="00842B45">
              <w:rPr>
                <w:sz w:val="22"/>
                <w:szCs w:val="22"/>
              </w:rPr>
              <w:t>age 0 to 10 (all) and all ages (all)</w:t>
            </w:r>
            <w:r w:rsidR="00510AB3">
              <w:rPr>
                <w:sz w:val="22"/>
                <w:szCs w:val="22"/>
              </w:rPr>
              <w:t>)</w:t>
            </w:r>
            <w:r w:rsidRPr="00842B45">
              <w:rPr>
                <w:sz w:val="22"/>
                <w:szCs w:val="22"/>
              </w:rPr>
              <w:t xml:space="preserve">, show that for 2023, 12.3% (7,109,573 divided by 57,690,323) were children aged 10 and under England: 1,232 per 10,000 patients served by a network. </w:t>
            </w:r>
            <w:bookmarkEnd w:id="7"/>
            <w:r w:rsidR="00486EA9" w:rsidRPr="00486EA9">
              <w:rPr>
                <w:sz w:val="22"/>
                <w:szCs w:val="22"/>
              </w:rPr>
              <w:t xml:space="preserve">There is no minimum number of patients required for network level indicators. However, consideration should be given to whether </w:t>
            </w:r>
            <w:proofErr w:type="gramStart"/>
            <w:r w:rsidR="00486EA9" w:rsidRPr="00486EA9">
              <w:rPr>
                <w:sz w:val="22"/>
                <w:szCs w:val="22"/>
              </w:rPr>
              <w:t>the majority of</w:t>
            </w:r>
            <w:proofErr w:type="gramEnd"/>
            <w:r w:rsidR="00486EA9" w:rsidRPr="00486EA9">
              <w:rPr>
                <w:sz w:val="22"/>
                <w:szCs w:val="22"/>
              </w:rPr>
              <w:t xml:space="preserve"> results would require suppression because of small numbers.</w:t>
            </w:r>
          </w:p>
        </w:tc>
        <w:tc>
          <w:tcPr>
            <w:tcW w:w="3118" w:type="dxa"/>
          </w:tcPr>
          <w:p w14:paraId="1567BE59" w14:textId="68397ECC" w:rsidR="002338EB" w:rsidRPr="00D44AEB" w:rsidRDefault="002338EB" w:rsidP="002338EB">
            <w:pPr>
              <w:pStyle w:val="Paragraph"/>
              <w:spacing w:before="120" w:after="120" w:line="240" w:lineRule="auto"/>
              <w:rPr>
                <w:rFonts w:cs="Arial"/>
                <w:color w:val="000000"/>
                <w:kern w:val="24"/>
                <w:sz w:val="22"/>
                <w:szCs w:val="22"/>
              </w:rPr>
            </w:pPr>
            <w:r w:rsidRPr="00D44AEB">
              <w:rPr>
                <w:rFonts w:cs="Arial"/>
                <w:color w:val="000000"/>
                <w:kern w:val="24"/>
                <w:sz w:val="22"/>
                <w:szCs w:val="22"/>
              </w:rPr>
              <w:t>The indicator does not outline minimum numbers of patients needed to be confident in the assessment of variation.</w:t>
            </w:r>
          </w:p>
          <w:p w14:paraId="38DE6D48" w14:textId="7CD73C84" w:rsidR="000C4A97" w:rsidRPr="00D44AEB" w:rsidRDefault="000C4A97" w:rsidP="002338EB">
            <w:pPr>
              <w:pStyle w:val="Paragraph"/>
              <w:spacing w:before="120" w:after="120" w:line="240" w:lineRule="auto"/>
            </w:pPr>
          </w:p>
        </w:tc>
      </w:tr>
    </w:tbl>
    <w:p w14:paraId="1F89E1DD" w14:textId="24151FF3" w:rsidR="002338EB" w:rsidRDefault="002338EB" w:rsidP="002338EB">
      <w:pPr>
        <w:pStyle w:val="Paragraph"/>
      </w:pPr>
    </w:p>
    <w:p w14:paraId="597779EE" w14:textId="5E0747D0"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14F7B860" w14:textId="196421D7" w:rsidR="00403268" w:rsidRPr="006E1387" w:rsidRDefault="00403268" w:rsidP="00403268">
            <w:pPr>
              <w:spacing w:before="120" w:after="120"/>
              <w:rPr>
                <w:rFonts w:ascii="Arial" w:hAnsi="Arial" w:cs="Arial"/>
                <w:sz w:val="22"/>
                <w:szCs w:val="22"/>
              </w:rPr>
            </w:pPr>
            <w:r>
              <w:rPr>
                <w:rFonts w:ascii="Arial" w:hAnsi="Arial" w:cs="Arial"/>
                <w:sz w:val="22"/>
                <w:szCs w:val="22"/>
              </w:rPr>
              <w:t>All data are from long-running sources.</w:t>
            </w:r>
          </w:p>
          <w:p w14:paraId="3ABE91E5" w14:textId="2CC8231C" w:rsidR="00735337" w:rsidRPr="00D44AEB" w:rsidRDefault="00735337" w:rsidP="00735337">
            <w:pPr>
              <w:pStyle w:val="Paragraph"/>
              <w:spacing w:before="120" w:after="120" w:line="240" w:lineRule="auto"/>
            </w:pPr>
          </w:p>
        </w:tc>
        <w:tc>
          <w:tcPr>
            <w:tcW w:w="3118" w:type="dxa"/>
          </w:tcPr>
          <w:p w14:paraId="7E07F302" w14:textId="5F984164" w:rsidR="00735337" w:rsidRPr="00D44AEB" w:rsidRDefault="00735337" w:rsidP="00735337">
            <w:pPr>
              <w:spacing w:before="120" w:after="120"/>
              <w:rPr>
                <w:rFonts w:ascii="Arial" w:hAnsi="Arial" w:cs="Arial"/>
                <w:color w:val="000000"/>
                <w:kern w:val="24"/>
                <w:sz w:val="22"/>
                <w:szCs w:val="22"/>
              </w:rPr>
            </w:pPr>
            <w:r w:rsidRPr="00D44AEB">
              <w:rPr>
                <w:rFonts w:ascii="Arial" w:hAnsi="Arial" w:cs="Arial"/>
                <w:color w:val="000000"/>
                <w:kern w:val="24"/>
                <w:sz w:val="22"/>
                <w:szCs w:val="22"/>
              </w:rPr>
              <w:t>The indicator is repeatable.</w:t>
            </w:r>
          </w:p>
          <w:p w14:paraId="3BEFE1B2" w14:textId="77777777" w:rsidR="00735337" w:rsidRPr="00D44AEB" w:rsidRDefault="00735337" w:rsidP="00735337">
            <w:pPr>
              <w:pStyle w:val="Paragraph"/>
              <w:spacing w:before="120" w:after="120" w:line="240" w:lineRule="auto"/>
            </w:pPr>
          </w:p>
        </w:tc>
      </w:tr>
      <w:tr w:rsidR="00735337" w14:paraId="2FE27CD6" w14:textId="77777777" w:rsidTr="001C517D">
        <w:tc>
          <w:tcPr>
            <w:tcW w:w="5949" w:type="dxa"/>
          </w:tcPr>
          <w:p w14:paraId="6B3D2BF0" w14:textId="3E3AC625" w:rsidR="00735337" w:rsidRPr="00D44AEB" w:rsidRDefault="00735337" w:rsidP="003A4221">
            <w:pPr>
              <w:spacing w:before="120" w:after="120"/>
              <w:rPr>
                <w:rFonts w:ascii="Arial" w:hAnsi="Arial" w:cs="Arial"/>
                <w:sz w:val="22"/>
                <w:szCs w:val="22"/>
              </w:rPr>
            </w:pPr>
            <w:r w:rsidRPr="00D44AEB">
              <w:rPr>
                <w:rFonts w:ascii="Arial" w:hAnsi="Arial" w:cs="Arial"/>
                <w:sz w:val="22"/>
                <w:szCs w:val="22"/>
              </w:rPr>
              <w:t xml:space="preserve">Details of </w:t>
            </w:r>
            <w:hyperlink r:id="rId15" w:history="1">
              <w:r w:rsidR="00497C9A" w:rsidRPr="003A4221">
                <w:rPr>
                  <w:rStyle w:val="Hyperlink"/>
                  <w:rFonts w:ascii="Arial" w:hAnsi="Arial" w:cs="Arial"/>
                  <w:sz w:val="22"/>
                  <w:szCs w:val="22"/>
                </w:rPr>
                <w:t>HES data</w:t>
              </w:r>
            </w:hyperlink>
            <w:r w:rsidR="00497C9A">
              <w:rPr>
                <w:rFonts w:ascii="Arial" w:hAnsi="Arial" w:cs="Arial"/>
                <w:sz w:val="22"/>
                <w:szCs w:val="22"/>
              </w:rPr>
              <w:t xml:space="preserve"> and </w:t>
            </w:r>
            <w:hyperlink r:id="rId16" w:history="1">
              <w:r w:rsidR="00497C9A" w:rsidRPr="003A4221">
                <w:rPr>
                  <w:rStyle w:val="Hyperlink"/>
                  <w:rFonts w:ascii="Arial" w:hAnsi="Arial" w:cs="Arial"/>
                  <w:sz w:val="22"/>
                  <w:szCs w:val="22"/>
                </w:rPr>
                <w:t>ONS</w:t>
              </w:r>
              <w:r w:rsidR="003A4221" w:rsidRPr="003A4221">
                <w:rPr>
                  <w:rStyle w:val="Hyperlink"/>
                  <w:rFonts w:ascii="Arial" w:hAnsi="Arial" w:cs="Arial"/>
                  <w:sz w:val="22"/>
                  <w:szCs w:val="22"/>
                </w:rPr>
                <w:t xml:space="preserve"> mid-</w:t>
              </w:r>
              <w:r w:rsidR="00497C9A" w:rsidRPr="003A4221">
                <w:rPr>
                  <w:rStyle w:val="Hyperlink"/>
                  <w:rFonts w:ascii="Arial" w:hAnsi="Arial" w:cs="Arial"/>
                  <w:sz w:val="22"/>
                  <w:szCs w:val="22"/>
                </w:rPr>
                <w:t>year population</w:t>
              </w:r>
              <w:r w:rsidR="003A4221" w:rsidRPr="003A4221">
                <w:rPr>
                  <w:rStyle w:val="Hyperlink"/>
                  <w:rFonts w:ascii="Arial" w:hAnsi="Arial" w:cs="Arial"/>
                  <w:sz w:val="22"/>
                  <w:szCs w:val="22"/>
                </w:rPr>
                <w:t xml:space="preserve"> </w:t>
              </w:r>
              <w:r w:rsidR="00497C9A" w:rsidRPr="003A4221">
                <w:rPr>
                  <w:rStyle w:val="Hyperlink"/>
                  <w:rFonts w:ascii="Arial" w:hAnsi="Arial" w:cs="Arial"/>
                  <w:sz w:val="22"/>
                  <w:szCs w:val="22"/>
                </w:rPr>
                <w:t>estimates</w:t>
              </w:r>
            </w:hyperlink>
            <w:r w:rsidR="003A4221">
              <w:rPr>
                <w:rFonts w:ascii="Arial" w:hAnsi="Arial" w:cs="Arial"/>
                <w:sz w:val="22"/>
                <w:szCs w:val="22"/>
              </w:rPr>
              <w:t xml:space="preserve"> </w:t>
            </w:r>
            <w:r w:rsidRPr="00D44AEB">
              <w:rPr>
                <w:rFonts w:ascii="Arial" w:hAnsi="Arial" w:cs="Arial"/>
                <w:sz w:val="22"/>
                <w:szCs w:val="22"/>
              </w:rPr>
              <w:t xml:space="preserve">including </w:t>
            </w:r>
            <w:r w:rsidRPr="00497C9A">
              <w:rPr>
                <w:rFonts w:ascii="Arial" w:hAnsi="Arial" w:cs="Arial"/>
                <w:sz w:val="22"/>
                <w:szCs w:val="22"/>
              </w:rPr>
              <w:t>guidance</w:t>
            </w:r>
            <w:r w:rsidRPr="00D44AEB">
              <w:rPr>
                <w:rFonts w:ascii="Arial" w:hAnsi="Arial" w:cs="Arial"/>
                <w:sz w:val="22"/>
                <w:szCs w:val="22"/>
              </w:rPr>
              <w:t xml:space="preserve"> </w:t>
            </w:r>
            <w:r w:rsidR="003A4221">
              <w:rPr>
                <w:rFonts w:ascii="Arial" w:hAnsi="Arial" w:cs="Arial"/>
                <w:sz w:val="22"/>
                <w:szCs w:val="22"/>
              </w:rPr>
              <w:t xml:space="preserve">and definitions </w:t>
            </w:r>
            <w:r w:rsidRPr="00D44AEB">
              <w:rPr>
                <w:rFonts w:ascii="Arial" w:hAnsi="Arial" w:cs="Arial"/>
                <w:sz w:val="22"/>
                <w:szCs w:val="22"/>
              </w:rPr>
              <w:t>are published by</w:t>
            </w:r>
            <w:r w:rsidR="00D44AEB">
              <w:rPr>
                <w:rFonts w:ascii="Arial" w:hAnsi="Arial" w:cs="Arial"/>
                <w:sz w:val="22"/>
                <w:szCs w:val="22"/>
              </w:rPr>
              <w:t xml:space="preserve"> </w:t>
            </w:r>
            <w:r w:rsidR="00497C9A">
              <w:rPr>
                <w:rFonts w:ascii="Arial" w:hAnsi="Arial" w:cs="Arial"/>
                <w:sz w:val="22"/>
                <w:szCs w:val="22"/>
              </w:rPr>
              <w:t>NHSE</w:t>
            </w:r>
            <w:r w:rsidR="00D44AEB">
              <w:rPr>
                <w:rFonts w:ascii="Arial" w:hAnsi="Arial" w:cs="Arial"/>
                <w:sz w:val="22"/>
                <w:szCs w:val="22"/>
              </w:rPr>
              <w:t xml:space="preserve"> and the ONS</w:t>
            </w:r>
            <w:r w:rsidR="003A4221">
              <w:rPr>
                <w:rFonts w:ascii="Arial" w:hAnsi="Arial" w:cs="Arial"/>
                <w:sz w:val="22"/>
                <w:szCs w:val="22"/>
              </w:rPr>
              <w:t xml:space="preserve"> respectively</w:t>
            </w:r>
            <w:r w:rsidR="00D44AEB">
              <w:rPr>
                <w:rFonts w:ascii="Arial" w:hAnsi="Arial" w:cs="Arial"/>
                <w:sz w:val="22"/>
                <w:szCs w:val="22"/>
              </w:rPr>
              <w:t>.</w:t>
            </w:r>
          </w:p>
        </w:tc>
        <w:tc>
          <w:tcPr>
            <w:tcW w:w="3118" w:type="dxa"/>
          </w:tcPr>
          <w:p w14:paraId="501A7677" w14:textId="77777777" w:rsidR="00735337" w:rsidRPr="00D44AEB" w:rsidRDefault="00735337" w:rsidP="00735337">
            <w:pPr>
              <w:spacing w:before="120" w:after="120"/>
              <w:rPr>
                <w:rFonts w:ascii="Arial" w:hAnsi="Arial" w:cs="Arial"/>
                <w:color w:val="000000"/>
                <w:kern w:val="24"/>
                <w:sz w:val="22"/>
                <w:szCs w:val="22"/>
              </w:rPr>
            </w:pPr>
            <w:r w:rsidRPr="00D44AEB">
              <w:rPr>
                <w:rFonts w:ascii="Arial" w:hAnsi="Arial" w:cs="Arial"/>
                <w:color w:val="000000"/>
                <w:kern w:val="24"/>
                <w:sz w:val="22"/>
                <w:szCs w:val="22"/>
              </w:rPr>
              <w:t xml:space="preserve">The indicator is measuring what it is designed to measure. </w:t>
            </w:r>
          </w:p>
          <w:p w14:paraId="24CB8CBA" w14:textId="284E71C7" w:rsidR="00735337" w:rsidRPr="00D44AEB" w:rsidRDefault="00735337" w:rsidP="00735337">
            <w:pPr>
              <w:spacing w:before="120" w:after="120"/>
              <w:rPr>
                <w:rFonts w:ascii="Arial" w:hAnsi="Arial" w:cs="Arial"/>
                <w:color w:val="000000"/>
                <w:kern w:val="24"/>
                <w:sz w:val="22"/>
                <w:szCs w:val="22"/>
              </w:rPr>
            </w:pPr>
            <w:r w:rsidRPr="00D44AEB">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009E37A6" w14:textId="6DB33893" w:rsidR="00735337" w:rsidRPr="00193E17" w:rsidRDefault="00193E17" w:rsidP="00193E17">
            <w:pPr>
              <w:pStyle w:val="Paragraph"/>
              <w:spacing w:before="120" w:after="120" w:line="240" w:lineRule="auto"/>
              <w:rPr>
                <w:rFonts w:cs="Arial"/>
                <w:sz w:val="22"/>
                <w:szCs w:val="22"/>
              </w:rPr>
            </w:pPr>
            <w:r w:rsidRPr="008D3BA3">
              <w:rPr>
                <w:rFonts w:cs="Arial"/>
                <w:sz w:val="22"/>
                <w:szCs w:val="22"/>
              </w:rPr>
              <w:t xml:space="preserve">NICE did not have the option to conduct consultation on National Library indicators and therefore cannot confirm </w:t>
            </w:r>
            <w:r>
              <w:rPr>
                <w:rFonts w:cs="Arial"/>
                <w:sz w:val="22"/>
                <w:szCs w:val="22"/>
              </w:rPr>
              <w:t>healthcare professionals’</w:t>
            </w:r>
            <w:r w:rsidRPr="008D3BA3">
              <w:rPr>
                <w:rFonts w:cs="Arial"/>
                <w:sz w:val="22"/>
                <w:szCs w:val="22"/>
              </w:rPr>
              <w:t xml:space="preserve"> acceptability of control. </w:t>
            </w:r>
            <w:proofErr w:type="gramStart"/>
            <w:r w:rsidRPr="008D3BA3">
              <w:rPr>
                <w:rFonts w:cs="Arial"/>
                <w:sz w:val="22"/>
                <w:szCs w:val="22"/>
              </w:rPr>
              <w:t>However</w:t>
            </w:r>
            <w:proofErr w:type="gramEnd"/>
            <w:r w:rsidRPr="008D3BA3">
              <w:rPr>
                <w:rFonts w:cs="Arial"/>
                <w:sz w:val="22"/>
                <w:szCs w:val="22"/>
              </w:rPr>
              <w:t xml:space="preserve"> </w:t>
            </w:r>
            <w:r>
              <w:rPr>
                <w:rFonts w:cs="Arial"/>
                <w:sz w:val="22"/>
                <w:szCs w:val="22"/>
              </w:rPr>
              <w:t xml:space="preserve">this </w:t>
            </w:r>
            <w:r w:rsidRPr="008D3BA3">
              <w:rPr>
                <w:rFonts w:cs="Arial"/>
                <w:sz w:val="22"/>
                <w:szCs w:val="22"/>
              </w:rPr>
              <w:t xml:space="preserve">is </w:t>
            </w:r>
            <w:r>
              <w:rPr>
                <w:rFonts w:cs="Arial"/>
                <w:sz w:val="22"/>
                <w:szCs w:val="22"/>
              </w:rPr>
              <w:t xml:space="preserve">a </w:t>
            </w:r>
            <w:r w:rsidRPr="008D3BA3">
              <w:rPr>
                <w:rFonts w:cs="Arial"/>
                <w:sz w:val="22"/>
                <w:szCs w:val="22"/>
              </w:rPr>
              <w:t>long</w:t>
            </w:r>
            <w:r>
              <w:rPr>
                <w:rFonts w:cs="Arial"/>
                <w:sz w:val="22"/>
                <w:szCs w:val="22"/>
              </w:rPr>
              <w:t>-</w:t>
            </w:r>
            <w:r w:rsidRPr="008D3BA3">
              <w:rPr>
                <w:rFonts w:cs="Arial"/>
                <w:sz w:val="22"/>
                <w:szCs w:val="22"/>
              </w:rPr>
              <w:t xml:space="preserve">running and </w:t>
            </w:r>
            <w:r>
              <w:rPr>
                <w:rFonts w:cs="Arial"/>
                <w:sz w:val="22"/>
                <w:szCs w:val="22"/>
              </w:rPr>
              <w:t xml:space="preserve">indicator in the NHS Outcomes Framework and </w:t>
            </w:r>
            <w:r w:rsidRPr="008D3BA3">
              <w:rPr>
                <w:rFonts w:cs="Arial"/>
                <w:sz w:val="22"/>
                <w:szCs w:val="22"/>
              </w:rPr>
              <w:t>acceptability of control may be assumed from that.</w:t>
            </w:r>
          </w:p>
        </w:tc>
        <w:tc>
          <w:tcPr>
            <w:tcW w:w="3118" w:type="dxa"/>
          </w:tcPr>
          <w:p w14:paraId="50C98A36" w14:textId="14C32902" w:rsidR="00735337" w:rsidRPr="00D44AEB" w:rsidRDefault="00735337" w:rsidP="00735337">
            <w:pPr>
              <w:pStyle w:val="Paragraph"/>
              <w:spacing w:before="120" w:after="120" w:line="240" w:lineRule="auto"/>
            </w:pPr>
            <w:r w:rsidRPr="00D44AEB">
              <w:rPr>
                <w:rFonts w:cs="Arial"/>
                <w:color w:val="000000"/>
                <w:kern w:val="24"/>
                <w:sz w:val="22"/>
                <w:szCs w:val="22"/>
              </w:rPr>
              <w:t>The indicator assesses performance that is attributable to or within the control of the audience</w:t>
            </w:r>
          </w:p>
        </w:tc>
      </w:tr>
      <w:tr w:rsidR="00735337" w14:paraId="7E164FBD" w14:textId="77777777" w:rsidTr="001C517D">
        <w:tc>
          <w:tcPr>
            <w:tcW w:w="5949" w:type="dxa"/>
          </w:tcPr>
          <w:p w14:paraId="5AAFADFA" w14:textId="77777777" w:rsidR="00193E17" w:rsidRPr="006E1387" w:rsidRDefault="00193E17" w:rsidP="00193E17">
            <w:pPr>
              <w:spacing w:before="120" w:after="120"/>
              <w:rPr>
                <w:rFonts w:ascii="Arial" w:hAnsi="Arial" w:cs="Arial"/>
                <w:sz w:val="22"/>
                <w:szCs w:val="22"/>
              </w:rPr>
            </w:pPr>
            <w:r>
              <w:rPr>
                <w:rFonts w:ascii="Arial" w:hAnsi="Arial" w:cs="Arial"/>
                <w:sz w:val="22"/>
                <w:szCs w:val="22"/>
              </w:rPr>
              <w:lastRenderedPageBreak/>
              <w:t>Data shows improvement in national data over the period and variation exists across breakdowns to allow for targeted intervention.</w:t>
            </w:r>
          </w:p>
          <w:p w14:paraId="3AF0200A" w14:textId="08E3EF84" w:rsidR="00735337" w:rsidRPr="00D44AEB" w:rsidRDefault="00735337" w:rsidP="00735337">
            <w:pPr>
              <w:pStyle w:val="Paragraph"/>
              <w:spacing w:before="120" w:after="120" w:line="240" w:lineRule="auto"/>
              <w:rPr>
                <w:rFonts w:cs="Arial"/>
                <w:sz w:val="22"/>
                <w:szCs w:val="22"/>
              </w:rPr>
            </w:pPr>
            <w:r w:rsidRPr="00D44AEB">
              <w:rPr>
                <w:rFonts w:cs="Arial"/>
                <w:sz w:val="22"/>
                <w:szCs w:val="22"/>
              </w:rPr>
              <w:t xml:space="preserve">Data </w:t>
            </w:r>
            <w:r w:rsidR="00D44AEB" w:rsidRPr="00D44AEB">
              <w:rPr>
                <w:rFonts w:cs="Arial"/>
                <w:sz w:val="22"/>
                <w:szCs w:val="22"/>
              </w:rPr>
              <w:t xml:space="preserve">have been </w:t>
            </w:r>
            <w:r w:rsidRPr="00D44AEB">
              <w:rPr>
                <w:rFonts w:cs="Arial"/>
                <w:sz w:val="22"/>
                <w:szCs w:val="22"/>
              </w:rPr>
              <w:t xml:space="preserve">published </w:t>
            </w:r>
            <w:r w:rsidR="00D44AEB" w:rsidRPr="00D44AEB">
              <w:rPr>
                <w:rFonts w:cs="Arial"/>
                <w:sz w:val="22"/>
                <w:szCs w:val="22"/>
              </w:rPr>
              <w:t xml:space="preserve">up to 2020 to 2021 by NHS England as part of the NHSOF </w:t>
            </w:r>
            <w:proofErr w:type="gramStart"/>
            <w:r w:rsidRPr="00D44AEB">
              <w:rPr>
                <w:rFonts w:cs="Arial"/>
                <w:sz w:val="22"/>
                <w:szCs w:val="22"/>
              </w:rPr>
              <w:t>in order to</w:t>
            </w:r>
            <w:proofErr w:type="gramEnd"/>
            <w:r w:rsidRPr="00D44AEB">
              <w:rPr>
                <w:rFonts w:cs="Arial"/>
                <w:sz w:val="22"/>
                <w:szCs w:val="22"/>
              </w:rPr>
              <w:t xml:space="preserve"> compare practice and assist in quality improvement cycles.</w:t>
            </w:r>
            <w:r w:rsidR="00D44AEB">
              <w:rPr>
                <w:rFonts w:cs="Arial"/>
                <w:sz w:val="22"/>
                <w:szCs w:val="22"/>
              </w:rPr>
              <w:t xml:space="preserve"> </w:t>
            </w:r>
          </w:p>
        </w:tc>
        <w:tc>
          <w:tcPr>
            <w:tcW w:w="3118" w:type="dxa"/>
          </w:tcPr>
          <w:p w14:paraId="2909F55A" w14:textId="550EBBEB" w:rsidR="00735337" w:rsidRPr="00D44AEB" w:rsidRDefault="00735337" w:rsidP="00735337">
            <w:pPr>
              <w:pStyle w:val="Paragraph"/>
              <w:spacing w:before="120" w:after="120" w:line="240" w:lineRule="auto"/>
            </w:pPr>
            <w:r w:rsidRPr="00D44AEB">
              <w:rPr>
                <w:rFonts w:cs="Arial"/>
                <w:color w:val="000000"/>
                <w:kern w:val="24"/>
                <w:sz w:val="22"/>
                <w:szCs w:val="22"/>
              </w:rPr>
              <w:t>The results of the indicator can be used to improve practice</w:t>
            </w:r>
          </w:p>
        </w:tc>
      </w:tr>
    </w:tbl>
    <w:p w14:paraId="359B1BDB" w14:textId="49E7FB46" w:rsidR="002338EB" w:rsidRDefault="002338EB" w:rsidP="002338EB">
      <w:pPr>
        <w:pStyle w:val="Paragraph"/>
      </w:pPr>
    </w:p>
    <w:p w14:paraId="639F934E" w14:textId="090BF21C"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675EA851" w14:textId="4F814BBE" w:rsidR="00D44AEB" w:rsidRPr="006623CF" w:rsidRDefault="00D44AEB" w:rsidP="006623CF">
            <w:pPr>
              <w:pStyle w:val="Paragraph"/>
              <w:spacing w:before="120" w:after="120" w:line="240" w:lineRule="auto"/>
              <w:rPr>
                <w:rFonts w:cs="Arial"/>
                <w:color w:val="0000FF"/>
                <w:kern w:val="24"/>
                <w:sz w:val="22"/>
                <w:szCs w:val="22"/>
                <w:u w:val="single"/>
                <w:lang w:eastAsia="en-GB"/>
              </w:rPr>
            </w:pPr>
            <w:r w:rsidRPr="00D44AEB">
              <w:rPr>
                <w:rFonts w:cs="Arial"/>
                <w:color w:val="000000"/>
                <w:kern w:val="24"/>
                <w:sz w:val="22"/>
                <w:szCs w:val="22"/>
                <w:lang w:eastAsia="en-GB"/>
              </w:rPr>
              <w:t xml:space="preserve">The </w:t>
            </w:r>
            <w:r>
              <w:rPr>
                <w:rFonts w:cs="Arial"/>
                <w:color w:val="000000"/>
                <w:kern w:val="24"/>
                <w:sz w:val="22"/>
                <w:szCs w:val="22"/>
                <w:lang w:eastAsia="en-GB"/>
              </w:rPr>
              <w:t>NHSOF</w:t>
            </w:r>
            <w:r w:rsidRPr="00D44AEB">
              <w:rPr>
                <w:rFonts w:cs="Arial"/>
                <w:color w:val="000000"/>
                <w:kern w:val="24"/>
                <w:sz w:val="22"/>
                <w:szCs w:val="22"/>
                <w:lang w:eastAsia="en-GB"/>
              </w:rPr>
              <w:t xml:space="preserve"> is currently paused. When the next iteration is published it is possible that this indicator may become a signpost to the Office for Health Improvement and Disparities (OHID) publication on Hospital-based tooth extractions in 0 to 19 year olds (</w:t>
            </w:r>
            <w:hyperlink r:id="rId17" w:history="1">
              <w:r w:rsidRPr="004B5EED">
                <w:rPr>
                  <w:rStyle w:val="Hyperlink"/>
                  <w:rFonts w:cs="Arial"/>
                  <w:kern w:val="24"/>
                  <w:sz w:val="22"/>
                  <w:szCs w:val="22"/>
                  <w:lang w:eastAsia="en-GB"/>
                </w:rPr>
                <w:t>https://www.gov.uk/government/c</w:t>
              </w:r>
              <w:r w:rsidRPr="004B5EED">
                <w:rPr>
                  <w:rStyle w:val="Hyperlink"/>
                  <w:rFonts w:cs="Arial"/>
                  <w:kern w:val="24"/>
                  <w:sz w:val="22"/>
                  <w:szCs w:val="22"/>
                  <w:lang w:eastAsia="en-GB"/>
                </w:rPr>
                <w:t>o</w:t>
              </w:r>
              <w:r w:rsidRPr="004B5EED">
                <w:rPr>
                  <w:rStyle w:val="Hyperlink"/>
                  <w:rFonts w:cs="Arial"/>
                  <w:kern w:val="24"/>
                  <w:sz w:val="22"/>
                  <w:szCs w:val="22"/>
                  <w:lang w:eastAsia="en-GB"/>
                </w:rPr>
                <w:t>llections/hospital-based-tooth-extractions-in-0-to-19-year-olds</w:t>
              </w:r>
            </w:hyperlink>
            <w:r w:rsidR="006623CF">
              <w:rPr>
                <w:rStyle w:val="Hyperlink"/>
                <w:rFonts w:cs="Arial"/>
                <w:kern w:val="24"/>
                <w:sz w:val="22"/>
                <w:szCs w:val="22"/>
                <w:lang w:eastAsia="en-GB"/>
              </w:rPr>
              <w:t>.</w:t>
            </w:r>
            <w:r w:rsidR="006623CF" w:rsidRPr="006623CF">
              <w:rPr>
                <w:rStyle w:val="Hyperlink"/>
                <w:rFonts w:cs="Arial"/>
                <w:kern w:val="24"/>
                <w:sz w:val="22"/>
                <w:szCs w:val="22"/>
                <w:u w:val="none"/>
                <w:lang w:eastAsia="en-GB"/>
              </w:rPr>
              <w:t xml:space="preserve"> </w:t>
            </w:r>
            <w:r w:rsidR="006623CF">
              <w:rPr>
                <w:rFonts w:cs="Arial"/>
                <w:color w:val="000000"/>
                <w:kern w:val="24"/>
                <w:sz w:val="22"/>
                <w:szCs w:val="22"/>
                <w:lang w:eastAsia="en-GB"/>
              </w:rPr>
              <w:t xml:space="preserve">This indicator </w:t>
            </w:r>
            <w:r w:rsidRPr="00D44AEB">
              <w:rPr>
                <w:rFonts w:cs="Arial"/>
                <w:color w:val="000000"/>
                <w:kern w:val="24"/>
                <w:sz w:val="22"/>
                <w:szCs w:val="22"/>
                <w:lang w:eastAsia="en-GB"/>
              </w:rPr>
              <w:t>uses the same methodology but publishes at different age bands (0</w:t>
            </w:r>
            <w:r w:rsidR="006623CF">
              <w:rPr>
                <w:rFonts w:cs="Arial"/>
                <w:color w:val="000000"/>
                <w:kern w:val="24"/>
                <w:sz w:val="22"/>
                <w:szCs w:val="22"/>
                <w:lang w:eastAsia="en-GB"/>
              </w:rPr>
              <w:t xml:space="preserve"> to </w:t>
            </w:r>
            <w:r w:rsidRPr="00D44AEB">
              <w:rPr>
                <w:rFonts w:cs="Arial"/>
                <w:color w:val="000000"/>
                <w:kern w:val="24"/>
                <w:sz w:val="22"/>
                <w:szCs w:val="22"/>
                <w:lang w:eastAsia="en-GB"/>
              </w:rPr>
              <w:t>5, 6</w:t>
            </w:r>
            <w:r w:rsidR="006623CF">
              <w:rPr>
                <w:rFonts w:cs="Arial"/>
                <w:color w:val="000000"/>
                <w:kern w:val="24"/>
                <w:sz w:val="22"/>
                <w:szCs w:val="22"/>
                <w:lang w:eastAsia="en-GB"/>
              </w:rPr>
              <w:t xml:space="preserve"> to </w:t>
            </w:r>
            <w:r w:rsidRPr="00D44AEB">
              <w:rPr>
                <w:rFonts w:cs="Arial"/>
                <w:color w:val="000000"/>
                <w:kern w:val="24"/>
                <w:sz w:val="22"/>
                <w:szCs w:val="22"/>
                <w:lang w:eastAsia="en-GB"/>
              </w:rPr>
              <w:t>10, 11</w:t>
            </w:r>
            <w:r w:rsidR="006623CF">
              <w:rPr>
                <w:rFonts w:cs="Arial"/>
                <w:color w:val="000000"/>
                <w:kern w:val="24"/>
                <w:sz w:val="22"/>
                <w:szCs w:val="22"/>
                <w:lang w:eastAsia="en-GB"/>
              </w:rPr>
              <w:t xml:space="preserve"> to </w:t>
            </w:r>
            <w:r w:rsidRPr="00D44AEB">
              <w:rPr>
                <w:rFonts w:cs="Arial"/>
                <w:color w:val="000000"/>
                <w:kern w:val="24"/>
                <w:sz w:val="22"/>
                <w:szCs w:val="22"/>
                <w:lang w:eastAsia="en-GB"/>
              </w:rPr>
              <w:t xml:space="preserve">14, </w:t>
            </w:r>
            <w:r w:rsidR="006623CF">
              <w:rPr>
                <w:rFonts w:cs="Arial"/>
                <w:color w:val="000000"/>
                <w:kern w:val="24"/>
                <w:sz w:val="22"/>
                <w:szCs w:val="22"/>
                <w:lang w:eastAsia="en-GB"/>
              </w:rPr>
              <w:t xml:space="preserve">and </w:t>
            </w:r>
            <w:r w:rsidRPr="00D44AEB">
              <w:rPr>
                <w:rFonts w:cs="Arial"/>
                <w:color w:val="000000"/>
                <w:kern w:val="24"/>
                <w:sz w:val="22"/>
                <w:szCs w:val="22"/>
                <w:lang w:eastAsia="en-GB"/>
              </w:rPr>
              <w:t>15</w:t>
            </w:r>
            <w:r w:rsidR="006623CF">
              <w:rPr>
                <w:rFonts w:cs="Arial"/>
                <w:color w:val="000000"/>
                <w:kern w:val="24"/>
                <w:sz w:val="22"/>
                <w:szCs w:val="22"/>
                <w:lang w:eastAsia="en-GB"/>
              </w:rPr>
              <w:t xml:space="preserve"> to </w:t>
            </w:r>
            <w:r w:rsidRPr="00D44AEB">
              <w:rPr>
                <w:rFonts w:cs="Arial"/>
                <w:color w:val="000000"/>
                <w:kern w:val="24"/>
                <w:sz w:val="22"/>
                <w:szCs w:val="22"/>
                <w:lang w:eastAsia="en-GB"/>
              </w:rPr>
              <w:t>19). 0</w:t>
            </w:r>
            <w:r w:rsidR="006623CF">
              <w:rPr>
                <w:rFonts w:cs="Arial"/>
                <w:color w:val="000000"/>
                <w:kern w:val="24"/>
                <w:sz w:val="22"/>
                <w:szCs w:val="22"/>
                <w:lang w:eastAsia="en-GB"/>
              </w:rPr>
              <w:t xml:space="preserve"> to </w:t>
            </w:r>
            <w:r w:rsidRPr="00D44AEB">
              <w:rPr>
                <w:rFonts w:cs="Arial"/>
                <w:color w:val="000000"/>
                <w:kern w:val="24"/>
                <w:sz w:val="22"/>
                <w:szCs w:val="22"/>
                <w:lang w:eastAsia="en-GB"/>
              </w:rPr>
              <w:t>5 and 6</w:t>
            </w:r>
            <w:r w:rsidR="006623CF">
              <w:rPr>
                <w:rFonts w:cs="Arial"/>
                <w:color w:val="000000"/>
                <w:kern w:val="24"/>
                <w:sz w:val="22"/>
                <w:szCs w:val="22"/>
                <w:lang w:eastAsia="en-GB"/>
              </w:rPr>
              <w:t xml:space="preserve"> to </w:t>
            </w:r>
            <w:r w:rsidRPr="00D44AEB">
              <w:rPr>
                <w:rFonts w:cs="Arial"/>
                <w:color w:val="000000"/>
                <w:kern w:val="24"/>
                <w:sz w:val="22"/>
                <w:szCs w:val="22"/>
                <w:lang w:eastAsia="en-GB"/>
              </w:rPr>
              <w:t>10 can be combined to equate to this indicator</w:t>
            </w:r>
            <w:r w:rsidR="006623CF">
              <w:rPr>
                <w:rFonts w:cs="Arial"/>
                <w:color w:val="000000"/>
                <w:kern w:val="24"/>
                <w:sz w:val="22"/>
                <w:szCs w:val="22"/>
                <w:lang w:eastAsia="en-GB"/>
              </w:rPr>
              <w:t>;</w:t>
            </w:r>
            <w:r w:rsidRPr="00D44AEB">
              <w:rPr>
                <w:rFonts w:cs="Arial"/>
                <w:color w:val="000000"/>
                <w:kern w:val="24"/>
                <w:sz w:val="22"/>
                <w:szCs w:val="22"/>
                <w:lang w:eastAsia="en-GB"/>
              </w:rPr>
              <w:t xml:space="preserve"> however</w:t>
            </w:r>
            <w:r w:rsidR="006623CF">
              <w:rPr>
                <w:rFonts w:cs="Arial"/>
                <w:color w:val="000000"/>
                <w:kern w:val="24"/>
                <w:sz w:val="22"/>
                <w:szCs w:val="22"/>
                <w:lang w:eastAsia="en-GB"/>
              </w:rPr>
              <w:t>,</w:t>
            </w:r>
            <w:r w:rsidRPr="00D44AEB">
              <w:rPr>
                <w:rFonts w:cs="Arial"/>
                <w:color w:val="000000"/>
                <w:kern w:val="24"/>
                <w:sz w:val="22"/>
                <w:szCs w:val="22"/>
                <w:lang w:eastAsia="en-GB"/>
              </w:rPr>
              <w:t xml:space="preserve"> they would be based on rounded counts below England level. </w:t>
            </w:r>
          </w:p>
          <w:p w14:paraId="1179752C" w14:textId="3F17417D" w:rsidR="00D44AEB" w:rsidRPr="00D44AEB" w:rsidRDefault="00D44AEB" w:rsidP="006623CF">
            <w:pPr>
              <w:pStyle w:val="Paragraph"/>
              <w:spacing w:before="120" w:after="120" w:line="240" w:lineRule="auto"/>
              <w:rPr>
                <w:rFonts w:cs="Arial"/>
                <w:color w:val="000000"/>
                <w:kern w:val="24"/>
                <w:sz w:val="22"/>
                <w:szCs w:val="22"/>
                <w:lang w:eastAsia="en-GB"/>
              </w:rPr>
            </w:pPr>
            <w:r w:rsidRPr="00D44AEB">
              <w:rPr>
                <w:rFonts w:cs="Arial"/>
                <w:color w:val="000000"/>
                <w:kern w:val="24"/>
                <w:sz w:val="22"/>
                <w:szCs w:val="22"/>
                <w:lang w:eastAsia="en-GB"/>
              </w:rPr>
              <w:t xml:space="preserve">The </w:t>
            </w:r>
            <w:r>
              <w:rPr>
                <w:rFonts w:cs="Arial"/>
                <w:color w:val="000000"/>
                <w:kern w:val="24"/>
                <w:sz w:val="22"/>
                <w:szCs w:val="22"/>
                <w:lang w:eastAsia="en-GB"/>
              </w:rPr>
              <w:t>NHSOF</w:t>
            </w:r>
            <w:r w:rsidRPr="00D44AEB">
              <w:rPr>
                <w:rFonts w:cs="Arial"/>
                <w:color w:val="000000"/>
                <w:kern w:val="24"/>
                <w:sz w:val="22"/>
                <w:szCs w:val="22"/>
                <w:lang w:eastAsia="en-GB"/>
              </w:rPr>
              <w:t xml:space="preserve"> indicator methodology changed slightly in 2019 to add additional ICD</w:t>
            </w:r>
            <w:r w:rsidR="00842B45">
              <w:rPr>
                <w:rFonts w:cs="Arial"/>
                <w:color w:val="000000"/>
                <w:kern w:val="24"/>
                <w:sz w:val="22"/>
                <w:szCs w:val="22"/>
                <w:lang w:eastAsia="en-GB"/>
              </w:rPr>
              <w:t>–</w:t>
            </w:r>
            <w:r w:rsidRPr="00D44AEB">
              <w:rPr>
                <w:rFonts w:cs="Arial"/>
                <w:color w:val="000000"/>
                <w:kern w:val="24"/>
                <w:sz w:val="22"/>
                <w:szCs w:val="22"/>
                <w:lang w:eastAsia="en-GB"/>
              </w:rPr>
              <w:t>10 codes to bring the indicator in line with the OHID method</w:t>
            </w:r>
            <w:r w:rsidR="006623CF">
              <w:rPr>
                <w:rFonts w:cs="Arial"/>
                <w:color w:val="000000"/>
                <w:kern w:val="24"/>
                <w:sz w:val="22"/>
                <w:szCs w:val="22"/>
                <w:lang w:eastAsia="en-GB"/>
              </w:rPr>
              <w:t>.</w:t>
            </w:r>
            <w:r w:rsidRPr="00D44AEB">
              <w:rPr>
                <w:rFonts w:cs="Arial"/>
                <w:color w:val="000000"/>
                <w:kern w:val="24"/>
                <w:sz w:val="22"/>
                <w:szCs w:val="22"/>
                <w:lang w:eastAsia="en-GB"/>
              </w:rPr>
              <w:t xml:space="preserve"> </w:t>
            </w:r>
            <w:r w:rsidR="006623CF" w:rsidRPr="00D44AEB">
              <w:rPr>
                <w:rFonts w:cs="Arial"/>
                <w:color w:val="000000"/>
                <w:kern w:val="24"/>
                <w:sz w:val="22"/>
                <w:szCs w:val="22"/>
                <w:lang w:eastAsia="en-GB"/>
              </w:rPr>
              <w:t>H</w:t>
            </w:r>
            <w:r w:rsidRPr="00D44AEB">
              <w:rPr>
                <w:rFonts w:cs="Arial"/>
                <w:color w:val="000000"/>
                <w:kern w:val="24"/>
                <w:sz w:val="22"/>
                <w:szCs w:val="22"/>
                <w:lang w:eastAsia="en-GB"/>
              </w:rPr>
              <w:t>oweve</w:t>
            </w:r>
            <w:r w:rsidR="006623CF">
              <w:rPr>
                <w:rFonts w:cs="Arial"/>
                <w:color w:val="000000"/>
                <w:kern w:val="24"/>
                <w:sz w:val="22"/>
                <w:szCs w:val="22"/>
                <w:lang w:eastAsia="en-GB"/>
              </w:rPr>
              <w:t xml:space="preserve">r, </w:t>
            </w:r>
            <w:r w:rsidR="006623CF">
              <w:rPr>
                <w:rFonts w:cs="Arial"/>
                <w:b/>
                <w:bCs/>
                <w:color w:val="000000"/>
                <w:kern w:val="24"/>
                <w:sz w:val="22"/>
                <w:szCs w:val="22"/>
                <w:lang w:eastAsia="en-GB"/>
              </w:rPr>
              <w:t xml:space="preserve">data for </w:t>
            </w:r>
            <w:r w:rsidRPr="00D44AEB">
              <w:rPr>
                <w:rFonts w:cs="Arial"/>
                <w:color w:val="000000"/>
                <w:kern w:val="24"/>
                <w:sz w:val="22"/>
                <w:szCs w:val="22"/>
                <w:lang w:eastAsia="en-GB"/>
              </w:rPr>
              <w:t xml:space="preserve">previous years were recalculated to retain the full trend. This is detailed fully in the indicator </w:t>
            </w:r>
            <w:r>
              <w:rPr>
                <w:rFonts w:cs="Arial"/>
                <w:color w:val="000000"/>
                <w:kern w:val="24"/>
                <w:sz w:val="22"/>
                <w:szCs w:val="22"/>
                <w:lang w:eastAsia="en-GB"/>
              </w:rPr>
              <w:t>q</w:t>
            </w:r>
            <w:r w:rsidRPr="00D44AEB">
              <w:rPr>
                <w:rFonts w:cs="Arial"/>
                <w:color w:val="000000"/>
                <w:kern w:val="24"/>
                <w:sz w:val="22"/>
                <w:szCs w:val="22"/>
                <w:lang w:eastAsia="en-GB"/>
              </w:rPr>
              <w:t xml:space="preserve">uality </w:t>
            </w:r>
            <w:r>
              <w:rPr>
                <w:rFonts w:cs="Arial"/>
                <w:color w:val="000000"/>
                <w:kern w:val="24"/>
                <w:sz w:val="22"/>
                <w:szCs w:val="22"/>
                <w:lang w:eastAsia="en-GB"/>
              </w:rPr>
              <w:t>s</w:t>
            </w:r>
            <w:r w:rsidRPr="00D44AEB">
              <w:rPr>
                <w:rFonts w:cs="Arial"/>
                <w:color w:val="000000"/>
                <w:kern w:val="24"/>
                <w:sz w:val="22"/>
                <w:szCs w:val="22"/>
                <w:lang w:eastAsia="en-GB"/>
              </w:rPr>
              <w:t>tatement</w:t>
            </w:r>
            <w:r w:rsidR="002F3707">
              <w:rPr>
                <w:rFonts w:cs="Arial"/>
                <w:color w:val="000000"/>
                <w:kern w:val="24"/>
                <w:sz w:val="22"/>
                <w:szCs w:val="22"/>
                <w:lang w:eastAsia="en-GB"/>
              </w:rPr>
              <w:t xml:space="preserve"> </w:t>
            </w:r>
            <w:r w:rsidR="002F3707" w:rsidRPr="002F3707">
              <w:rPr>
                <w:rFonts w:cs="Arial"/>
                <w:color w:val="000000"/>
                <w:kern w:val="24"/>
                <w:sz w:val="22"/>
                <w:szCs w:val="22"/>
                <w:lang w:eastAsia="en-GB"/>
              </w:rPr>
              <w:t>(</w:t>
            </w:r>
            <w:hyperlink r:id="rId18" w:history="1">
              <w:r w:rsidR="002F3707" w:rsidRPr="002F3707">
                <w:rPr>
                  <w:rStyle w:val="Hyperlink"/>
                  <w:rFonts w:cs="Arial"/>
                  <w:kern w:val="24"/>
                  <w:sz w:val="22"/>
                  <w:szCs w:val="22"/>
                  <w:lang w:eastAsia="en-GB"/>
                </w:rPr>
                <w:t>NHSOF quality statement for indicator 3.7.ii</w:t>
              </w:r>
            </w:hyperlink>
            <w:r w:rsidR="002F3707" w:rsidRPr="002F3707">
              <w:rPr>
                <w:rFonts w:cs="Arial"/>
                <w:color w:val="000000"/>
                <w:kern w:val="24"/>
                <w:sz w:val="22"/>
                <w:szCs w:val="22"/>
                <w:lang w:eastAsia="en-GB"/>
              </w:rPr>
              <w:t>, version 1.4 (February 2020)).</w:t>
            </w:r>
            <w:r w:rsidRPr="00D44AEB">
              <w:rPr>
                <w:rFonts w:cs="Arial"/>
                <w:color w:val="000000"/>
                <w:kern w:val="24"/>
                <w:sz w:val="22"/>
                <w:szCs w:val="22"/>
                <w:lang w:eastAsia="en-GB"/>
              </w:rPr>
              <w:t>An indicator with the same methodology is published on the OHID Wider impacts of COVID</w:t>
            </w:r>
            <w:r w:rsidR="00510AB3">
              <w:rPr>
                <w:rFonts w:cs="Arial"/>
                <w:color w:val="000000"/>
                <w:kern w:val="24"/>
                <w:sz w:val="22"/>
                <w:szCs w:val="22"/>
                <w:lang w:eastAsia="en-GB"/>
              </w:rPr>
              <w:t>–</w:t>
            </w:r>
            <w:r w:rsidRPr="00D44AEB">
              <w:rPr>
                <w:rFonts w:cs="Arial"/>
                <w:color w:val="000000"/>
                <w:kern w:val="24"/>
                <w:sz w:val="22"/>
                <w:szCs w:val="22"/>
                <w:lang w:eastAsia="en-GB"/>
              </w:rPr>
              <w:t>19 on health (WICH) modelling tool (</w:t>
            </w:r>
            <w:hyperlink r:id="rId19" w:history="1">
              <w:r w:rsidRPr="004B5EED">
                <w:rPr>
                  <w:rStyle w:val="Hyperlink"/>
                  <w:rFonts w:cs="Arial"/>
                  <w:kern w:val="24"/>
                  <w:sz w:val="22"/>
                  <w:szCs w:val="22"/>
                  <w:lang w:eastAsia="en-GB"/>
                </w:rPr>
                <w:t>https://www.gov.uk/government/statistics/wider-impacts-of-covid-19-on-health-monitoring-tool</w:t>
              </w:r>
            </w:hyperlink>
            <w:r w:rsidRPr="00D44AEB">
              <w:rPr>
                <w:rFonts w:cs="Arial"/>
                <w:color w:val="000000"/>
                <w:kern w:val="24"/>
                <w:sz w:val="22"/>
                <w:szCs w:val="22"/>
                <w:lang w:eastAsia="en-GB"/>
              </w:rPr>
              <w:t xml:space="preserve">, </w:t>
            </w:r>
            <w:r w:rsidR="006623CF">
              <w:rPr>
                <w:rFonts w:cs="Arial"/>
                <w:color w:val="000000"/>
                <w:kern w:val="24"/>
                <w:sz w:val="22"/>
                <w:szCs w:val="22"/>
                <w:lang w:eastAsia="en-GB"/>
              </w:rPr>
              <w:t xml:space="preserve">which </w:t>
            </w:r>
            <w:r w:rsidRPr="00D44AEB">
              <w:rPr>
                <w:rFonts w:cs="Arial"/>
                <w:color w:val="000000"/>
                <w:kern w:val="24"/>
                <w:sz w:val="22"/>
                <w:szCs w:val="22"/>
                <w:lang w:eastAsia="en-GB"/>
              </w:rPr>
              <w:t>display</w:t>
            </w:r>
            <w:r w:rsidR="006623CF">
              <w:rPr>
                <w:rFonts w:cs="Arial"/>
                <w:color w:val="000000"/>
                <w:kern w:val="24"/>
                <w:sz w:val="22"/>
                <w:szCs w:val="22"/>
                <w:lang w:eastAsia="en-GB"/>
              </w:rPr>
              <w:t>s</w:t>
            </w:r>
            <w:r w:rsidRPr="00D44AEB">
              <w:rPr>
                <w:rFonts w:cs="Arial"/>
                <w:color w:val="000000"/>
                <w:kern w:val="24"/>
                <w:sz w:val="22"/>
                <w:szCs w:val="22"/>
                <w:lang w:eastAsia="en-GB"/>
              </w:rPr>
              <w:t xml:space="preserve"> additional inequality breakdowns. </w:t>
            </w:r>
          </w:p>
          <w:p w14:paraId="5D0DDE27" w14:textId="6D0A05BA" w:rsidR="00A47852" w:rsidRPr="00A47852" w:rsidRDefault="00D44AEB" w:rsidP="006623CF">
            <w:pPr>
              <w:pStyle w:val="Paragraph"/>
              <w:spacing w:before="120" w:after="120" w:line="240" w:lineRule="auto"/>
              <w:rPr>
                <w:highlight w:val="lightGray"/>
              </w:rPr>
            </w:pPr>
            <w:r w:rsidRPr="00D44AEB">
              <w:rPr>
                <w:rFonts w:cs="Arial"/>
                <w:color w:val="000000"/>
                <w:kern w:val="24"/>
                <w:sz w:val="22"/>
                <w:szCs w:val="22"/>
                <w:lang w:eastAsia="en-GB"/>
              </w:rPr>
              <w:t>Indicators on children with dental decay are available from periodic survey</w:t>
            </w:r>
            <w:r w:rsidR="002F3707">
              <w:rPr>
                <w:rFonts w:cs="Arial"/>
                <w:color w:val="000000"/>
                <w:kern w:val="24"/>
                <w:sz w:val="22"/>
                <w:szCs w:val="22"/>
                <w:lang w:eastAsia="en-GB"/>
              </w:rPr>
              <w:t>–</w:t>
            </w:r>
            <w:r w:rsidRPr="00D44AEB">
              <w:rPr>
                <w:rFonts w:cs="Arial"/>
                <w:color w:val="000000"/>
                <w:kern w:val="24"/>
                <w:sz w:val="22"/>
                <w:szCs w:val="22"/>
                <w:lang w:eastAsia="en-GB"/>
              </w:rPr>
              <w:t>based collections published by OHID</w:t>
            </w:r>
            <w:r w:rsidR="00842B45">
              <w:rPr>
                <w:rFonts w:cs="Arial"/>
                <w:color w:val="000000"/>
                <w:kern w:val="24"/>
                <w:sz w:val="22"/>
                <w:szCs w:val="22"/>
                <w:lang w:eastAsia="en-GB"/>
              </w:rPr>
              <w:t>: child and maternal health profile (</w:t>
            </w:r>
            <w:hyperlink r:id="rId20" w:anchor="gid/1938133263/ati/6" w:history="1">
              <w:r w:rsidR="00842B45" w:rsidRPr="00371346">
                <w:rPr>
                  <w:rStyle w:val="Hyperlink"/>
                  <w:rFonts w:cs="Arial"/>
                  <w:kern w:val="24"/>
                  <w:sz w:val="22"/>
                  <w:szCs w:val="22"/>
                  <w:lang w:eastAsia="en-GB"/>
                </w:rPr>
                <w:t>https://fingertips.phe.org.uk/child-health-profiles#gid/1938133263/ati/</w:t>
              </w:r>
              <w:r w:rsidR="00842B45" w:rsidRPr="00371346">
                <w:rPr>
                  <w:rStyle w:val="Hyperlink"/>
                  <w:rFonts w:cs="Arial"/>
                  <w:kern w:val="24"/>
                  <w:sz w:val="22"/>
                  <w:szCs w:val="22"/>
                  <w:lang w:eastAsia="en-GB"/>
                </w:rPr>
                <w:t>6</w:t>
              </w:r>
            </w:hyperlink>
            <w:r w:rsidR="00842B45">
              <w:rPr>
                <w:rFonts w:cs="Arial"/>
                <w:color w:val="000000"/>
                <w:kern w:val="24"/>
                <w:sz w:val="22"/>
                <w:szCs w:val="22"/>
                <w:lang w:eastAsia="en-GB"/>
              </w:rPr>
              <w:t xml:space="preserve">). </w:t>
            </w:r>
          </w:p>
        </w:tc>
        <w:tc>
          <w:tcPr>
            <w:tcW w:w="3118" w:type="dxa"/>
          </w:tcPr>
          <w:p w14:paraId="29FB2923" w14:textId="0D95CED2" w:rsidR="00A47852" w:rsidRPr="00A47852" w:rsidRDefault="00D44AEB" w:rsidP="00A47852">
            <w:pPr>
              <w:pStyle w:val="Paragraph"/>
              <w:spacing w:before="120" w:after="120" w:line="240" w:lineRule="auto"/>
              <w:rPr>
                <w:highlight w:val="lightGray"/>
              </w:rPr>
            </w:pPr>
            <w:r w:rsidRPr="00D44AEB">
              <w:rPr>
                <w:rFonts w:cs="Arial"/>
                <w:color w:val="000000"/>
                <w:kern w:val="24"/>
                <w:sz w:val="22"/>
                <w:szCs w:val="22"/>
              </w:rPr>
              <w:t>Potential impact of changes to NHS Outcomes Framework which may mean data may not be available from this source, however underlying data will continue to be published in a similar format by OHID.</w:t>
            </w:r>
          </w:p>
        </w:tc>
      </w:tr>
    </w:tbl>
    <w:p w14:paraId="7104BC2A" w14:textId="5DB37A63" w:rsidR="002338EB" w:rsidRDefault="002338EB" w:rsidP="002F3707">
      <w:pPr>
        <w:pStyle w:val="Paragraph"/>
      </w:pPr>
    </w:p>
    <w:sectPr w:rsidR="002338EB" w:rsidSect="003E4657">
      <w:headerReference w:type="default" r:id="rId21"/>
      <w:footerReference w:type="default" r:id="rId22"/>
      <w:headerReference w:type="first" r:id="rId23"/>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B07A" w14:textId="1BF3B8A1" w:rsidR="00BB14CA" w:rsidRPr="008C1C95" w:rsidRDefault="00193E17" w:rsidP="008C1C95">
    <w:pPr>
      <w:pStyle w:val="Footer"/>
      <w:jc w:val="right"/>
    </w:pPr>
    <w:r>
      <w:t>IND295</w:t>
    </w:r>
    <w:r w:rsidR="00CE06D0">
      <w:t>:</w:t>
    </w:r>
    <w:r w:rsidR="009B0E59">
      <w:t xml:space="preserve"> Validity assessment</w:t>
    </w:r>
    <w:r w:rsidR="00CE06D0">
      <w:t xml:space="preserve"> August 2023 </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1FB0" w14:textId="77777777" w:rsidR="00BB14CA" w:rsidRPr="00482C01" w:rsidRDefault="00BB14CA" w:rsidP="002F3707">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D4DC" w14:textId="45388732" w:rsidR="003E4657" w:rsidRDefault="003E4657">
    <w:pPr>
      <w:pStyle w:val="Header"/>
    </w:pPr>
    <w:r w:rsidRPr="003E4657">
      <w:rPr>
        <w:rFonts w:ascii="Times New Roman" w:hAnsi="Times New Roman"/>
        <w:noProof/>
        <w:lang w:eastAsia="en-GB"/>
      </w:rPr>
      <w:drawing>
        <wp:inline distT="0" distB="0" distL="0" distR="0" wp14:anchorId="24A76EB2" wp14:editId="36581ACC">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6D72041"/>
    <w:multiLevelType w:val="hybridMultilevel"/>
    <w:tmpl w:val="2DEC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238192">
    <w:abstractNumId w:val="32"/>
  </w:num>
  <w:num w:numId="2" w16cid:durableId="233853175">
    <w:abstractNumId w:val="12"/>
  </w:num>
  <w:num w:numId="3" w16cid:durableId="1529370562">
    <w:abstractNumId w:val="28"/>
  </w:num>
  <w:num w:numId="4" w16cid:durableId="657612754">
    <w:abstractNumId w:val="13"/>
  </w:num>
  <w:num w:numId="5" w16cid:durableId="1193808871">
    <w:abstractNumId w:val="25"/>
  </w:num>
  <w:num w:numId="6" w16cid:durableId="781268177">
    <w:abstractNumId w:val="1"/>
  </w:num>
  <w:num w:numId="7" w16cid:durableId="201872007">
    <w:abstractNumId w:val="11"/>
  </w:num>
  <w:num w:numId="8" w16cid:durableId="1295333019">
    <w:abstractNumId w:val="23"/>
  </w:num>
  <w:num w:numId="9" w16cid:durableId="513112173">
    <w:abstractNumId w:val="24"/>
  </w:num>
  <w:num w:numId="10" w16cid:durableId="2049523386">
    <w:abstractNumId w:val="6"/>
  </w:num>
  <w:num w:numId="11" w16cid:durableId="1370840847">
    <w:abstractNumId w:val="8"/>
  </w:num>
  <w:num w:numId="12" w16cid:durableId="1021859395">
    <w:abstractNumId w:val="3"/>
  </w:num>
  <w:num w:numId="13" w16cid:durableId="1167093030">
    <w:abstractNumId w:val="31"/>
  </w:num>
  <w:num w:numId="14" w16cid:durableId="1771392860">
    <w:abstractNumId w:val="15"/>
  </w:num>
  <w:num w:numId="15" w16cid:durableId="1260019971">
    <w:abstractNumId w:val="10"/>
  </w:num>
  <w:num w:numId="16" w16cid:durableId="546987736">
    <w:abstractNumId w:val="20"/>
  </w:num>
  <w:num w:numId="17" w16cid:durableId="2137412053">
    <w:abstractNumId w:val="17"/>
  </w:num>
  <w:num w:numId="18" w16cid:durableId="2039037637">
    <w:abstractNumId w:val="22"/>
  </w:num>
  <w:num w:numId="19" w16cid:durableId="1939945119">
    <w:abstractNumId w:val="26"/>
  </w:num>
  <w:num w:numId="20" w16cid:durableId="1057584041">
    <w:abstractNumId w:val="7"/>
  </w:num>
  <w:num w:numId="21" w16cid:durableId="1439716324">
    <w:abstractNumId w:val="29"/>
  </w:num>
  <w:num w:numId="22" w16cid:durableId="321355733">
    <w:abstractNumId w:val="0"/>
  </w:num>
  <w:num w:numId="23" w16cid:durableId="317730129">
    <w:abstractNumId w:val="5"/>
  </w:num>
  <w:num w:numId="24" w16cid:durableId="480850916">
    <w:abstractNumId w:val="27"/>
  </w:num>
  <w:num w:numId="25" w16cid:durableId="130027160">
    <w:abstractNumId w:val="19"/>
  </w:num>
  <w:num w:numId="26" w16cid:durableId="58794158">
    <w:abstractNumId w:val="18"/>
  </w:num>
  <w:num w:numId="27" w16cid:durableId="2144544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9"/>
  </w:num>
  <w:num w:numId="29" w16cid:durableId="1249540939">
    <w:abstractNumId w:val="6"/>
  </w:num>
  <w:num w:numId="30" w16cid:durableId="1681851572">
    <w:abstractNumId w:val="14"/>
  </w:num>
  <w:num w:numId="31" w16cid:durableId="1344086205">
    <w:abstractNumId w:val="6"/>
  </w:num>
  <w:num w:numId="32" w16cid:durableId="1152327747">
    <w:abstractNumId w:val="6"/>
  </w:num>
  <w:num w:numId="33" w16cid:durableId="1533374662">
    <w:abstractNumId w:val="6"/>
  </w:num>
  <w:num w:numId="34" w16cid:durableId="827785448">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6"/>
  </w:num>
  <w:num w:numId="36" w16cid:durableId="1121265795">
    <w:abstractNumId w:val="6"/>
  </w:num>
  <w:num w:numId="37" w16cid:durableId="1261986610">
    <w:abstractNumId w:val="6"/>
  </w:num>
  <w:num w:numId="38" w16cid:durableId="413625216">
    <w:abstractNumId w:val="30"/>
  </w:num>
  <w:num w:numId="39" w16cid:durableId="1357119577">
    <w:abstractNumId w:val="21"/>
  </w:num>
  <w:num w:numId="40" w16cid:durableId="1472091102">
    <w:abstractNumId w:val="4"/>
  </w:num>
  <w:num w:numId="41" w16cid:durableId="846869960">
    <w:abstractNumId w:val="2"/>
  </w:num>
  <w:num w:numId="42" w16cid:durableId="1499422565">
    <w:abstractNumId w:val="32"/>
    <w:lvlOverride w:ilvl="0">
      <w:startOverride w:val="1"/>
    </w:lvlOverride>
  </w:num>
  <w:num w:numId="43" w16cid:durableId="1714303981">
    <w:abstractNumId w:val="32"/>
    <w:lvlOverride w:ilvl="0">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62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A97"/>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5596"/>
    <w:rsid w:val="00136466"/>
    <w:rsid w:val="001368F7"/>
    <w:rsid w:val="00140B46"/>
    <w:rsid w:val="00140F7D"/>
    <w:rsid w:val="001413FC"/>
    <w:rsid w:val="00145D3C"/>
    <w:rsid w:val="001503E8"/>
    <w:rsid w:val="00154516"/>
    <w:rsid w:val="00155A83"/>
    <w:rsid w:val="00156264"/>
    <w:rsid w:val="001563D1"/>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685"/>
    <w:rsid w:val="00192B09"/>
    <w:rsid w:val="001936A7"/>
    <w:rsid w:val="00193D4B"/>
    <w:rsid w:val="00193E17"/>
    <w:rsid w:val="00194E6C"/>
    <w:rsid w:val="00196653"/>
    <w:rsid w:val="00196E29"/>
    <w:rsid w:val="001976DA"/>
    <w:rsid w:val="001A056C"/>
    <w:rsid w:val="001A23E4"/>
    <w:rsid w:val="001A281B"/>
    <w:rsid w:val="001A3011"/>
    <w:rsid w:val="001A3CA6"/>
    <w:rsid w:val="001A3D4A"/>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957"/>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060"/>
    <w:rsid w:val="00236B76"/>
    <w:rsid w:val="002408EA"/>
    <w:rsid w:val="00241410"/>
    <w:rsid w:val="002549B2"/>
    <w:rsid w:val="002563DF"/>
    <w:rsid w:val="0026014A"/>
    <w:rsid w:val="0026108E"/>
    <w:rsid w:val="002614ED"/>
    <w:rsid w:val="00261577"/>
    <w:rsid w:val="00265142"/>
    <w:rsid w:val="00266AA6"/>
    <w:rsid w:val="00266B50"/>
    <w:rsid w:val="00270605"/>
    <w:rsid w:val="00271804"/>
    <w:rsid w:val="00271857"/>
    <w:rsid w:val="00276AC9"/>
    <w:rsid w:val="00277ED2"/>
    <w:rsid w:val="00280F8A"/>
    <w:rsid w:val="00286537"/>
    <w:rsid w:val="00286C3A"/>
    <w:rsid w:val="00287467"/>
    <w:rsid w:val="00291A5B"/>
    <w:rsid w:val="00292B2C"/>
    <w:rsid w:val="0029330E"/>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F13B0"/>
    <w:rsid w:val="002F2EEF"/>
    <w:rsid w:val="002F3707"/>
    <w:rsid w:val="002F3E31"/>
    <w:rsid w:val="002F58D0"/>
    <w:rsid w:val="002F67D9"/>
    <w:rsid w:val="002F69F1"/>
    <w:rsid w:val="002F70E7"/>
    <w:rsid w:val="003015B5"/>
    <w:rsid w:val="0030244C"/>
    <w:rsid w:val="003030A7"/>
    <w:rsid w:val="00304581"/>
    <w:rsid w:val="003052E9"/>
    <w:rsid w:val="00310E3D"/>
    <w:rsid w:val="00311ED0"/>
    <w:rsid w:val="00311FE4"/>
    <w:rsid w:val="003132FA"/>
    <w:rsid w:val="00314933"/>
    <w:rsid w:val="0031497D"/>
    <w:rsid w:val="00316D48"/>
    <w:rsid w:val="00320EE5"/>
    <w:rsid w:val="003236DA"/>
    <w:rsid w:val="003244E5"/>
    <w:rsid w:val="00324C60"/>
    <w:rsid w:val="00326131"/>
    <w:rsid w:val="00326482"/>
    <w:rsid w:val="00330EED"/>
    <w:rsid w:val="00331B26"/>
    <w:rsid w:val="003351B7"/>
    <w:rsid w:val="0033631A"/>
    <w:rsid w:val="00336946"/>
    <w:rsid w:val="00340D15"/>
    <w:rsid w:val="00341BA8"/>
    <w:rsid w:val="00343A77"/>
    <w:rsid w:val="00344166"/>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4236"/>
    <w:rsid w:val="003856AA"/>
    <w:rsid w:val="00386007"/>
    <w:rsid w:val="003861AC"/>
    <w:rsid w:val="003862A5"/>
    <w:rsid w:val="00386608"/>
    <w:rsid w:val="00390249"/>
    <w:rsid w:val="00391F56"/>
    <w:rsid w:val="003953C7"/>
    <w:rsid w:val="003A03DC"/>
    <w:rsid w:val="003A1975"/>
    <w:rsid w:val="003A1DE1"/>
    <w:rsid w:val="003A39A0"/>
    <w:rsid w:val="003A3E2A"/>
    <w:rsid w:val="003A4221"/>
    <w:rsid w:val="003B0286"/>
    <w:rsid w:val="003B0466"/>
    <w:rsid w:val="003B091A"/>
    <w:rsid w:val="003B1C33"/>
    <w:rsid w:val="003B254D"/>
    <w:rsid w:val="003B298F"/>
    <w:rsid w:val="003B69AA"/>
    <w:rsid w:val="003C1D33"/>
    <w:rsid w:val="003C3023"/>
    <w:rsid w:val="003C39D1"/>
    <w:rsid w:val="003C7A5B"/>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E4657"/>
    <w:rsid w:val="003F0EB9"/>
    <w:rsid w:val="003F2EC0"/>
    <w:rsid w:val="003F40D1"/>
    <w:rsid w:val="003F42F7"/>
    <w:rsid w:val="003F4970"/>
    <w:rsid w:val="003F540E"/>
    <w:rsid w:val="003F694A"/>
    <w:rsid w:val="003F7CE6"/>
    <w:rsid w:val="003F7D78"/>
    <w:rsid w:val="0040326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86EA9"/>
    <w:rsid w:val="004907E0"/>
    <w:rsid w:val="0049285D"/>
    <w:rsid w:val="00492AC8"/>
    <w:rsid w:val="00492CB6"/>
    <w:rsid w:val="00496B1E"/>
    <w:rsid w:val="00497AD3"/>
    <w:rsid w:val="00497C9A"/>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0B02"/>
    <w:rsid w:val="005025A1"/>
    <w:rsid w:val="00502C4B"/>
    <w:rsid w:val="00503825"/>
    <w:rsid w:val="0050409D"/>
    <w:rsid w:val="00505407"/>
    <w:rsid w:val="00505DA4"/>
    <w:rsid w:val="00506302"/>
    <w:rsid w:val="00510AB3"/>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45970"/>
    <w:rsid w:val="00550783"/>
    <w:rsid w:val="005508EE"/>
    <w:rsid w:val="005536FB"/>
    <w:rsid w:val="00555CC8"/>
    <w:rsid w:val="00556B58"/>
    <w:rsid w:val="005577FA"/>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5C37"/>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3893"/>
    <w:rsid w:val="005C5E41"/>
    <w:rsid w:val="005C7DB5"/>
    <w:rsid w:val="005D1378"/>
    <w:rsid w:val="005D15B9"/>
    <w:rsid w:val="005D1E0A"/>
    <w:rsid w:val="005D352A"/>
    <w:rsid w:val="005D48F9"/>
    <w:rsid w:val="005D4C95"/>
    <w:rsid w:val="005E0AC1"/>
    <w:rsid w:val="005E2508"/>
    <w:rsid w:val="005E437F"/>
    <w:rsid w:val="005E58ED"/>
    <w:rsid w:val="005E62A7"/>
    <w:rsid w:val="005E6B30"/>
    <w:rsid w:val="005F25FD"/>
    <w:rsid w:val="005F3989"/>
    <w:rsid w:val="005F3C5C"/>
    <w:rsid w:val="005F3C69"/>
    <w:rsid w:val="005F5AFD"/>
    <w:rsid w:val="005F6BB8"/>
    <w:rsid w:val="005F6F0A"/>
    <w:rsid w:val="005F7681"/>
    <w:rsid w:val="00601291"/>
    <w:rsid w:val="0060351B"/>
    <w:rsid w:val="00607959"/>
    <w:rsid w:val="0061221F"/>
    <w:rsid w:val="00614078"/>
    <w:rsid w:val="006150A0"/>
    <w:rsid w:val="0062228B"/>
    <w:rsid w:val="00624430"/>
    <w:rsid w:val="00625AEE"/>
    <w:rsid w:val="00627687"/>
    <w:rsid w:val="006276D1"/>
    <w:rsid w:val="006279C2"/>
    <w:rsid w:val="00637F2A"/>
    <w:rsid w:val="00642C45"/>
    <w:rsid w:val="0064313B"/>
    <w:rsid w:val="0064319B"/>
    <w:rsid w:val="006434DF"/>
    <w:rsid w:val="0064604F"/>
    <w:rsid w:val="00651D20"/>
    <w:rsid w:val="006523CB"/>
    <w:rsid w:val="0065348A"/>
    <w:rsid w:val="006557A6"/>
    <w:rsid w:val="00657C65"/>
    <w:rsid w:val="006623CF"/>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55A6"/>
    <w:rsid w:val="006D6BD0"/>
    <w:rsid w:val="006E09CB"/>
    <w:rsid w:val="006E2124"/>
    <w:rsid w:val="006E23A2"/>
    <w:rsid w:val="006E303F"/>
    <w:rsid w:val="006E46C1"/>
    <w:rsid w:val="006E4E37"/>
    <w:rsid w:val="006E5D76"/>
    <w:rsid w:val="006E6C3C"/>
    <w:rsid w:val="006F17D4"/>
    <w:rsid w:val="006F255A"/>
    <w:rsid w:val="006F2843"/>
    <w:rsid w:val="006F6463"/>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6926"/>
    <w:rsid w:val="008274B0"/>
    <w:rsid w:val="0082752E"/>
    <w:rsid w:val="008318F6"/>
    <w:rsid w:val="0083313E"/>
    <w:rsid w:val="008331BB"/>
    <w:rsid w:val="008338B5"/>
    <w:rsid w:val="00833D43"/>
    <w:rsid w:val="00840FF7"/>
    <w:rsid w:val="00841169"/>
    <w:rsid w:val="00842B45"/>
    <w:rsid w:val="00844032"/>
    <w:rsid w:val="008443D8"/>
    <w:rsid w:val="008445E7"/>
    <w:rsid w:val="00847D3A"/>
    <w:rsid w:val="00855549"/>
    <w:rsid w:val="0086032D"/>
    <w:rsid w:val="00861B3D"/>
    <w:rsid w:val="00862879"/>
    <w:rsid w:val="00865C6A"/>
    <w:rsid w:val="00865CE7"/>
    <w:rsid w:val="0086701C"/>
    <w:rsid w:val="00867262"/>
    <w:rsid w:val="00870BDD"/>
    <w:rsid w:val="008717F1"/>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A0C"/>
    <w:rsid w:val="008B183A"/>
    <w:rsid w:val="008B4B98"/>
    <w:rsid w:val="008C183F"/>
    <w:rsid w:val="008C1C95"/>
    <w:rsid w:val="008C3D9F"/>
    <w:rsid w:val="008C4122"/>
    <w:rsid w:val="008C669E"/>
    <w:rsid w:val="008D0D92"/>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909"/>
    <w:rsid w:val="00917D07"/>
    <w:rsid w:val="0092122F"/>
    <w:rsid w:val="009225D9"/>
    <w:rsid w:val="0092393F"/>
    <w:rsid w:val="0092431B"/>
    <w:rsid w:val="00925F15"/>
    <w:rsid w:val="0092757A"/>
    <w:rsid w:val="00930715"/>
    <w:rsid w:val="0093101C"/>
    <w:rsid w:val="0093543E"/>
    <w:rsid w:val="00937E8B"/>
    <w:rsid w:val="009460E7"/>
    <w:rsid w:val="00947483"/>
    <w:rsid w:val="00947FDB"/>
    <w:rsid w:val="00952219"/>
    <w:rsid w:val="009539B0"/>
    <w:rsid w:val="009543A4"/>
    <w:rsid w:val="00955F17"/>
    <w:rsid w:val="009562D0"/>
    <w:rsid w:val="00957124"/>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3F8C"/>
    <w:rsid w:val="009B4063"/>
    <w:rsid w:val="009B52E5"/>
    <w:rsid w:val="009B5C5F"/>
    <w:rsid w:val="009B6AF7"/>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C40"/>
    <w:rsid w:val="00A3325A"/>
    <w:rsid w:val="00A4094A"/>
    <w:rsid w:val="00A426BE"/>
    <w:rsid w:val="00A47852"/>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69F4"/>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40BA"/>
    <w:rsid w:val="00B265EB"/>
    <w:rsid w:val="00B27031"/>
    <w:rsid w:val="00B307EC"/>
    <w:rsid w:val="00B32429"/>
    <w:rsid w:val="00B341DA"/>
    <w:rsid w:val="00B3733B"/>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5EC7"/>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1898"/>
    <w:rsid w:val="00BE1F45"/>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130C8"/>
    <w:rsid w:val="00C13168"/>
    <w:rsid w:val="00C13F60"/>
    <w:rsid w:val="00C14404"/>
    <w:rsid w:val="00C17D6A"/>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5"/>
    <w:rsid w:val="00CB60DD"/>
    <w:rsid w:val="00CB6E1F"/>
    <w:rsid w:val="00CB7E4D"/>
    <w:rsid w:val="00CC04DE"/>
    <w:rsid w:val="00CC12E7"/>
    <w:rsid w:val="00CC3F84"/>
    <w:rsid w:val="00CC6E2D"/>
    <w:rsid w:val="00CD0C54"/>
    <w:rsid w:val="00CD24A8"/>
    <w:rsid w:val="00CD315A"/>
    <w:rsid w:val="00CD319A"/>
    <w:rsid w:val="00CD5502"/>
    <w:rsid w:val="00CE0526"/>
    <w:rsid w:val="00CE06D0"/>
    <w:rsid w:val="00CE1ED9"/>
    <w:rsid w:val="00CE3665"/>
    <w:rsid w:val="00CE4F42"/>
    <w:rsid w:val="00CE5520"/>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6E6A"/>
    <w:rsid w:val="00D172EA"/>
    <w:rsid w:val="00D1792B"/>
    <w:rsid w:val="00D21038"/>
    <w:rsid w:val="00D224A1"/>
    <w:rsid w:val="00D2279D"/>
    <w:rsid w:val="00D2772A"/>
    <w:rsid w:val="00D33FC2"/>
    <w:rsid w:val="00D349ED"/>
    <w:rsid w:val="00D351C1"/>
    <w:rsid w:val="00D35E64"/>
    <w:rsid w:val="00D36CA3"/>
    <w:rsid w:val="00D41537"/>
    <w:rsid w:val="00D4249C"/>
    <w:rsid w:val="00D428BC"/>
    <w:rsid w:val="00D42C45"/>
    <w:rsid w:val="00D44776"/>
    <w:rsid w:val="00D44AEB"/>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5C0B"/>
    <w:rsid w:val="00DB6161"/>
    <w:rsid w:val="00DB65B9"/>
    <w:rsid w:val="00DB70FB"/>
    <w:rsid w:val="00DC0CD5"/>
    <w:rsid w:val="00DC334D"/>
    <w:rsid w:val="00DC6AAD"/>
    <w:rsid w:val="00DE165D"/>
    <w:rsid w:val="00DE2FD7"/>
    <w:rsid w:val="00DE45A3"/>
    <w:rsid w:val="00DE466D"/>
    <w:rsid w:val="00DE5EE7"/>
    <w:rsid w:val="00DF1EC1"/>
    <w:rsid w:val="00DF343E"/>
    <w:rsid w:val="00DF67C3"/>
    <w:rsid w:val="00DF6CEB"/>
    <w:rsid w:val="00E0098A"/>
    <w:rsid w:val="00E009D9"/>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2EDE"/>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AAF"/>
    <w:rsid w:val="00EE065C"/>
    <w:rsid w:val="00EE3926"/>
    <w:rsid w:val="00EE5D34"/>
    <w:rsid w:val="00EE776F"/>
    <w:rsid w:val="00EF319C"/>
    <w:rsid w:val="00EF3258"/>
    <w:rsid w:val="00EF7C4A"/>
    <w:rsid w:val="00F00846"/>
    <w:rsid w:val="00F02496"/>
    <w:rsid w:val="00F027E4"/>
    <w:rsid w:val="00F055F1"/>
    <w:rsid w:val="00F05A46"/>
    <w:rsid w:val="00F100EB"/>
    <w:rsid w:val="00F15458"/>
    <w:rsid w:val="00F158C7"/>
    <w:rsid w:val="00F162F4"/>
    <w:rsid w:val="00F16C11"/>
    <w:rsid w:val="00F22278"/>
    <w:rsid w:val="00F25246"/>
    <w:rsid w:val="00F307D6"/>
    <w:rsid w:val="00F31A8E"/>
    <w:rsid w:val="00F32C2D"/>
    <w:rsid w:val="00F33A4C"/>
    <w:rsid w:val="00F3442A"/>
    <w:rsid w:val="00F34B87"/>
    <w:rsid w:val="00F358BF"/>
    <w:rsid w:val="00F35CB2"/>
    <w:rsid w:val="00F37103"/>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7"/>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325426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6118616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primary-care/dentistry/smile4life/starting-well-core/" TargetMode="External"/><Relationship Id="rId13" Type="http://schemas.openxmlformats.org/officeDocument/2006/relationships/hyperlink" Target="https://www.nice.org.uk/guidance/ng30" TargetMode="External"/><Relationship Id="rId18" Type="http://schemas.openxmlformats.org/officeDocument/2006/relationships/hyperlink" Target="https://digital.nhs.uk/data-and-information/publications/statistical/nhs-outcomes-framework/march-2022/domain-3---helping-people-to-recover-from-episodes-of-ill-health-or-following-injury-nof/3.7.ii-tooth-extractions-due-to-decay-for-children-admitted-as-inpatients-to-hospital-aged-10-years-and-unde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longtermplan.nhs.uk/publication/nhs-long-term-plan/" TargetMode="External"/><Relationship Id="rId12" Type="http://schemas.openxmlformats.org/officeDocument/2006/relationships/hyperlink" Target="https://www.nice.org.uk/guidance/ph55" TargetMode="External"/><Relationship Id="rId17" Type="http://schemas.openxmlformats.org/officeDocument/2006/relationships/hyperlink" Target="https://www.gov.uk/government/collections/hospital-based-tooth-extractions-in-0-to-19-year-old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ons.gov.uk/peoplepopulationandcommunity/populationandmigration/populationestimates/datasets/analysisofpopulationestimatestoolforuk" TargetMode="External"/><Relationship Id="rId20" Type="http://schemas.openxmlformats.org/officeDocument/2006/relationships/hyperlink" Target="https://fingertips.phe.org.uk/child-health-profil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data-and-information/publications/statistical/nhs-outcomes-framework/march-2022/domain-3---helping-people-to-recover-from-episodes-of-ill-health-or-following-injury-nof/3.7.ii-tooth-extractions-due-to-decay-for-children-admitted-as-inpatients-to-hospital-aged-10-years-and-unde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igital.nhs.uk/services/hospital-episode-statistics" TargetMode="External"/><Relationship Id="rId23" Type="http://schemas.openxmlformats.org/officeDocument/2006/relationships/header" Target="header2.xml"/><Relationship Id="rId10" Type="http://schemas.openxmlformats.org/officeDocument/2006/relationships/hyperlink" Target="https://digital.nhs.uk/data-and-information/publications/statistical/nhs-outcomes-framework/march-2022/domain-3---helping-people-to-recover-from-episodes-of-ill-health-or-following-injury-nof/3.7.ii-tooth-extractions-due-to-decay-for-children-admitted-as-inpatients-to-hospital-aged-10-years-and-under" TargetMode="External"/><Relationship Id="rId19" Type="http://schemas.openxmlformats.org/officeDocument/2006/relationships/hyperlink" Target="https://www.gov.uk/government/statistics/wider-impacts-of-covid-19-on-health-monitoring-tool" TargetMode="External"/><Relationship Id="rId4" Type="http://schemas.openxmlformats.org/officeDocument/2006/relationships/webSettings" Target="webSettings.xml"/><Relationship Id="rId9" Type="http://schemas.openxmlformats.org/officeDocument/2006/relationships/hyperlink" Target="https://digital.nhs.uk/data-and-information/publications/statistical/nhs-outcomes-framework/march-2022/domain-3---helping-people-to-recover-from-episodes-of-ill-health-or-following-injury-nof/3.7.ii-tooth-extractions-due-to-decay-for-children-admitted-as-inpatients-to-hospital-aged-10-years-and-under" TargetMode="External"/><Relationship Id="rId14" Type="http://schemas.openxmlformats.org/officeDocument/2006/relationships/hyperlink" Target="https://www.nice.org.uk/guidance/qs139"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1173</Words>
  <Characters>8933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2022-07-26T11:22:00Z</dcterms:created>
  <dcterms:modified xsi:type="dcterms:W3CDTF">2025-02-18T09:34:00Z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2023-09-07T13:02:35Z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0373a104-3282-4345-91ba-1d011afc0572</vt:lpwstr>
  </property>
  <property fmtid="{D5CDD505-2E9C-101B-9397-08002B2CF9AE}" pid="8" name="MSIP_Label_c69d85d5-6d9e-4305-a294-1f636ec0f2d6_ContentBits">
    <vt:lpwstr>0</vt:lpwstr>
  </property>
</Properties>
</file>