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2E166BA4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900445">
        <w:rPr>
          <w:lang w:eastAsia="en-GB"/>
        </w:rPr>
        <w:t>296</w:t>
      </w:r>
    </w:p>
    <w:p w14:paraId="17AF4CB0" w14:textId="722B34FC" w:rsidR="008752BB" w:rsidRDefault="008752BB" w:rsidP="008752BB">
      <w:pPr>
        <w:pStyle w:val="Paragraph"/>
        <w:rPr>
          <w:lang w:eastAsia="en-GB"/>
        </w:rPr>
      </w:pPr>
      <w:r>
        <w:rPr>
          <w:lang w:eastAsia="en-GB"/>
        </w:rPr>
        <w:t xml:space="preserve">Proportion of children and young people aged 12 to 18 years with type 1 diabetes who received the following individual care processes in the </w:t>
      </w:r>
      <w:r w:rsidR="006926F2">
        <w:rPr>
          <w:lang w:eastAsia="en-GB"/>
        </w:rPr>
        <w:t>previous</w:t>
      </w:r>
      <w:r>
        <w:rPr>
          <w:lang w:eastAsia="en-GB"/>
        </w:rPr>
        <w:t xml:space="preserve"> 12 months:</w:t>
      </w:r>
    </w:p>
    <w:p w14:paraId="3B1DADFD" w14:textId="5A44361F" w:rsidR="008752BB" w:rsidRDefault="008752BB" w:rsidP="008752BB">
      <w:pPr>
        <w:pStyle w:val="Bulletleft1"/>
        <w:rPr>
          <w:lang w:eastAsia="en-GB"/>
        </w:rPr>
      </w:pPr>
      <w:r>
        <w:rPr>
          <w:lang w:eastAsia="en-GB"/>
        </w:rPr>
        <w:t xml:space="preserve">glycated </w:t>
      </w:r>
      <w:proofErr w:type="spellStart"/>
      <w:r>
        <w:rPr>
          <w:lang w:eastAsia="en-GB"/>
        </w:rPr>
        <w:t>haemoglobin</w:t>
      </w:r>
      <w:proofErr w:type="spellEnd"/>
      <w:r>
        <w:rPr>
          <w:lang w:eastAsia="en-GB"/>
        </w:rPr>
        <w:t xml:space="preserve"> A1c (HbA1c) monitoring</w:t>
      </w:r>
    </w:p>
    <w:p w14:paraId="7CA8A9A2" w14:textId="12F96ED9" w:rsidR="008752BB" w:rsidRDefault="008752BB" w:rsidP="008752BB">
      <w:pPr>
        <w:pStyle w:val="Bulletleft1"/>
        <w:rPr>
          <w:lang w:eastAsia="en-GB"/>
        </w:rPr>
      </w:pPr>
      <w:r>
        <w:rPr>
          <w:lang w:eastAsia="en-GB"/>
        </w:rPr>
        <w:t>body mass index (BMI)</w:t>
      </w:r>
    </w:p>
    <w:p w14:paraId="6D80AD2D" w14:textId="4F3C7A5D" w:rsidR="008752BB" w:rsidRDefault="008752BB" w:rsidP="008752BB">
      <w:pPr>
        <w:pStyle w:val="Bulletleft1"/>
        <w:rPr>
          <w:lang w:eastAsia="en-GB"/>
        </w:rPr>
      </w:pPr>
      <w:r>
        <w:rPr>
          <w:lang w:eastAsia="en-GB"/>
        </w:rPr>
        <w:t>blood pressure</w:t>
      </w:r>
    </w:p>
    <w:p w14:paraId="7C8084F7" w14:textId="4E4C916E" w:rsidR="008752BB" w:rsidRDefault="008752BB" w:rsidP="008752BB">
      <w:pPr>
        <w:pStyle w:val="Bulletleft1"/>
        <w:rPr>
          <w:lang w:eastAsia="en-GB"/>
        </w:rPr>
      </w:pPr>
      <w:r>
        <w:rPr>
          <w:lang w:eastAsia="en-GB"/>
        </w:rPr>
        <w:t>urinary albumin</w:t>
      </w:r>
    </w:p>
    <w:p w14:paraId="6979EE0A" w14:textId="7E62F23D" w:rsidR="008752BB" w:rsidRDefault="008752BB" w:rsidP="008752BB">
      <w:pPr>
        <w:pStyle w:val="Bulletleft1"/>
        <w:rPr>
          <w:lang w:eastAsia="en-GB"/>
        </w:rPr>
      </w:pPr>
      <w:r>
        <w:rPr>
          <w:lang w:eastAsia="en-GB"/>
        </w:rPr>
        <w:t>foot examination</w:t>
      </w:r>
    </w:p>
    <w:p w14:paraId="421BA9D9" w14:textId="101A4B81" w:rsidR="009B0E59" w:rsidRDefault="008752BB" w:rsidP="008752BB">
      <w:pPr>
        <w:pStyle w:val="Bulletleft1last"/>
        <w:rPr>
          <w:lang w:eastAsia="en-GB"/>
        </w:rPr>
      </w:pPr>
      <w:r>
        <w:rPr>
          <w:lang w:eastAsia="en-GB"/>
        </w:rPr>
        <w:t>screening for thyroid disease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56744048" w:rsidR="002338EB" w:rsidRPr="007E4F57" w:rsidRDefault="00CE3A75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>NHS England’s</w:t>
            </w:r>
            <w:r w:rsidR="00B11C22" w:rsidRPr="007E4F57">
              <w:rPr>
                <w:sz w:val="22"/>
                <w:szCs w:val="22"/>
              </w:rPr>
              <w:t xml:space="preserve"> </w:t>
            </w:r>
            <w:hyperlink r:id="rId7" w:history="1">
              <w:r w:rsidR="00AA1C70"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="00B11C22" w:rsidRPr="007E4F57"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highlights </w:t>
            </w:r>
            <w:r w:rsidR="005379B3" w:rsidRPr="007E4F57">
              <w:rPr>
                <w:sz w:val="22"/>
                <w:szCs w:val="22"/>
              </w:rPr>
              <w:t>that optimal treatment and care are essential to ensure people with diabetes can live well and avoid complications.</w:t>
            </w:r>
            <w:r w:rsidR="00AA1C70">
              <w:rPr>
                <w:sz w:val="22"/>
                <w:szCs w:val="22"/>
              </w:rPr>
              <w:t xml:space="preserve"> </w:t>
            </w:r>
            <w:r w:rsidR="005379B3" w:rsidRPr="007E4F57">
              <w:rPr>
                <w:sz w:val="22"/>
                <w:szCs w:val="22"/>
              </w:rPr>
              <w:t xml:space="preserve"> </w:t>
            </w:r>
            <w:r w:rsidR="00AA1C70">
              <w:rPr>
                <w:sz w:val="22"/>
                <w:szCs w:val="22"/>
              </w:rPr>
              <w:t>I</w:t>
            </w:r>
            <w:r w:rsidR="00AA1C70" w:rsidRPr="00AA1C70">
              <w:rPr>
                <w:sz w:val="22"/>
                <w:szCs w:val="22"/>
              </w:rPr>
              <w:t xml:space="preserve">ncreasing provision of NICE recommended </w:t>
            </w:r>
            <w:r w:rsidR="00AA1C70">
              <w:rPr>
                <w:sz w:val="22"/>
                <w:szCs w:val="22"/>
              </w:rPr>
              <w:t xml:space="preserve">diabetes </w:t>
            </w:r>
            <w:r w:rsidR="00AA1C70"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="00AA1C70"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 w:rsidR="00AA1C70">
              <w:rPr>
                <w:sz w:val="22"/>
                <w:szCs w:val="22"/>
              </w:rPr>
              <w:t xml:space="preserve">. </w:t>
            </w:r>
            <w:r w:rsidR="005379B3"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="005379B3"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="005379B3" w:rsidRPr="007E4F57">
              <w:rPr>
                <w:sz w:val="22"/>
                <w:szCs w:val="22"/>
              </w:rPr>
              <w:t xml:space="preserve"> highlights </w:t>
            </w:r>
            <w:r w:rsidRPr="007E4F57">
              <w:rPr>
                <w:sz w:val="22"/>
                <w:szCs w:val="22"/>
              </w:rPr>
              <w:t>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38892B79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0" w:history="1">
              <w:r w:rsidRPr="004E74EB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546483" w:rsidRPr="004E74EB">
                <w:rPr>
                  <w:rStyle w:val="Hyperlink"/>
                  <w:sz w:val="22"/>
                  <w:szCs w:val="22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</w:t>
            </w:r>
            <w:r w:rsidR="00900445">
              <w:rPr>
                <w:sz w:val="22"/>
                <w:szCs w:val="22"/>
              </w:rPr>
              <w:t>found</w:t>
            </w:r>
            <w:r w:rsidRPr="007E4F57">
              <w:rPr>
                <w:sz w:val="22"/>
                <w:szCs w:val="22"/>
              </w:rPr>
              <w:t xml:space="preserve"> that 6</w:t>
            </w:r>
            <w:r w:rsidR="006652F2">
              <w:rPr>
                <w:sz w:val="22"/>
                <w:szCs w:val="22"/>
              </w:rPr>
              <w:t>5</w:t>
            </w:r>
            <w:r w:rsidR="00D53D20">
              <w:rPr>
                <w:sz w:val="22"/>
                <w:szCs w:val="22"/>
              </w:rPr>
              <w:t>.</w:t>
            </w:r>
            <w:r w:rsidR="006652F2">
              <w:rPr>
                <w:sz w:val="22"/>
                <w:szCs w:val="22"/>
              </w:rPr>
              <w:t>9</w:t>
            </w:r>
            <w:r w:rsidRPr="007E4F57">
              <w:rPr>
                <w:sz w:val="22"/>
                <w:szCs w:val="22"/>
              </w:rPr>
              <w:t>% of children and young people aged 12</w:t>
            </w:r>
            <w:r w:rsidR="00A5508A">
              <w:rPr>
                <w:sz w:val="22"/>
                <w:szCs w:val="22"/>
              </w:rPr>
              <w:t>+ years</w:t>
            </w:r>
            <w:r w:rsidRPr="007E4F57">
              <w:rPr>
                <w:sz w:val="22"/>
                <w:szCs w:val="22"/>
              </w:rPr>
              <w:t xml:space="preserve"> with type 1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received all 6 key care processes.</w:t>
            </w:r>
            <w:r w:rsidR="008B2A9E" w:rsidRPr="007E4F57">
              <w:rPr>
                <w:sz w:val="22"/>
                <w:szCs w:val="22"/>
              </w:rPr>
              <w:t xml:space="preserve"> Although this </w:t>
            </w:r>
            <w:r w:rsidR="006652F2">
              <w:rPr>
                <w:sz w:val="22"/>
                <w:szCs w:val="22"/>
              </w:rPr>
              <w:t>has</w:t>
            </w:r>
            <w:r w:rsidR="008B2A9E" w:rsidRPr="007E4F57">
              <w:rPr>
                <w:sz w:val="22"/>
                <w:szCs w:val="22"/>
              </w:rPr>
              <w:t xml:space="preserve"> increase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59.</w:t>
            </w:r>
            <w:r w:rsidR="00D53D20">
              <w:rPr>
                <w:sz w:val="22"/>
                <w:szCs w:val="22"/>
              </w:rPr>
              <w:t>1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 there was still considerable variability between Paediatric Diabetes Units.</w:t>
            </w:r>
            <w:r w:rsidR="00DE3865">
              <w:rPr>
                <w:sz w:val="22"/>
                <w:szCs w:val="22"/>
              </w:rPr>
              <w:t xml:space="preserve"> Completion of all 6 care processes ranged from 7</w:t>
            </w:r>
            <w:r w:rsidR="006652F2">
              <w:rPr>
                <w:sz w:val="22"/>
                <w:szCs w:val="22"/>
              </w:rPr>
              <w:t>4</w:t>
            </w:r>
            <w:r w:rsidR="00DE3865">
              <w:rPr>
                <w:sz w:val="22"/>
                <w:szCs w:val="22"/>
              </w:rPr>
              <w:t>.</w:t>
            </w:r>
            <w:r w:rsidR="006652F2">
              <w:rPr>
                <w:sz w:val="22"/>
                <w:szCs w:val="22"/>
              </w:rPr>
              <w:t>8</w:t>
            </w:r>
            <w:r w:rsidR="00DE3865">
              <w:rPr>
                <w:sz w:val="22"/>
                <w:szCs w:val="22"/>
              </w:rPr>
              <w:t xml:space="preserve">% in </w:t>
            </w:r>
            <w:proofErr w:type="gramStart"/>
            <w:r w:rsidR="00DE3865">
              <w:rPr>
                <w:sz w:val="22"/>
                <w:szCs w:val="22"/>
              </w:rPr>
              <w:t>North East</w:t>
            </w:r>
            <w:proofErr w:type="gramEnd"/>
            <w:r w:rsidR="00DE3865">
              <w:rPr>
                <w:sz w:val="22"/>
                <w:szCs w:val="22"/>
              </w:rPr>
              <w:t xml:space="preserve"> and Yorkshire NHS region to 5</w:t>
            </w:r>
            <w:r w:rsidR="006652F2">
              <w:rPr>
                <w:sz w:val="22"/>
                <w:szCs w:val="22"/>
              </w:rPr>
              <w:t>8</w:t>
            </w:r>
            <w:r w:rsidR="00DE3865">
              <w:rPr>
                <w:sz w:val="22"/>
                <w:szCs w:val="22"/>
              </w:rPr>
              <w:t>.</w:t>
            </w:r>
            <w:r w:rsidR="006652F2">
              <w:rPr>
                <w:sz w:val="22"/>
                <w:szCs w:val="22"/>
              </w:rPr>
              <w:t>3</w:t>
            </w:r>
            <w:r w:rsidR="00DE3865">
              <w:rPr>
                <w:sz w:val="22"/>
                <w:szCs w:val="22"/>
              </w:rPr>
              <w:t>% in the North West</w:t>
            </w:r>
            <w:r w:rsidR="006652F2">
              <w:rPr>
                <w:sz w:val="22"/>
                <w:szCs w:val="22"/>
              </w:rPr>
              <w:t xml:space="preserve"> 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64621278" w14:textId="77777777" w:rsidR="00735337" w:rsidRPr="002269A5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2269A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relates to an area where there is known variation in practice.</w:t>
            </w:r>
          </w:p>
          <w:p w14:paraId="216B7A1C" w14:textId="278725A7" w:rsidR="00735337" w:rsidRPr="002338EB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045A8C98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lastRenderedPageBreak/>
              <w:t>NHS England has identified the delivery of key</w:t>
            </w:r>
            <w:r w:rsidR="004E74EB">
              <w:rPr>
                <w:rFonts w:ascii="Arial" w:hAnsi="Arial" w:cs="Arial"/>
                <w:sz w:val="22"/>
                <w:szCs w:val="22"/>
              </w:rPr>
              <w:t xml:space="preserve"> diabetes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</w:t>
              </w:r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r</w:t>
              </w:r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</w:t>
            </w:r>
            <w:r w:rsidRPr="0090044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00458A3A" w14:textId="056C520B" w:rsidR="007D2306" w:rsidRPr="007E4F57" w:rsidRDefault="007D2306" w:rsidP="007D230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recommendations 1.2.46, 1.2.80, 1.2.119, 1.2.126</w:t>
            </w:r>
          </w:p>
          <w:p w14:paraId="21171D08" w14:textId="39A95476" w:rsidR="002338EB" w:rsidRPr="002338EB" w:rsidRDefault="007D2306" w:rsidP="007D2306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hyperlink r:id="rId13" w:history="1">
              <w:r w:rsidRPr="007E4F57">
                <w:rPr>
                  <w:rStyle w:val="Hyperlink"/>
                  <w:rFonts w:cs="Arial"/>
                  <w:sz w:val="22"/>
                  <w:szCs w:val="22"/>
                </w:rPr>
                <w:t>Diabetic foot problems: prevention and management. NICE guideline NG19</w:t>
              </w:r>
            </w:hyperlink>
            <w:r w:rsidRPr="007E4F57">
              <w:rPr>
                <w:rFonts w:cs="Arial"/>
                <w:sz w:val="22"/>
                <w:szCs w:val="22"/>
              </w:rPr>
              <w:t xml:space="preserve"> (2015, updated 2019), recommendations 1.3.2 and 1.3.11 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9B79871" w14:textId="702989D4" w:rsidR="00204826" w:rsidRPr="007E4F57" w:rsidRDefault="002338EB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 xml:space="preserve">The number of people in the denominator who received the following individual care processes in the </w:t>
            </w:r>
            <w:r w:rsidR="006926F2">
              <w:rPr>
                <w:rFonts w:ascii="Arial" w:hAnsi="Arial"/>
                <w:sz w:val="22"/>
                <w:szCs w:val="22"/>
              </w:rPr>
              <w:t>previous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 xml:space="preserve"> 12 months:</w:t>
            </w:r>
          </w:p>
          <w:p w14:paraId="13601BB8" w14:textId="77777777" w:rsidR="00204826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glycated haemoglobin A1c (HbA1c) monitoring</w:t>
            </w:r>
          </w:p>
          <w:p w14:paraId="69140E46" w14:textId="77777777" w:rsidR="00204826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body mass index (BMI)</w:t>
            </w:r>
          </w:p>
          <w:p w14:paraId="4174889E" w14:textId="77777777" w:rsidR="00204826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blood pressure</w:t>
            </w:r>
          </w:p>
          <w:p w14:paraId="2EA9F289" w14:textId="77777777" w:rsidR="00204826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urinary albumin</w:t>
            </w:r>
          </w:p>
          <w:p w14:paraId="48CA4324" w14:textId="77777777" w:rsidR="00204826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foot examination</w:t>
            </w:r>
          </w:p>
          <w:p w14:paraId="5B102D41" w14:textId="127E9FF6" w:rsidR="00BE1F45" w:rsidRPr="007E4F57" w:rsidRDefault="00204826" w:rsidP="00204826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>•</w:t>
            </w:r>
            <w:r w:rsidRPr="007E4F57">
              <w:rPr>
                <w:rFonts w:ascii="Arial" w:hAnsi="Arial"/>
                <w:sz w:val="22"/>
                <w:szCs w:val="22"/>
              </w:rPr>
              <w:tab/>
              <w:t>screening for thyroid disease</w:t>
            </w:r>
          </w:p>
          <w:p w14:paraId="16A4FDB8" w14:textId="7B2D4095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The number of children and young people aged 12 to 18 years with type 1 diabetes.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1C51CB20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635301" w:rsidRPr="007E4F57">
              <w:rPr>
                <w:sz w:val="22"/>
                <w:szCs w:val="22"/>
              </w:rPr>
              <w:t>care processes are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5C01E885" w:rsidR="00635301" w:rsidRPr="007E4F57" w:rsidRDefault="00204826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lastRenderedPageBreak/>
              <w:t xml:space="preserve">The </w:t>
            </w:r>
            <w:hyperlink r:id="rId14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</w:t>
              </w:r>
              <w:r w:rsidR="006652F2" w:rsidRPr="006652F2">
                <w:rPr>
                  <w:rStyle w:val="Hyperlink"/>
                  <w:sz w:val="22"/>
                  <w:szCs w:val="22"/>
                </w:rPr>
                <w:t>3</w:t>
              </w:r>
              <w:r w:rsidRPr="006652F2">
                <w:rPr>
                  <w:rStyle w:val="Hyperlink"/>
                  <w:sz w:val="22"/>
                  <w:szCs w:val="22"/>
                </w:rPr>
                <w:t>-</w:t>
              </w:r>
              <w:r w:rsidR="006652F2" w:rsidRPr="006652F2">
                <w:rPr>
                  <w:rStyle w:val="Hyperlink"/>
                  <w:sz w:val="22"/>
                  <w:szCs w:val="22"/>
                </w:rPr>
                <w:t>4</w:t>
              </w:r>
            </w:hyperlink>
            <w:r w:rsidRPr="007E4F57">
              <w:rPr>
                <w:sz w:val="22"/>
                <w:szCs w:val="22"/>
              </w:rPr>
              <w:t xml:space="preserve"> shows that 0.03% of people in England </w:t>
            </w:r>
            <w:r w:rsidR="00E02246" w:rsidRPr="007E4F57">
              <w:rPr>
                <w:sz w:val="22"/>
                <w:szCs w:val="22"/>
              </w:rPr>
              <w:t>were</w:t>
            </w:r>
            <w:r w:rsidRPr="007E4F57">
              <w:rPr>
                <w:sz w:val="22"/>
                <w:szCs w:val="22"/>
              </w:rPr>
              <w:t xml:space="preserve"> </w:t>
            </w:r>
            <w:r w:rsidR="006652F2">
              <w:rPr>
                <w:sz w:val="22"/>
                <w:szCs w:val="22"/>
              </w:rPr>
              <w:t xml:space="preserve">children and young people </w:t>
            </w:r>
            <w:r w:rsidRPr="007E4F57">
              <w:rPr>
                <w:sz w:val="22"/>
                <w:szCs w:val="22"/>
              </w:rPr>
              <w:t>aged 12</w:t>
            </w:r>
            <w:r w:rsidR="006652F2">
              <w:rPr>
                <w:sz w:val="22"/>
                <w:szCs w:val="22"/>
              </w:rPr>
              <w:t>+</w:t>
            </w:r>
            <w:r w:rsidRPr="007E4F57">
              <w:rPr>
                <w:sz w:val="22"/>
                <w:szCs w:val="22"/>
              </w:rPr>
              <w:t xml:space="preserve"> with type 1 diabetes: 3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  <w:r w:rsidRPr="007E4F57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5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6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0B269169" w14:textId="4999257D" w:rsidR="005D4BF8" w:rsidRPr="007E4F57" w:rsidRDefault="005D4BF8" w:rsidP="005D4BF8">
            <w:pPr>
              <w:pStyle w:val="Bulletleft1"/>
              <w:rPr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>Patient height (cm)</w:t>
            </w:r>
          </w:p>
          <w:p w14:paraId="1D5E92D8" w14:textId="75C3128C" w:rsidR="005D4BF8" w:rsidRDefault="005D4BF8" w:rsidP="005D4BF8">
            <w:pPr>
              <w:pStyle w:val="Bulletleft1"/>
              <w:rPr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>Patient weight (kg)</w:t>
            </w:r>
          </w:p>
          <w:p w14:paraId="17F2D24F" w14:textId="71E02AEF" w:rsidR="007E4F57" w:rsidRPr="007E4F57" w:rsidRDefault="007E4F57" w:rsidP="005D4BF8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 date (Height and weight)</w:t>
            </w:r>
          </w:p>
          <w:p w14:paraId="68FD157D" w14:textId="52437A4F" w:rsidR="005D4BF8" w:rsidRDefault="007E4F57" w:rsidP="005D4BF8">
            <w:pPr>
              <w:pStyle w:val="Bulletleft1"/>
              <w:rPr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>HbA1c value</w:t>
            </w:r>
          </w:p>
          <w:p w14:paraId="78ECA40C" w14:textId="4FDA1C3E" w:rsidR="007E4F57" w:rsidRPr="007E4F57" w:rsidRDefault="007E4F57" w:rsidP="005D4BF8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 date: HbA1c value</w:t>
            </w:r>
          </w:p>
          <w:p w14:paraId="0D68783D" w14:textId="2DDC1587" w:rsidR="007E4F57" w:rsidRDefault="007E4F57" w:rsidP="005D4BF8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Systolic blood pressure</w:t>
            </w:r>
          </w:p>
          <w:p w14:paraId="0710F56F" w14:textId="098963F5" w:rsidR="007E4F57" w:rsidRDefault="007E4F57" w:rsidP="005D4BF8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Diastolic blood pressure</w:t>
            </w:r>
          </w:p>
          <w:p w14:paraId="0FBA1515" w14:textId="77D0B2A3" w:rsidR="007E4F57" w:rsidRDefault="007E4F57" w:rsidP="007E4F57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Observation date (blood pressure)</w:t>
            </w:r>
          </w:p>
          <w:p w14:paraId="799F3BD3" w14:textId="32BA6ACD" w:rsidR="007E4F57" w:rsidRDefault="00E4527B" w:rsidP="007E4F57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Foot assessment/examination date</w:t>
            </w:r>
          </w:p>
          <w:p w14:paraId="7963B352" w14:textId="3E3365BF" w:rsidR="00E4527B" w:rsidRDefault="00E4527B" w:rsidP="007E4F57">
            <w:pPr>
              <w:pStyle w:val="Bulletle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Urinary albumin level (ACR)</w:t>
            </w:r>
          </w:p>
          <w:p w14:paraId="415BA386" w14:textId="456FFBF7" w:rsidR="00E4527B" w:rsidRPr="00E4527B" w:rsidRDefault="00E4527B" w:rsidP="007E4F57">
            <w:pPr>
              <w:pStyle w:val="Bulletleft1"/>
              <w:rPr>
                <w:sz w:val="22"/>
                <w:szCs w:val="22"/>
              </w:rPr>
            </w:pPr>
            <w:r w:rsidRPr="00E4527B">
              <w:rPr>
                <w:sz w:val="22"/>
                <w:szCs w:val="22"/>
              </w:rPr>
              <w:t>Observation date: Urinary albumin level</w:t>
            </w:r>
          </w:p>
          <w:p w14:paraId="25FDAA45" w14:textId="212EF6D1" w:rsidR="00E4527B" w:rsidRPr="00E4527B" w:rsidRDefault="00E4527B" w:rsidP="00E4527B">
            <w:pPr>
              <w:pStyle w:val="Bulletleft1last"/>
            </w:pPr>
            <w:r w:rsidRPr="009A7093">
              <w:rPr>
                <w:rFonts w:cs="Times New Roman"/>
                <w:sz w:val="22"/>
                <w:szCs w:val="22"/>
              </w:rPr>
              <w:t>Observation date: Thyroid function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</w:t>
            </w:r>
            <w:r w:rsidR="00DD19F3" w:rsidRPr="00DD19F3">
              <w:rPr>
                <w:rFonts w:cs="Arial"/>
                <w:sz w:val="22"/>
                <w:szCs w:val="22"/>
              </w:rPr>
              <w:lastRenderedPageBreak/>
              <w:t xml:space="preserve">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lastRenderedPageBreak/>
              <w:t xml:space="preserve">The indicator assesses performance that is </w:t>
            </w: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lastRenderedPageBreak/>
              <w:t>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6F037BF4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1 diabetes in </w:t>
            </w:r>
            <w:r w:rsidR="00DA2495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6626190E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lastRenderedPageBreak/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015F71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15F71">
              <w:rPr>
                <w:rFonts w:cs="Arial"/>
                <w:sz w:val="22"/>
                <w:szCs w:val="22"/>
              </w:rPr>
              <w:t xml:space="preserve">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DAD4976" w14:textId="77777777" w:rsidR="002338EB" w:rsidRDefault="002338EB" w:rsidP="002338EB">
      <w:pPr>
        <w:pStyle w:val="Paragraph"/>
      </w:pPr>
    </w:p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0802D6A7" w14:textId="77777777" w:rsidR="002338EB" w:rsidRDefault="002338EB" w:rsidP="002338EB">
      <w:pPr>
        <w:pStyle w:val="Paragraph"/>
      </w:pPr>
    </w:p>
    <w:p w14:paraId="6FF16C14" w14:textId="77777777" w:rsidR="002338EB" w:rsidRDefault="002338EB" w:rsidP="002338EB">
      <w:pPr>
        <w:pStyle w:val="Paragraph"/>
      </w:pPr>
    </w:p>
    <w:p w14:paraId="6CB5A19B" w14:textId="77777777" w:rsidR="00D73835" w:rsidRDefault="00D73835" w:rsidP="003605D5">
      <w:pPr>
        <w:pStyle w:val="Heading1"/>
      </w:pPr>
    </w:p>
    <w:sectPr w:rsidR="00D73835" w:rsidSect="003E4657"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4D2A4C93" w:rsidR="00BB14CA" w:rsidRPr="008C1C95" w:rsidRDefault="006652F2" w:rsidP="008C1C95">
    <w:pPr>
      <w:pStyle w:val="Footer"/>
      <w:jc w:val="right"/>
    </w:pPr>
    <w:r>
      <w:t>IND</w:t>
    </w:r>
    <w:r w:rsidR="00900445">
      <w:t>296:</w:t>
    </w:r>
    <w:r w:rsidR="009B0E59">
      <w:t xml:space="preserve">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696F" w14:textId="33520170" w:rsidR="00761E7B" w:rsidRDefault="00761E7B" w:rsidP="00CE5536">
    <w:pPr>
      <w:pStyle w:val="Footer"/>
      <w:jc w:val="right"/>
    </w:pPr>
    <w:r>
      <w:t>IN</w:t>
    </w:r>
    <w:r w:rsidR="00900445">
      <w:t>D296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804"/>
    <w:rsid w:val="00271857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E74EB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6F2"/>
    <w:rsid w:val="00692F13"/>
    <w:rsid w:val="006937D0"/>
    <w:rsid w:val="00693996"/>
    <w:rsid w:val="006948AC"/>
    <w:rsid w:val="00696325"/>
    <w:rsid w:val="006966FC"/>
    <w:rsid w:val="006A1E36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F14A6"/>
    <w:rsid w:val="007F2919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7FF1"/>
    <w:rsid w:val="008100D4"/>
    <w:rsid w:val="008101E2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6490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969F3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0445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0736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5508A"/>
    <w:rsid w:val="00A60794"/>
    <w:rsid w:val="00A611CE"/>
    <w:rsid w:val="00A614C6"/>
    <w:rsid w:val="00A7018B"/>
    <w:rsid w:val="00A70A7A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1C70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2BEF"/>
    <w:rsid w:val="00B14C5C"/>
    <w:rsid w:val="00B14C68"/>
    <w:rsid w:val="00B14DDE"/>
    <w:rsid w:val="00B157D0"/>
    <w:rsid w:val="00B15EF3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E5536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772A"/>
    <w:rsid w:val="00D321F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2495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343"/>
    <w:rsid w:val="00E03F71"/>
    <w:rsid w:val="00E045EE"/>
    <w:rsid w:val="00E06ED0"/>
    <w:rsid w:val="00E1082D"/>
    <w:rsid w:val="00E130CB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4554"/>
    <w:rsid w:val="00FA464E"/>
    <w:rsid w:val="00FA60EE"/>
    <w:rsid w:val="00FA72BA"/>
    <w:rsid w:val="00FB142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www.nice.org.uk/guidance/ng19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rcpch.ac.uk/resources/national-paediatric-diabetes-audit-data-submissio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work-we-do/clinical-audits/npda" TargetMode="External"/><Relationship Id="rId10" Type="http://schemas.openxmlformats.org/officeDocument/2006/relationships/hyperlink" Target="https://www.rcpch.ac.uk/work-we-do/clinical-audits/npda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507</TotalTime>
  <Pages>4</Pages>
  <Words>997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Craig Grime</cp:lastModifiedBy>
  <cp:revision>24</cp:revision>
  <dcterms:created xsi:type="dcterms:W3CDTF">2025-03-10T14:22:00Z</dcterms:created>
  <dcterms:modified xsi:type="dcterms:W3CDTF">2025-04-04T14:49:00Z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