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6959633C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DB48BA">
        <w:rPr>
          <w:lang w:eastAsia="en-GB"/>
        </w:rPr>
        <w:t>299</w:t>
      </w:r>
    </w:p>
    <w:p w14:paraId="6D80AD2D" w14:textId="0F1F64CF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1F3453">
        <w:rPr>
          <w:lang w:eastAsia="en-GB"/>
        </w:rPr>
        <w:t xml:space="preserve">aged under </w:t>
      </w:r>
      <w:proofErr w:type="gramStart"/>
      <w:r w:rsidR="001F3453">
        <w:rPr>
          <w:lang w:eastAsia="en-GB"/>
        </w:rPr>
        <w:t>18  years</w:t>
      </w:r>
      <w:proofErr w:type="gramEnd"/>
      <w:r w:rsidR="001F3453">
        <w:rPr>
          <w:lang w:eastAsia="en-GB"/>
        </w:rPr>
        <w:t xml:space="preserve"> </w:t>
      </w:r>
      <w:r w:rsidRPr="00A70F8D">
        <w:rPr>
          <w:lang w:eastAsia="en-GB"/>
        </w:rPr>
        <w:t xml:space="preserve">with type </w:t>
      </w:r>
      <w:r w:rsidR="00EA5E1D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5A3AE4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glycated </w:t>
      </w:r>
      <w:proofErr w:type="spellStart"/>
      <w:r w:rsidRPr="00A70F8D">
        <w:rPr>
          <w:lang w:eastAsia="en-GB"/>
        </w:rPr>
        <w:t>haemoglobin</w:t>
      </w:r>
      <w:proofErr w:type="spellEnd"/>
      <w:r w:rsidRPr="00A70F8D">
        <w:rPr>
          <w:lang w:eastAsia="en-GB"/>
        </w:rPr>
        <w:t xml:space="preserve"> A1c (HbA1c) monitored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6FB73C6F" w:rsidR="002338EB" w:rsidRPr="007E4F57" w:rsidRDefault="001A1B08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7E57E744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EA5E1D">
                <w:rPr>
                  <w:rStyle w:val="Hyperlink"/>
                  <w:sz w:val="22"/>
                  <w:szCs w:val="22"/>
                </w:rPr>
                <w:t xml:space="preserve">National Diabetes Audit </w:t>
              </w:r>
              <w:r w:rsidR="00EA5E1D" w:rsidRPr="00EA5E1D">
                <w:rPr>
                  <w:rStyle w:val="Hyperlink"/>
                  <w:sz w:val="22"/>
                  <w:szCs w:val="22"/>
                </w:rPr>
                <w:t xml:space="preserve">Young People with Type 2 Diabetes Dashboard </w:t>
              </w:r>
              <w:r w:rsidRPr="00EA5E1D">
                <w:rPr>
                  <w:rStyle w:val="Hyperlink"/>
                  <w:sz w:val="22"/>
                  <w:szCs w:val="22"/>
                </w:rPr>
                <w:t>202</w:t>
              </w:r>
              <w:r w:rsidR="00EA5E1D" w:rsidRPr="00EA5E1D">
                <w:rPr>
                  <w:rStyle w:val="Hyperlink"/>
                </w:rPr>
                <w:t>2-3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A70F8D">
              <w:rPr>
                <w:sz w:val="22"/>
                <w:szCs w:val="22"/>
              </w:rPr>
              <w:t>9</w:t>
            </w:r>
            <w:r w:rsidR="00EA5E1D">
              <w:rPr>
                <w:sz w:val="22"/>
                <w:szCs w:val="22"/>
              </w:rPr>
              <w:t>0</w:t>
            </w:r>
            <w:r w:rsidR="00EA5E1D">
              <w:t>.6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291E95">
              <w:rPr>
                <w:sz w:val="22"/>
                <w:szCs w:val="22"/>
              </w:rPr>
              <w:t xml:space="preserve">under 18 </w:t>
            </w:r>
            <w:r w:rsidRPr="007E4F57">
              <w:rPr>
                <w:sz w:val="22"/>
                <w:szCs w:val="22"/>
              </w:rPr>
              <w:t xml:space="preserve">with type </w:t>
            </w:r>
            <w:r w:rsidR="00EA5E1D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>had their HbA1c monitored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D26B78">
              <w:rPr>
                <w:sz w:val="22"/>
                <w:szCs w:val="22"/>
              </w:rPr>
              <w:t>84.4</w:t>
            </w:r>
            <w:r w:rsidR="00DE3865">
              <w:rPr>
                <w:sz w:val="22"/>
                <w:szCs w:val="22"/>
              </w:rPr>
              <w:t xml:space="preserve">% in </w:t>
            </w:r>
            <w:r w:rsidR="00D26B78">
              <w:rPr>
                <w:sz w:val="22"/>
                <w:szCs w:val="22"/>
              </w:rPr>
              <w:t xml:space="preserve">the </w:t>
            </w:r>
            <w:proofErr w:type="gramStart"/>
            <w:r w:rsidR="00D26B78">
              <w:rPr>
                <w:sz w:val="22"/>
                <w:szCs w:val="22"/>
              </w:rPr>
              <w:t>North West</w:t>
            </w:r>
            <w:proofErr w:type="gramEnd"/>
            <w:r w:rsidR="00D26B78">
              <w:rPr>
                <w:sz w:val="22"/>
                <w:szCs w:val="22"/>
              </w:rPr>
              <w:t xml:space="preserve"> and South East </w:t>
            </w:r>
            <w:r w:rsidR="00B35A04">
              <w:rPr>
                <w:sz w:val="22"/>
                <w:szCs w:val="22"/>
              </w:rPr>
              <w:t>NHS region</w:t>
            </w:r>
            <w:r w:rsidR="00D26B78">
              <w:rPr>
                <w:sz w:val="22"/>
                <w:szCs w:val="22"/>
              </w:rPr>
              <w:t>s</w:t>
            </w:r>
            <w:r w:rsidR="00B35A04">
              <w:rPr>
                <w:sz w:val="22"/>
                <w:szCs w:val="22"/>
              </w:rPr>
              <w:t xml:space="preserve"> </w:t>
            </w:r>
            <w:r w:rsidR="00DE3865">
              <w:rPr>
                <w:sz w:val="22"/>
                <w:szCs w:val="22"/>
              </w:rPr>
              <w:t xml:space="preserve">to </w:t>
            </w:r>
            <w:r w:rsidR="004250B8">
              <w:rPr>
                <w:sz w:val="22"/>
                <w:szCs w:val="22"/>
              </w:rPr>
              <w:t>9</w:t>
            </w:r>
            <w:r w:rsidR="00D26B78">
              <w:rPr>
                <w:sz w:val="22"/>
                <w:szCs w:val="22"/>
              </w:rPr>
              <w:t>4</w:t>
            </w:r>
            <w:r w:rsidR="004250B8">
              <w:rPr>
                <w:sz w:val="22"/>
                <w:szCs w:val="22"/>
              </w:rPr>
              <w:t>.</w:t>
            </w:r>
            <w:r w:rsidR="00D26B78">
              <w:rPr>
                <w:sz w:val="22"/>
                <w:szCs w:val="22"/>
              </w:rPr>
              <w:t>2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4250B8">
              <w:rPr>
                <w:sz w:val="22"/>
                <w:szCs w:val="22"/>
              </w:rPr>
              <w:t>South West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4ABB5E2A" w:rsidR="00735337" w:rsidRPr="002338EB" w:rsidRDefault="002323D2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2323D2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a high level of achievement although still some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40187FF7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1A1B08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BB65CD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BB65CD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908BEDC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</w:t>
            </w:r>
            <w:r w:rsidR="00D26B78">
              <w:rPr>
                <w:rFonts w:ascii="Arial" w:hAnsi="Arial" w:cs="Arial"/>
                <w:sz w:val="22"/>
                <w:szCs w:val="22"/>
              </w:rPr>
              <w:t>3</w:t>
            </w:r>
            <w:r w:rsidRPr="007E4F57">
              <w:rPr>
                <w:rFonts w:ascii="Arial" w:hAnsi="Arial" w:cs="Arial"/>
                <w:sz w:val="22"/>
                <w:szCs w:val="22"/>
              </w:rPr>
              <w:t>.</w:t>
            </w:r>
            <w:r w:rsidR="00D26B7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77777777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glycated haemoglobin A1c (HbA1c) monitored in the previous 12 months </w:t>
            </w:r>
          </w:p>
          <w:p w14:paraId="16A4FDB8" w14:textId="668AF500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The number of children and young people</w:t>
            </w:r>
            <w:r w:rsidR="001F3453">
              <w:rPr>
                <w:rFonts w:ascii="Arial" w:hAnsi="Arial"/>
                <w:sz w:val="22"/>
                <w:szCs w:val="22"/>
              </w:rPr>
              <w:t xml:space="preserve"> 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D26B78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5F41F01B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806DEA" w:rsidRPr="00806DEA">
              <w:rPr>
                <w:sz w:val="22"/>
                <w:szCs w:val="22"/>
              </w:rPr>
              <w:t xml:space="preserve">HbA1c monitoring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3DF1EA1E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="00D73642" w:rsidRPr="00D73642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="00D73642" w:rsidRPr="00D73642">
              <w:t xml:space="preserve"> </w:t>
            </w:r>
            <w:r w:rsidRPr="007E4F57">
              <w:rPr>
                <w:sz w:val="22"/>
                <w:szCs w:val="22"/>
              </w:rPr>
              <w:t>shows that 0.0</w:t>
            </w:r>
            <w:r w:rsidR="00D73642">
              <w:rPr>
                <w:sz w:val="22"/>
                <w:szCs w:val="22"/>
              </w:rPr>
              <w:t>0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="007026B2">
              <w:rPr>
                <w:sz w:val="22"/>
                <w:szCs w:val="22"/>
              </w:rPr>
              <w:t xml:space="preserve">aged </w:t>
            </w:r>
            <w:r w:rsidR="00155B0F">
              <w:rPr>
                <w:sz w:val="22"/>
                <w:szCs w:val="22"/>
              </w:rPr>
              <w:t>under 18</w:t>
            </w:r>
            <w:r w:rsidR="007026B2">
              <w:rPr>
                <w:sz w:val="22"/>
                <w:szCs w:val="22"/>
              </w:rPr>
              <w:t xml:space="preserve"> years</w:t>
            </w:r>
            <w:r w:rsidRPr="007E4F57">
              <w:rPr>
                <w:sz w:val="22"/>
                <w:szCs w:val="22"/>
              </w:rPr>
              <w:t xml:space="preserve"> with type </w:t>
            </w:r>
            <w:r w:rsidR="000666EF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diabetes: </w:t>
            </w:r>
            <w:r w:rsidR="00D73642">
              <w:rPr>
                <w:sz w:val="22"/>
                <w:szCs w:val="22"/>
              </w:rPr>
              <w:t>0.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5EC0048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433930">
              <w:t xml:space="preserve"> </w:t>
            </w:r>
            <w:r w:rsidR="00433930" w:rsidRPr="00433930">
              <w:rPr>
                <w:sz w:val="22"/>
                <w:szCs w:val="22"/>
              </w:rPr>
              <w:t xml:space="preserve">and the </w:t>
            </w:r>
            <w:hyperlink r:id="rId15" w:history="1">
              <w:r w:rsidR="00433930" w:rsidRPr="00433930">
                <w:rPr>
                  <w:rStyle w:val="Hyperlink"/>
                  <w:sz w:val="22"/>
                  <w:szCs w:val="22"/>
                </w:rPr>
                <w:t>National Diabetes Audit Young People with Type 2 Diabetes Dashboard</w:t>
              </w:r>
            </w:hyperlink>
            <w:r w:rsidR="00FA72BA" w:rsidRPr="00433930">
              <w:rPr>
                <w:sz w:val="22"/>
                <w:szCs w:val="22"/>
              </w:rPr>
              <w:t>.</w:t>
            </w:r>
            <w:r w:rsidR="00517D65">
              <w:rPr>
                <w:sz w:val="22"/>
                <w:szCs w:val="22"/>
              </w:rPr>
              <w:t xml:space="preserve"> The Nat</w:t>
            </w:r>
            <w:r w:rsidR="00464BFF">
              <w:rPr>
                <w:sz w:val="22"/>
                <w:szCs w:val="22"/>
              </w:rPr>
              <w:t>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6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68FD157D" w14:textId="52437A4F" w:rsidR="005D4BF8" w:rsidRPr="00806DEA" w:rsidRDefault="007E4F57" w:rsidP="005D4BF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806DEA">
              <w:rPr>
                <w:rFonts w:cs="Arial"/>
                <w:sz w:val="22"/>
                <w:szCs w:val="22"/>
                <w:lang w:val="en-GB"/>
              </w:rPr>
              <w:lastRenderedPageBreak/>
              <w:t>HbA1c value</w:t>
            </w:r>
          </w:p>
          <w:p w14:paraId="25FDAA45" w14:textId="29D9A0BD" w:rsidR="00E4527B" w:rsidRPr="00806DEA" w:rsidRDefault="007E4F57" w:rsidP="00806DEA">
            <w:pPr>
              <w:pStyle w:val="Bulletleft1last"/>
            </w:pPr>
            <w:r w:rsidRPr="00806DEA">
              <w:rPr>
                <w:sz w:val="22"/>
                <w:szCs w:val="22"/>
                <w:lang w:val="en-GB"/>
              </w:rPr>
              <w:t>Observation date: HbA1c value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lastRenderedPageBreak/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71E2AB88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517D65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D241AA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092E40FB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517D65">
              <w:rPr>
                <w:rFonts w:cs="Arial"/>
                <w:sz w:val="22"/>
                <w:szCs w:val="22"/>
              </w:rPr>
              <w:t xml:space="preserve">and National Diabetes Audit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517D65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</w:t>
            </w:r>
            <w:r w:rsidR="00517D65">
              <w:rPr>
                <w:rFonts w:cs="Arial"/>
                <w:sz w:val="22"/>
                <w:szCs w:val="22"/>
              </w:rPr>
              <w:t xml:space="preserve"> </w:t>
            </w:r>
            <w:r w:rsidRPr="00015F71">
              <w:rPr>
                <w:rFonts w:cs="Arial"/>
                <w:sz w:val="22"/>
                <w:szCs w:val="22"/>
              </w:rPr>
              <w:t>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CA0B48">
      <w:pPr>
        <w:pStyle w:val="Heading1"/>
      </w:pPr>
    </w:p>
    <w:sectPr w:rsidR="00D73835" w:rsidSect="003E4657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2779286B" w:rsidR="00BB14CA" w:rsidRPr="008C1C95" w:rsidRDefault="006652F2" w:rsidP="008C1C95">
    <w:pPr>
      <w:pStyle w:val="Footer"/>
      <w:jc w:val="right"/>
    </w:pPr>
    <w:r>
      <w:t>IND</w:t>
    </w:r>
    <w:r w:rsidR="00DB48BA">
      <w:t>299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96F" w14:textId="1EEC6F77" w:rsidR="00761E7B" w:rsidRDefault="00761E7B" w:rsidP="00DB48BA">
    <w:pPr>
      <w:pStyle w:val="Footer"/>
      <w:jc w:val="right"/>
    </w:pPr>
    <w:r>
      <w:t>IND</w:t>
    </w:r>
    <w:r w:rsidR="00DB48BA">
      <w:t>299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66EF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201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49E8"/>
    <w:rsid w:val="00145D3C"/>
    <w:rsid w:val="00147883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1B08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23D0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453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23D2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1E95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33930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4BFF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17D65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1D00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3AE4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672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A6AA2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5762F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04D2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37496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831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456F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445"/>
    <w:rsid w:val="00960B9B"/>
    <w:rsid w:val="00960CC3"/>
    <w:rsid w:val="0096180D"/>
    <w:rsid w:val="00961E3B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0F8D"/>
    <w:rsid w:val="00A71410"/>
    <w:rsid w:val="00A71B9E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65CD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427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0B48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1E7"/>
    <w:rsid w:val="00CF3F6B"/>
    <w:rsid w:val="00CF4851"/>
    <w:rsid w:val="00CF58B7"/>
    <w:rsid w:val="00CF5DD6"/>
    <w:rsid w:val="00D0069F"/>
    <w:rsid w:val="00D007C0"/>
    <w:rsid w:val="00D05493"/>
    <w:rsid w:val="00D07C2B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3499"/>
    <w:rsid w:val="00D241AA"/>
    <w:rsid w:val="00D262C3"/>
    <w:rsid w:val="00D26B78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642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8BA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30CB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5321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A5E1D"/>
    <w:rsid w:val="00EB2FE6"/>
    <w:rsid w:val="00EB3CD8"/>
    <w:rsid w:val="00EB6BBE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665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2D3B"/>
    <w:rsid w:val="00F94BD6"/>
    <w:rsid w:val="00F958CC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digital.nhs.uk/data-and-information/clinical-audits-and-registries/national-diabetes-audit/dashboard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cpch.ac.uk/resources/national-paediatric-diabetes-audit-data-submiss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.nhs.uk/data-and-information/clinical-audits-and-registries/national-diabetes-audit/dashboards" TargetMode="External"/><Relationship Id="rId10" Type="http://schemas.openxmlformats.org/officeDocument/2006/relationships/hyperlink" Target="https://digital.nhs.uk/data-and-information/clinical-audits-and-registries/national-diabetes-audit/dashboard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94</TotalTime>
  <Pages>3</Pages>
  <Words>940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21</cp:revision>
  <dcterms:created xsi:type="dcterms:W3CDTF">2025-03-19T17:20:00Z</dcterms:created>
  <dcterms:modified xsi:type="dcterms:W3CDTF">2025-04-07T12:42:00Z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