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950A9C6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85482A">
        <w:rPr>
          <w:lang w:eastAsia="en-GB"/>
        </w:rPr>
        <w:t>313</w:t>
      </w:r>
    </w:p>
    <w:p w14:paraId="62F25E06" w14:textId="613D611F" w:rsidR="00C70B28" w:rsidRDefault="00C70B28" w:rsidP="00192685">
      <w:pPr>
        <w:pStyle w:val="Heading1"/>
        <w:rPr>
          <w:b w:val="0"/>
          <w:bCs w:val="0"/>
          <w:kern w:val="0"/>
          <w:sz w:val="24"/>
          <w:szCs w:val="24"/>
          <w:lang w:val="en-US" w:eastAsia="en-GB"/>
        </w:rPr>
      </w:pPr>
      <w:r w:rsidRPr="00C70B28">
        <w:rPr>
          <w:b w:val="0"/>
          <w:bCs w:val="0"/>
          <w:kern w:val="0"/>
          <w:sz w:val="24"/>
          <w:szCs w:val="24"/>
          <w:lang w:val="en-US" w:eastAsia="en-GB"/>
        </w:rPr>
        <w:t xml:space="preserve">Proportion of children and young people </w:t>
      </w:r>
      <w:r w:rsidR="00EB295E">
        <w:rPr>
          <w:b w:val="0"/>
          <w:bCs w:val="0"/>
          <w:kern w:val="0"/>
          <w:sz w:val="24"/>
          <w:szCs w:val="24"/>
          <w:lang w:val="en-US" w:eastAsia="en-GB"/>
        </w:rPr>
        <w:t xml:space="preserve">aged under 18 years </w:t>
      </w:r>
      <w:r w:rsidRPr="00C70B28">
        <w:rPr>
          <w:b w:val="0"/>
          <w:bCs w:val="0"/>
          <w:kern w:val="0"/>
          <w:sz w:val="24"/>
          <w:szCs w:val="24"/>
          <w:lang w:val="en-US" w:eastAsia="en-GB"/>
        </w:rPr>
        <w:t xml:space="preserve">with type 1 diabetes who have received a psychological assessment in the previous 12 months </w:t>
      </w:r>
    </w:p>
    <w:p w14:paraId="3A4FBC67" w14:textId="600CB7C1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0160D6C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anchor="overview" w:history="1">
              <w:r w:rsidR="00B11C22" w:rsidRPr="007E4F57">
                <w:rPr>
                  <w:rStyle w:val="Hyperlink"/>
                  <w:sz w:val="22"/>
                  <w:szCs w:val="22"/>
                </w:rPr>
                <w:t>National Children and Young People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 xml:space="preserve">that optimal treatment and care are essential to ensure people with diabetes can live well and avoid complications. The </w:t>
            </w:r>
            <w:hyperlink r:id="rId8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7F610DC4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9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190593">
              <w:rPr>
                <w:sz w:val="22"/>
                <w:szCs w:val="22"/>
              </w:rPr>
              <w:t>8</w:t>
            </w:r>
            <w:r w:rsidR="00C70B28">
              <w:rPr>
                <w:sz w:val="22"/>
                <w:szCs w:val="22"/>
              </w:rPr>
              <w:t>2.1</w:t>
            </w:r>
            <w:r w:rsidRPr="007E4F57">
              <w:rPr>
                <w:sz w:val="22"/>
                <w:szCs w:val="22"/>
              </w:rPr>
              <w:t>% of children and young people 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C70B28">
              <w:rPr>
                <w:sz w:val="22"/>
                <w:szCs w:val="22"/>
              </w:rPr>
              <w:t>had a psychological support health check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EE5E6E">
              <w:rPr>
                <w:sz w:val="22"/>
                <w:szCs w:val="22"/>
              </w:rPr>
              <w:t>80.5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C70B28">
              <w:rPr>
                <w:sz w:val="22"/>
                <w:szCs w:val="22"/>
              </w:rPr>
              <w:t>77.8</w:t>
            </w:r>
            <w:r w:rsidR="00DE3865">
              <w:rPr>
                <w:sz w:val="22"/>
                <w:szCs w:val="22"/>
              </w:rPr>
              <w:t xml:space="preserve">% in </w:t>
            </w:r>
            <w:r w:rsidR="00666DFE">
              <w:rPr>
                <w:sz w:val="22"/>
                <w:szCs w:val="22"/>
              </w:rPr>
              <w:t xml:space="preserve">the </w:t>
            </w:r>
            <w:proofErr w:type="gramStart"/>
            <w:r w:rsidR="00C70B28">
              <w:rPr>
                <w:sz w:val="22"/>
                <w:szCs w:val="22"/>
              </w:rPr>
              <w:t>North West</w:t>
            </w:r>
            <w:proofErr w:type="gramEnd"/>
            <w:r w:rsidR="00DE3865">
              <w:rPr>
                <w:sz w:val="22"/>
                <w:szCs w:val="22"/>
              </w:rPr>
              <w:t xml:space="preserve"> </w:t>
            </w:r>
            <w:r w:rsidR="00B35A04">
              <w:rPr>
                <w:sz w:val="22"/>
                <w:szCs w:val="22"/>
              </w:rPr>
              <w:t xml:space="preserve">NHS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C70B28">
              <w:rPr>
                <w:sz w:val="22"/>
                <w:szCs w:val="22"/>
              </w:rPr>
              <w:t>86.4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C70B28">
              <w:rPr>
                <w:sz w:val="22"/>
                <w:szCs w:val="22"/>
              </w:rPr>
              <w:t>South East</w:t>
            </w:r>
            <w:r w:rsidR="00666DFE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>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621278" w14:textId="37D10D68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19059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known </w:t>
            </w: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6A70990E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85482A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0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will lead to a meaningful improvement in patient </w:t>
            </w:r>
            <w:r w:rsidRPr="0085482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outcomes.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13778955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</w:t>
            </w:r>
            <w:r w:rsidR="00C70B28">
              <w:rPr>
                <w:rFonts w:ascii="Arial" w:hAnsi="Arial" w:cs="Arial"/>
                <w:sz w:val="22"/>
                <w:szCs w:val="22"/>
              </w:rPr>
              <w:t>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B28" w:rsidRPr="00C70B28">
              <w:rPr>
                <w:rFonts w:ascii="Arial" w:hAnsi="Arial" w:cs="Arial"/>
                <w:sz w:val="22"/>
                <w:szCs w:val="22"/>
              </w:rPr>
              <w:t>1.2.103, 1.2.106 and 1.2.107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268F7C21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</w:t>
            </w:r>
            <w:r w:rsidR="00C70B28">
              <w:rPr>
                <w:rFonts w:ascii="Arial" w:hAnsi="Arial"/>
                <w:sz w:val="22"/>
                <w:szCs w:val="22"/>
              </w:rPr>
              <w:t>had a psychological assessment</w:t>
            </w:r>
            <w:r w:rsidR="00FE5EB5" w:rsidRPr="00FE5EB5">
              <w:rPr>
                <w:rFonts w:ascii="Arial" w:hAnsi="Arial"/>
                <w:sz w:val="22"/>
                <w:szCs w:val="22"/>
              </w:rPr>
              <w:t xml:space="preserve">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072C675A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The number of children and young people</w:t>
            </w:r>
            <w:r w:rsidR="00EB295E">
              <w:rPr>
                <w:rFonts w:ascii="Arial" w:hAnsi="Arial"/>
                <w:sz w:val="22"/>
                <w:szCs w:val="22"/>
              </w:rPr>
              <w:t xml:space="preserve"> 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47C00D98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C70B28">
              <w:rPr>
                <w:sz w:val="22"/>
                <w:szCs w:val="22"/>
              </w:rPr>
              <w:t>psychological assessment</w:t>
            </w:r>
            <w:r w:rsidR="00FE5EB5" w:rsidRPr="00FE5EB5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55D571B4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2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3</w:t>
              </w:r>
              <w:r w:rsidRPr="006652F2">
                <w:rPr>
                  <w:rStyle w:val="Hyperlink"/>
                  <w:sz w:val="22"/>
                  <w:szCs w:val="22"/>
                </w:rPr>
                <w:t>-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="007026B2">
              <w:rPr>
                <w:sz w:val="22"/>
                <w:szCs w:val="22"/>
              </w:rPr>
              <w:t xml:space="preserve">aged </w:t>
            </w:r>
            <w:r w:rsidR="00155B0F">
              <w:rPr>
                <w:sz w:val="22"/>
                <w:szCs w:val="22"/>
              </w:rPr>
              <w:t>under 18</w:t>
            </w:r>
            <w:r w:rsidR="007026B2">
              <w:rPr>
                <w:sz w:val="22"/>
                <w:szCs w:val="22"/>
              </w:rPr>
              <w:t xml:space="preserve"> years</w:t>
            </w:r>
            <w:r w:rsidRPr="007E4F57">
              <w:rPr>
                <w:sz w:val="22"/>
                <w:szCs w:val="22"/>
              </w:rPr>
              <w:t xml:space="preserve"> with type 1 diabetes: 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3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4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0E5861BA" w:rsidR="00E4527B" w:rsidRPr="00806DEA" w:rsidRDefault="00C70B28" w:rsidP="00C70B28">
            <w:pPr>
              <w:pStyle w:val="Bulletleft1"/>
            </w:pPr>
            <w:r w:rsidRPr="00C70B28">
              <w:rPr>
                <w:rFonts w:cs="Arial"/>
                <w:sz w:val="22"/>
                <w:szCs w:val="22"/>
                <w:lang w:val="en-GB"/>
              </w:rPr>
              <w:lastRenderedPageBreak/>
              <w:t>Observation Date -Psychological Screening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A</w:t>
            </w:r>
            <w:r w:rsidRPr="00C70B28">
              <w:rPr>
                <w:rFonts w:cs="Arial"/>
                <w:sz w:val="22"/>
                <w:szCs w:val="22"/>
                <w:lang w:val="en-GB"/>
              </w:rPr>
              <w:t>ssessment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1DCB247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primary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secondary 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care.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5A7F58D7" w:rsidR="00BB14CA" w:rsidRPr="008C1C95" w:rsidRDefault="006652F2" w:rsidP="008C1C95">
    <w:pPr>
      <w:pStyle w:val="Footer"/>
      <w:jc w:val="right"/>
    </w:pPr>
    <w:r>
      <w:t>IND</w:t>
    </w:r>
    <w:r w:rsidR="0085482A">
      <w:t>313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96F" w14:textId="3CFC7C52" w:rsidR="00761E7B" w:rsidRDefault="00761E7B" w:rsidP="0085482A">
    <w:pPr>
      <w:pStyle w:val="Footer"/>
      <w:jc w:val="right"/>
    </w:pPr>
    <w:r>
      <w:t>IND</w:t>
    </w:r>
    <w:r w:rsidR="0085482A">
      <w:t>313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02B4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0593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3D7F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3B7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0D18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01ED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545F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6DF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48F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482A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512A"/>
    <w:rsid w:val="00A47852"/>
    <w:rsid w:val="00A526EF"/>
    <w:rsid w:val="00A53E97"/>
    <w:rsid w:val="00A54F81"/>
    <w:rsid w:val="00A60794"/>
    <w:rsid w:val="00A611CE"/>
    <w:rsid w:val="00A614C6"/>
    <w:rsid w:val="00A636EE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609F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2B87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7751"/>
    <w:rsid w:val="00B17DE0"/>
    <w:rsid w:val="00B17FE4"/>
    <w:rsid w:val="00B22A36"/>
    <w:rsid w:val="00B265EB"/>
    <w:rsid w:val="00B26B78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0B28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E68FB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95E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5E6E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5EB5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https://www.england.nhs.uk/long-read/children-and-young-people-diabetes-toolkit/" TargetMode="External"/><Relationship Id="rId12" Type="http://schemas.openxmlformats.org/officeDocument/2006/relationships/hyperlink" Target="https://www.rcpch.ac.uk/work-we-do/clinical-audits/npd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ngland.nhs.uk/ourwork/prevention/secondary-prevention/diabetes-high-impact-interven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cpch.ac.uk/work-we-do/clinical-audits/npda" TargetMode="External"/><Relationship Id="rId14" Type="http://schemas.openxmlformats.org/officeDocument/2006/relationships/hyperlink" Target="https://www.rcpch.ac.uk/resources/national-paediatric-diabetes-audit-data-submiss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9</TotalTime>
  <Pages>3</Pages>
  <Words>871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6</cp:revision>
  <dcterms:created xsi:type="dcterms:W3CDTF">2025-04-03T10:30:00Z</dcterms:created>
  <dcterms:modified xsi:type="dcterms:W3CDTF">2025-04-07T13:54:00Z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