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9B13" w14:textId="1857634A" w:rsidR="00E27C94" w:rsidRDefault="00E27C94" w:rsidP="002E482A">
      <w:pPr>
        <w:pStyle w:val="Title"/>
      </w:pPr>
      <w:r>
        <w:t>Indicator development programme</w:t>
      </w:r>
      <w:r w:rsidR="002E482A">
        <w:tab/>
      </w:r>
    </w:p>
    <w:p w14:paraId="5C05FA6A" w14:textId="6426171B" w:rsidR="002E482A" w:rsidRDefault="002E482A" w:rsidP="002E482A">
      <w:pPr>
        <w:pStyle w:val="Title"/>
      </w:pPr>
      <w:r>
        <w:t>Consultation report</w:t>
      </w:r>
      <w:r w:rsidR="00A90CD8">
        <w:t xml:space="preserve">: </w:t>
      </w:r>
      <w:r w:rsidR="005E01EC">
        <w:t>A</w:t>
      </w:r>
      <w:r w:rsidR="00A41FE1">
        <w:t>sthma</w:t>
      </w:r>
      <w:r w:rsidR="005E01EC">
        <w:t xml:space="preserve">: </w:t>
      </w:r>
      <w:r w:rsidR="00E07F9D">
        <w:t>annual</w:t>
      </w:r>
      <w:r w:rsidR="005E01EC">
        <w:t xml:space="preserve"> review &amp; MART (high</w:t>
      </w:r>
      <w:r w:rsidR="001550F1">
        <w:t>er</w:t>
      </w:r>
      <w:r w:rsidR="005E01EC">
        <w:t xml:space="preserve"> risk patients)</w:t>
      </w:r>
      <w:r w:rsidR="00E07F9D">
        <w:t xml:space="preserve"> </w:t>
      </w:r>
    </w:p>
    <w:p w14:paraId="332315A0" w14:textId="77777777" w:rsidR="002E482A" w:rsidRDefault="002E482A" w:rsidP="002E482A">
      <w:pPr>
        <w:pStyle w:val="Paragraph"/>
      </w:pPr>
    </w:p>
    <w:p w14:paraId="6D16CB90" w14:textId="46B85253" w:rsidR="002E482A" w:rsidRDefault="002E482A" w:rsidP="002E482A">
      <w:pPr>
        <w:pStyle w:val="Paragraph"/>
      </w:pPr>
      <w:r>
        <w:t xml:space="preserve">Consultation period: </w:t>
      </w:r>
      <w:r w:rsidR="00EE0333">
        <w:t>03</w:t>
      </w:r>
      <w:r>
        <w:t xml:space="preserve"> </w:t>
      </w:r>
      <w:r w:rsidR="00EE0333">
        <w:t>July</w:t>
      </w:r>
      <w:r>
        <w:t xml:space="preserve"> – </w:t>
      </w:r>
      <w:r w:rsidR="00EE0333">
        <w:t>31 July</w:t>
      </w:r>
      <w:r>
        <w:t xml:space="preserve"> 20</w:t>
      </w:r>
      <w:r w:rsidR="00EE0333">
        <w:t>25</w:t>
      </w:r>
    </w:p>
    <w:p w14:paraId="37B328B1" w14:textId="77777777" w:rsidR="0034564B" w:rsidRDefault="0034564B" w:rsidP="0034564B">
      <w:pPr>
        <w:pStyle w:val="Heading1"/>
      </w:pPr>
      <w:r>
        <w:t>Introduction</w:t>
      </w:r>
    </w:p>
    <w:p w14:paraId="6F2CCEA9" w14:textId="77777777" w:rsidR="0034564B" w:rsidRDefault="0034564B" w:rsidP="0034564B">
      <w:pPr>
        <w:pStyle w:val="Paragraph"/>
      </w:pPr>
      <w:r>
        <w:t xml:space="preserve">This paper outlines stakeholder responses from a consultation in July 2025 on the following draft indicators that are potentially suitable for use in the QOF: </w:t>
      </w:r>
    </w:p>
    <w:tbl>
      <w:tblPr>
        <w:tblStyle w:val="TableGridLight"/>
        <w:tblW w:w="8500" w:type="dxa"/>
        <w:tblLook w:val="04A0" w:firstRow="1" w:lastRow="0" w:firstColumn="1" w:lastColumn="0" w:noHBand="0" w:noVBand="1"/>
      </w:tblPr>
      <w:tblGrid>
        <w:gridCol w:w="1207"/>
        <w:gridCol w:w="3375"/>
        <w:gridCol w:w="3918"/>
      </w:tblGrid>
      <w:tr w:rsidR="002E482A" w14:paraId="597465C8" w14:textId="77777777" w:rsidTr="000E7549">
        <w:tc>
          <w:tcPr>
            <w:tcW w:w="1207" w:type="dxa"/>
          </w:tcPr>
          <w:p w14:paraId="68E0C9EA" w14:textId="78A4363A" w:rsidR="002E482A" w:rsidRDefault="002E482A" w:rsidP="002E482A">
            <w:pPr>
              <w:pStyle w:val="Tableheading"/>
            </w:pPr>
            <w:r>
              <w:t>ID</w:t>
            </w:r>
          </w:p>
        </w:tc>
        <w:tc>
          <w:tcPr>
            <w:tcW w:w="3375" w:type="dxa"/>
          </w:tcPr>
          <w:p w14:paraId="12AF0AE6" w14:textId="0C4A53EA" w:rsidR="002E482A" w:rsidRDefault="002E482A" w:rsidP="002E482A">
            <w:pPr>
              <w:pStyle w:val="Tableheading"/>
            </w:pPr>
            <w:r>
              <w:t>Indicator</w:t>
            </w:r>
          </w:p>
        </w:tc>
        <w:tc>
          <w:tcPr>
            <w:tcW w:w="3918" w:type="dxa"/>
          </w:tcPr>
          <w:p w14:paraId="6041DAD1" w14:textId="357E2F6F" w:rsidR="002E482A" w:rsidRDefault="002E482A" w:rsidP="002E482A">
            <w:pPr>
              <w:pStyle w:val="Tableheading"/>
            </w:pPr>
            <w:r>
              <w:t xml:space="preserve">Evidence source </w:t>
            </w:r>
          </w:p>
        </w:tc>
      </w:tr>
      <w:tr w:rsidR="00165070" w14:paraId="634F290E" w14:textId="77777777" w:rsidTr="000E7549">
        <w:tc>
          <w:tcPr>
            <w:tcW w:w="1207" w:type="dxa"/>
          </w:tcPr>
          <w:p w14:paraId="64E8AA72" w14:textId="363CC616" w:rsidR="00165070" w:rsidRDefault="00DC5C03" w:rsidP="00165070">
            <w:pPr>
              <w:pStyle w:val="Tabletext"/>
            </w:pPr>
            <w:r>
              <w:t>IND315</w:t>
            </w:r>
          </w:p>
        </w:tc>
        <w:tc>
          <w:tcPr>
            <w:tcW w:w="3375" w:type="dxa"/>
          </w:tcPr>
          <w:p w14:paraId="4CDFC0EA" w14:textId="1A6F3877" w:rsidR="00165070" w:rsidRDefault="00165070" w:rsidP="00165070">
            <w:pPr>
              <w:pStyle w:val="Tabletext"/>
            </w:pPr>
            <w:r w:rsidRPr="00165070">
              <w:t>The percentage of patients with asthma on the register with a risk factor for poor outcomes, who have had an asthma review in the preceding 12 months that includes an assessment of asthma control, a recording of the number of exacerbations, an assessment of inhaler technique and a written personalised action plan.</w:t>
            </w:r>
          </w:p>
        </w:tc>
        <w:tc>
          <w:tcPr>
            <w:tcW w:w="3918" w:type="dxa"/>
          </w:tcPr>
          <w:p w14:paraId="3EF8A142" w14:textId="74B16AD3" w:rsidR="00165070" w:rsidRDefault="006A334C" w:rsidP="00165070">
            <w:pPr>
              <w:pStyle w:val="Tabletext"/>
            </w:pPr>
            <w:hyperlink r:id="rId8" w:history="1">
              <w:r w:rsidRPr="006A334C">
                <w:rPr>
                  <w:rStyle w:val="Hyperlink"/>
                </w:rPr>
                <w:t xml:space="preserve">BTS / NICE / SIGN guideline on asthma: diagnosis, </w:t>
              </w:r>
              <w:proofErr w:type="gramStart"/>
              <w:r w:rsidRPr="006A334C">
                <w:rPr>
                  <w:rStyle w:val="Hyperlink"/>
                </w:rPr>
                <w:t>monitoring</w:t>
              </w:r>
              <w:proofErr w:type="gramEnd"/>
              <w:r w:rsidRPr="006A334C">
                <w:rPr>
                  <w:rStyle w:val="Hyperlink"/>
                </w:rPr>
                <w:t xml:space="preserve"> and chronic asthma management</w:t>
              </w:r>
            </w:hyperlink>
            <w:r w:rsidRPr="006A334C">
              <w:t xml:space="preserve"> (2024) recommendations 1.5.1, 1.5.2, 1.14.1, 1.14.2, 1.15.1 and 1.16.1.</w:t>
            </w:r>
          </w:p>
        </w:tc>
      </w:tr>
      <w:tr w:rsidR="002E482A" w14:paraId="4C6607E0" w14:textId="77777777" w:rsidTr="000E7549">
        <w:tc>
          <w:tcPr>
            <w:tcW w:w="1207" w:type="dxa"/>
          </w:tcPr>
          <w:p w14:paraId="6EE6F43F" w14:textId="35ED2CD9" w:rsidR="002E482A" w:rsidRDefault="00DC5C03" w:rsidP="002E482A">
            <w:pPr>
              <w:pStyle w:val="Tabletext"/>
            </w:pPr>
            <w:r>
              <w:t>IND316</w:t>
            </w:r>
          </w:p>
        </w:tc>
        <w:tc>
          <w:tcPr>
            <w:tcW w:w="3375" w:type="dxa"/>
          </w:tcPr>
          <w:p w14:paraId="2D34FFE3" w14:textId="72161444" w:rsidR="002E482A" w:rsidRDefault="00011F89" w:rsidP="002E482A">
            <w:pPr>
              <w:pStyle w:val="Tabletext"/>
            </w:pPr>
            <w:r w:rsidRPr="00011F89">
              <w:t xml:space="preserve">The percentage of patients with asthma aged 12 years or over with a risk factor for poor outcomes who are </w:t>
            </w:r>
            <w:r w:rsidR="00C80393">
              <w:t xml:space="preserve">prescribed </w:t>
            </w:r>
            <w:r w:rsidRPr="00011F89">
              <w:t>maintenance and reliever therapy (MART).</w:t>
            </w:r>
          </w:p>
        </w:tc>
        <w:tc>
          <w:tcPr>
            <w:tcW w:w="3918" w:type="dxa"/>
          </w:tcPr>
          <w:p w14:paraId="654969A0" w14:textId="16F6E30A" w:rsidR="002E482A" w:rsidRPr="000E7549" w:rsidRDefault="000E7549" w:rsidP="002E482A">
            <w:pPr>
              <w:pStyle w:val="Tabletext"/>
              <w:rPr>
                <w:b/>
                <w:bCs/>
              </w:rPr>
            </w:pPr>
            <w:hyperlink r:id="rId9" w:history="1">
              <w:r w:rsidRPr="000E7549">
                <w:rPr>
                  <w:rStyle w:val="Hyperlink"/>
                </w:rPr>
                <w:t xml:space="preserve">BTS / NICE / SIGN guideline on asthma: diagnosis, </w:t>
              </w:r>
              <w:proofErr w:type="gramStart"/>
              <w:r w:rsidRPr="000E7549">
                <w:rPr>
                  <w:rStyle w:val="Hyperlink"/>
                </w:rPr>
                <w:t>monitoring</w:t>
              </w:r>
              <w:proofErr w:type="gramEnd"/>
              <w:r w:rsidRPr="000E7549">
                <w:rPr>
                  <w:rStyle w:val="Hyperlink"/>
                </w:rPr>
                <w:t xml:space="preserve"> and chronic asthma management</w:t>
              </w:r>
            </w:hyperlink>
            <w:r w:rsidRPr="000E7549">
              <w:t xml:space="preserve"> (2024) recommendations 1.7.3, 1.7.4, 1.7.8, 1.7.9 and 1.15.1.</w:t>
            </w:r>
          </w:p>
        </w:tc>
      </w:tr>
    </w:tbl>
    <w:p w14:paraId="33AEDD31" w14:textId="56687B50" w:rsidR="002E482A" w:rsidRDefault="002E482A" w:rsidP="002E482A">
      <w:pPr>
        <w:pStyle w:val="Paragraph"/>
      </w:pPr>
    </w:p>
    <w:p w14:paraId="014F9617" w14:textId="653DA4A7" w:rsidR="002E482A" w:rsidRDefault="002E482A" w:rsidP="002E482A">
      <w:pPr>
        <w:pStyle w:val="Paragraph"/>
      </w:pPr>
    </w:p>
    <w:p w14:paraId="08E292A2" w14:textId="7720085F" w:rsidR="002E482A" w:rsidRDefault="002E482A" w:rsidP="002E482A">
      <w:pPr>
        <w:pStyle w:val="Paragraph"/>
      </w:pPr>
    </w:p>
    <w:p w14:paraId="22EE1535" w14:textId="02AA9377" w:rsidR="002E482A" w:rsidRDefault="002E482A">
      <w:pPr>
        <w:rPr>
          <w:rFonts w:ascii="Arial" w:hAnsi="Arial"/>
          <w:lang w:eastAsia="en-US"/>
        </w:rPr>
      </w:pPr>
      <w:r>
        <w:br w:type="page"/>
      </w:r>
    </w:p>
    <w:p w14:paraId="454C45B1" w14:textId="77777777" w:rsidR="002E482A" w:rsidRDefault="002E482A" w:rsidP="002E482A">
      <w:pPr>
        <w:pStyle w:val="Heading1"/>
      </w:pPr>
      <w:bookmarkStart w:id="0" w:name="_Toc206596219"/>
      <w:r>
        <w:lastRenderedPageBreak/>
        <w:t>General comments</w:t>
      </w:r>
      <w:bookmarkEnd w:id="0"/>
      <w:r>
        <w:t xml:space="preserve"> </w:t>
      </w:r>
    </w:p>
    <w:p w14:paraId="77FE4449" w14:textId="26E9F728" w:rsidR="000D5EC9" w:rsidRPr="000D5EC9" w:rsidRDefault="000D5EC9" w:rsidP="000D5EC9">
      <w:pPr>
        <w:pStyle w:val="Heading3"/>
      </w:pPr>
      <w:r>
        <w:t>Inequalities</w:t>
      </w:r>
    </w:p>
    <w:p w14:paraId="5098B10C" w14:textId="610C52FC" w:rsidR="0069235E" w:rsidRDefault="00422305" w:rsidP="0069235E">
      <w:pPr>
        <w:pStyle w:val="ParagraphNumbered"/>
      </w:pPr>
      <w:r>
        <w:t>Stakeholders agreed w</w:t>
      </w:r>
      <w:r w:rsidR="00096885">
        <w:t>ith the need to consider</w:t>
      </w:r>
      <w:r w:rsidR="004E230A">
        <w:t xml:space="preserve"> the issues</w:t>
      </w:r>
      <w:r w:rsidR="00606EEF">
        <w:t xml:space="preserve"> set out in the </w:t>
      </w:r>
      <w:r w:rsidR="00606EEF" w:rsidRPr="00606EEF">
        <w:t xml:space="preserve">equality and health inequalities assessment for the indicators </w:t>
      </w:r>
      <w:r w:rsidR="00A443C0">
        <w:t>(</w:t>
      </w:r>
      <w:r w:rsidR="00DD0A30">
        <w:t>e.g</w:t>
      </w:r>
      <w:r w:rsidR="00A443C0">
        <w:t>. that</w:t>
      </w:r>
      <w:r w:rsidR="00606EEF" w:rsidRPr="00606EEF">
        <w:t xml:space="preserve"> lower socio-economic groups have higher rates of uncontrolled asthma and poorer outcomes</w:t>
      </w:r>
      <w:r w:rsidR="00A443C0">
        <w:t>)</w:t>
      </w:r>
      <w:r w:rsidR="00606EEF" w:rsidRPr="00606EEF">
        <w:t>.</w:t>
      </w:r>
      <w:r w:rsidR="00A443C0">
        <w:t xml:space="preserve"> A</w:t>
      </w:r>
      <w:r w:rsidR="00FD248A">
        <w:t xml:space="preserve"> specific</w:t>
      </w:r>
      <w:r w:rsidR="004E230A">
        <w:t xml:space="preserve"> example </w:t>
      </w:r>
      <w:r w:rsidR="00F34816">
        <w:t>provided was</w:t>
      </w:r>
      <w:r w:rsidR="00096885">
        <w:t xml:space="preserve"> </w:t>
      </w:r>
      <w:r w:rsidR="00933ADA">
        <w:t xml:space="preserve">that </w:t>
      </w:r>
      <w:r w:rsidR="00A500F0">
        <w:t xml:space="preserve">people from </w:t>
      </w:r>
      <w:r w:rsidR="00A500F0" w:rsidRPr="00A500F0">
        <w:t xml:space="preserve">deprived backgrounds are less likely to receive </w:t>
      </w:r>
      <w:r w:rsidR="004E230A">
        <w:t xml:space="preserve">annual </w:t>
      </w:r>
      <w:r w:rsidR="00A500F0" w:rsidRPr="00A500F0">
        <w:t>reviews.</w:t>
      </w:r>
    </w:p>
    <w:p w14:paraId="3F403176" w14:textId="77777777" w:rsidR="00C90D44" w:rsidRDefault="00C90D44" w:rsidP="000D5EC9">
      <w:pPr>
        <w:pStyle w:val="Heading3"/>
      </w:pPr>
      <w:r>
        <w:t xml:space="preserve">Definition of </w:t>
      </w:r>
      <w:proofErr w:type="gramStart"/>
      <w:r>
        <w:t>high risk</w:t>
      </w:r>
      <w:proofErr w:type="gramEnd"/>
    </w:p>
    <w:p w14:paraId="6F114175" w14:textId="31134348" w:rsidR="00BB01FC" w:rsidRPr="00BB01FC" w:rsidRDefault="00BB01FC" w:rsidP="00BB01FC">
      <w:pPr>
        <w:pStyle w:val="ParagraphNumbered"/>
      </w:pPr>
      <w:r w:rsidRPr="00BB01FC">
        <w:t xml:space="preserve">There was </w:t>
      </w:r>
      <w:r>
        <w:t xml:space="preserve">general </w:t>
      </w:r>
      <w:r w:rsidRPr="00BB01FC">
        <w:t xml:space="preserve">agreement from stakeholders that </w:t>
      </w:r>
      <w:r w:rsidR="00327E58" w:rsidRPr="00327E58">
        <w:t xml:space="preserve">short-acting beta2 agonist </w:t>
      </w:r>
      <w:r w:rsidR="00327E58">
        <w:t>(</w:t>
      </w:r>
      <w:r w:rsidRPr="00BB01FC">
        <w:t>SABA</w:t>
      </w:r>
      <w:r w:rsidR="00327E58">
        <w:t>)</w:t>
      </w:r>
      <w:r w:rsidRPr="00BB01FC">
        <w:t xml:space="preserve"> overuse, </w:t>
      </w:r>
      <w:r w:rsidR="00357DCB">
        <w:t>o</w:t>
      </w:r>
      <w:r w:rsidR="00357DCB" w:rsidRPr="00357DCB">
        <w:t>ral corticosteroid</w:t>
      </w:r>
      <w:r w:rsidR="00327E58">
        <w:t xml:space="preserve"> (OCS)</w:t>
      </w:r>
      <w:r w:rsidR="00357DCB">
        <w:t xml:space="preserve"> use</w:t>
      </w:r>
      <w:r w:rsidRPr="00BB01FC">
        <w:t>, emergency department</w:t>
      </w:r>
      <w:r w:rsidR="00EC21B2">
        <w:t xml:space="preserve"> (ED)</w:t>
      </w:r>
      <w:r w:rsidRPr="00BB01FC">
        <w:t xml:space="preserve"> </w:t>
      </w:r>
      <w:proofErr w:type="gramStart"/>
      <w:r w:rsidRPr="00BB01FC">
        <w:t>visits</w:t>
      </w:r>
      <w:proofErr w:type="gramEnd"/>
      <w:r w:rsidRPr="00BB01FC">
        <w:t xml:space="preserve"> and hospital admission </w:t>
      </w:r>
      <w:r w:rsidR="00FD248A">
        <w:t>are</w:t>
      </w:r>
      <w:r w:rsidRPr="00BB01FC">
        <w:t xml:space="preserve"> appropriate risk factors for poor outcomes.</w:t>
      </w:r>
    </w:p>
    <w:p w14:paraId="328984BA" w14:textId="745904B0" w:rsidR="00C90D44" w:rsidRDefault="001F671C" w:rsidP="00C90D44">
      <w:pPr>
        <w:pStyle w:val="ParagraphNumbered"/>
      </w:pPr>
      <w:r>
        <w:t xml:space="preserve">A stakeholder expressed concern that the </w:t>
      </w:r>
      <w:r w:rsidR="00655AF9">
        <w:t>list of risk factors</w:t>
      </w:r>
      <w:r w:rsidR="00C90D44">
        <w:t xml:space="preserve"> </w:t>
      </w:r>
      <w:r w:rsidR="00655AF9">
        <w:t xml:space="preserve">for poor outcomes in the indicator definition </w:t>
      </w:r>
      <w:r w:rsidR="00C90D44">
        <w:t>may lead to less recognition of other risk factors such as food allergy.</w:t>
      </w:r>
    </w:p>
    <w:p w14:paraId="670A6DF1" w14:textId="44A6C4B5" w:rsidR="00B06CA7" w:rsidRDefault="00B06CA7" w:rsidP="00B06CA7">
      <w:pPr>
        <w:pStyle w:val="Heading3"/>
      </w:pPr>
      <w:r>
        <w:t>Validity of NICE</w:t>
      </w:r>
      <w:r w:rsidR="009D775F">
        <w:t xml:space="preserve">’s indicator </w:t>
      </w:r>
      <w:r>
        <w:t>testing</w:t>
      </w:r>
      <w:r w:rsidR="009D775F">
        <w:t xml:space="preserve"> in CPRD</w:t>
      </w:r>
    </w:p>
    <w:p w14:paraId="0AD2BC79" w14:textId="293DA802" w:rsidR="005D50BE" w:rsidRDefault="00B06CA7" w:rsidP="00F41D30">
      <w:pPr>
        <w:pStyle w:val="ParagraphNumbered"/>
      </w:pPr>
      <w:r>
        <w:t>A stakeholder queried the figures from NICE</w:t>
      </w:r>
      <w:r w:rsidR="009D775F">
        <w:t>’s</w:t>
      </w:r>
      <w:r>
        <w:t xml:space="preserve"> testing of the indicator </w:t>
      </w:r>
      <w:r w:rsidR="009D775F">
        <w:t>in CPRD. NICE</w:t>
      </w:r>
      <w:r w:rsidR="00FC7FC2">
        <w:t xml:space="preserve"> found that</w:t>
      </w:r>
      <w:r w:rsidR="009D775F">
        <w:t xml:space="preserve"> </w:t>
      </w:r>
      <w:r w:rsidR="00B90A4A">
        <w:t xml:space="preserve">28% of all patients aged </w:t>
      </w:r>
      <w:r w:rsidR="00392420">
        <w:t xml:space="preserve">6 years or over </w:t>
      </w:r>
      <w:r w:rsidR="00FC7FC2">
        <w:t xml:space="preserve">with asthma </w:t>
      </w:r>
      <w:r w:rsidR="00B90A4A">
        <w:t>on the</w:t>
      </w:r>
      <w:r w:rsidR="00392420">
        <w:t xml:space="preserve"> register </w:t>
      </w:r>
      <w:r w:rsidR="00FC7FC2">
        <w:t xml:space="preserve">had </w:t>
      </w:r>
      <w:r w:rsidR="00F41D30">
        <w:t>1</w:t>
      </w:r>
      <w:r w:rsidR="00957BEF">
        <w:t xml:space="preserve"> or more</w:t>
      </w:r>
      <w:r w:rsidR="00F41D30">
        <w:t xml:space="preserve"> risk factor for poor outcomes (i.e. 6+ SABA, 2+ OC</w:t>
      </w:r>
      <w:r w:rsidR="00957BEF">
        <w:t>S</w:t>
      </w:r>
      <w:r w:rsidR="00D017B4">
        <w:t xml:space="preserve">, </w:t>
      </w:r>
      <w:r w:rsidR="00F41D30">
        <w:t>2</w:t>
      </w:r>
      <w:r w:rsidR="00D017B4">
        <w:t xml:space="preserve">+ ED visits </w:t>
      </w:r>
      <w:r w:rsidR="00F41D30">
        <w:t>for asthma</w:t>
      </w:r>
      <w:r w:rsidR="00D017B4">
        <w:t>,</w:t>
      </w:r>
      <w:r w:rsidR="00D8733A">
        <w:t xml:space="preserve"> or a</w:t>
      </w:r>
      <w:r w:rsidR="00F41D30">
        <w:t>ny hospital admission for asthma</w:t>
      </w:r>
      <w:r w:rsidR="00D8733A">
        <w:t xml:space="preserve">). </w:t>
      </w:r>
      <w:r w:rsidR="00591CA3">
        <w:t xml:space="preserve">The stakeholder </w:t>
      </w:r>
      <w:r w:rsidR="00740C4C">
        <w:t xml:space="preserve">noted that </w:t>
      </w:r>
      <w:r w:rsidR="00CC0BDF">
        <w:t xml:space="preserve">based on </w:t>
      </w:r>
      <w:r w:rsidR="00B65E9F">
        <w:t>how</w:t>
      </w:r>
      <w:r w:rsidR="00CC0BDF">
        <w:t xml:space="preserve"> </w:t>
      </w:r>
      <w:r w:rsidR="00740C4C" w:rsidRPr="00740C4C">
        <w:t xml:space="preserve">most studies/guidelines </w:t>
      </w:r>
      <w:r w:rsidR="00CC0BDF">
        <w:t xml:space="preserve">define </w:t>
      </w:r>
      <w:r w:rsidR="00CC0BDF" w:rsidRPr="00CC0BDF">
        <w:t xml:space="preserve">an asthma attack/exacerbation </w:t>
      </w:r>
      <w:r w:rsidR="00CC0BDF">
        <w:t>(i.e OCS</w:t>
      </w:r>
      <w:r w:rsidR="00740C4C" w:rsidRPr="00740C4C">
        <w:t xml:space="preserve">, </w:t>
      </w:r>
      <w:r w:rsidR="00CC0BDF">
        <w:t>ED visit,</w:t>
      </w:r>
      <w:r w:rsidR="00740C4C" w:rsidRPr="00740C4C">
        <w:t xml:space="preserve"> hospital</w:t>
      </w:r>
      <w:r w:rsidR="00CC0BDF">
        <w:t xml:space="preserve"> admission</w:t>
      </w:r>
      <w:r w:rsidR="00740C4C" w:rsidRPr="00740C4C">
        <w:t>)</w:t>
      </w:r>
      <w:r w:rsidR="00CC0BDF">
        <w:t xml:space="preserve">, </w:t>
      </w:r>
      <w:r w:rsidR="00740C4C" w:rsidRPr="00740C4C">
        <w:t>th</w:t>
      </w:r>
      <w:r w:rsidR="00CC0BDF">
        <w:t>e NICE</w:t>
      </w:r>
      <w:r w:rsidR="00740C4C" w:rsidRPr="00740C4C">
        <w:t xml:space="preserve"> data </w:t>
      </w:r>
      <w:r w:rsidR="00CC0BDF">
        <w:t>are</w:t>
      </w:r>
      <w:r w:rsidR="00740C4C" w:rsidRPr="00740C4C">
        <w:t xml:space="preserve"> saying </w:t>
      </w:r>
      <w:r w:rsidR="003664AE">
        <w:t xml:space="preserve">that </w:t>
      </w:r>
      <w:r w:rsidR="00740C4C" w:rsidRPr="00740C4C">
        <w:t>around one third of all asthma patients have 2 or more asthma attacks a year or use 6</w:t>
      </w:r>
      <w:r w:rsidR="00CC0BDF">
        <w:t>+</w:t>
      </w:r>
      <w:r w:rsidR="00740C4C" w:rsidRPr="00740C4C">
        <w:t xml:space="preserve"> SABA. Th</w:t>
      </w:r>
      <w:r w:rsidR="003664AE">
        <w:t xml:space="preserve">ey believed this </w:t>
      </w:r>
      <w:r w:rsidR="00624E83">
        <w:t xml:space="preserve">was </w:t>
      </w:r>
      <w:r w:rsidR="003664AE">
        <w:t>not</w:t>
      </w:r>
      <w:r w:rsidR="00F76B96">
        <w:t xml:space="preserve"> </w:t>
      </w:r>
      <w:r w:rsidR="003664AE">
        <w:t xml:space="preserve">the case </w:t>
      </w:r>
      <w:r w:rsidR="00740C4C" w:rsidRPr="00740C4C">
        <w:t>in any study</w:t>
      </w:r>
      <w:r w:rsidR="003664AE">
        <w:t>, and it</w:t>
      </w:r>
      <w:r w:rsidR="00740C4C" w:rsidRPr="00740C4C">
        <w:t xml:space="preserve"> is </w:t>
      </w:r>
      <w:proofErr w:type="gramStart"/>
      <w:r w:rsidR="00740C4C" w:rsidRPr="00740C4C">
        <w:t>likely th</w:t>
      </w:r>
      <w:r w:rsidR="003664AE">
        <w:t>e</w:t>
      </w:r>
      <w:proofErr w:type="gramEnd"/>
      <w:r w:rsidR="00740C4C" w:rsidRPr="00740C4C">
        <w:t xml:space="preserve"> 28% includes people misclassified as asthma when they </w:t>
      </w:r>
      <w:proofErr w:type="gramStart"/>
      <w:r w:rsidR="00740C4C" w:rsidRPr="00740C4C">
        <w:t>actually have</w:t>
      </w:r>
      <w:proofErr w:type="gramEnd"/>
      <w:r w:rsidR="00740C4C" w:rsidRPr="00740C4C">
        <w:t xml:space="preserve"> COPD - a common issue in CPRD studies.</w:t>
      </w:r>
      <w:r w:rsidR="00F461BB">
        <w:t xml:space="preserve"> </w:t>
      </w:r>
    </w:p>
    <w:p w14:paraId="6D5A7F21" w14:textId="62C67657" w:rsidR="00F461BB" w:rsidRDefault="00F461BB" w:rsidP="00F41D30">
      <w:pPr>
        <w:pStyle w:val="ParagraphNumbered"/>
      </w:pPr>
      <w:r>
        <w:t xml:space="preserve">The stakeholder supplied a list of </w:t>
      </w:r>
      <w:proofErr w:type="gramStart"/>
      <w:r>
        <w:t>7</w:t>
      </w:r>
      <w:proofErr w:type="gramEnd"/>
      <w:r>
        <w:t xml:space="preserve"> </w:t>
      </w:r>
      <w:r w:rsidR="00175E3B">
        <w:t>papers</w:t>
      </w:r>
      <w:r>
        <w:t xml:space="preserve"> to support the</w:t>
      </w:r>
      <w:r w:rsidR="007201D3">
        <w:t xml:space="preserve"> above</w:t>
      </w:r>
      <w:r>
        <w:t xml:space="preserve"> comment. NICE has </w:t>
      </w:r>
      <w:r w:rsidR="001F1C6D">
        <w:t>analys</w:t>
      </w:r>
      <w:r>
        <w:t xml:space="preserve">ed these </w:t>
      </w:r>
      <w:r w:rsidR="00175E3B">
        <w:t>paper</w:t>
      </w:r>
      <w:r>
        <w:t xml:space="preserve">s and </w:t>
      </w:r>
      <w:r w:rsidR="002549B6">
        <w:t xml:space="preserve">did not </w:t>
      </w:r>
      <w:r>
        <w:t>f</w:t>
      </w:r>
      <w:r w:rsidR="002549B6">
        <w:t>i</w:t>
      </w:r>
      <w:r>
        <w:t xml:space="preserve">nd any of the data for SABA, </w:t>
      </w:r>
      <w:r w:rsidRPr="00F461BB">
        <w:t>OCS, ED visit</w:t>
      </w:r>
      <w:r>
        <w:t>s</w:t>
      </w:r>
      <w:r w:rsidRPr="00F461BB">
        <w:t>, hospital admission</w:t>
      </w:r>
      <w:r>
        <w:t xml:space="preserve">s or exacerbations to </w:t>
      </w:r>
      <w:r w:rsidR="00D13C63">
        <w:lastRenderedPageBreak/>
        <w:t xml:space="preserve">significantly </w:t>
      </w:r>
      <w:r w:rsidR="00352EE2">
        <w:t xml:space="preserve">challenge the figures </w:t>
      </w:r>
      <w:r w:rsidR="00BF1B16">
        <w:t xml:space="preserve">from the </w:t>
      </w:r>
      <w:r w:rsidR="008C1288">
        <w:t xml:space="preserve">NICE </w:t>
      </w:r>
      <w:r w:rsidR="00BF1B16">
        <w:t>CPRD testing</w:t>
      </w:r>
      <w:r w:rsidR="001F1C6D">
        <w:t xml:space="preserve"> (see </w:t>
      </w:r>
      <w:hyperlink w:anchor="_Appendix_A:_Analysis" w:history="1">
        <w:r w:rsidR="001F1C6D" w:rsidRPr="0042206F">
          <w:rPr>
            <w:rStyle w:val="Hyperlink"/>
          </w:rPr>
          <w:t>Appendix A</w:t>
        </w:r>
      </w:hyperlink>
      <w:r w:rsidR="001F1C6D">
        <w:t xml:space="preserve"> for analysis of the </w:t>
      </w:r>
      <w:r w:rsidR="00175E3B">
        <w:t>paper</w:t>
      </w:r>
      <w:r w:rsidR="001F1C6D">
        <w:t>s)</w:t>
      </w:r>
      <w:r w:rsidR="00BF1B16">
        <w:t>.</w:t>
      </w:r>
    </w:p>
    <w:p w14:paraId="03B280E9" w14:textId="77777777" w:rsidR="002E482A" w:rsidRDefault="002E482A" w:rsidP="002E482A">
      <w:pPr>
        <w:pStyle w:val="Heading2"/>
      </w:pPr>
      <w:r>
        <w:t xml:space="preserve">Considerations for the advisory committee </w:t>
      </w:r>
    </w:p>
    <w:p w14:paraId="72080FBB" w14:textId="77777777" w:rsidR="002E482A" w:rsidRDefault="002E482A" w:rsidP="004C3087">
      <w:pPr>
        <w:pStyle w:val="ParagraphNumbered"/>
      </w:pPr>
      <w:r>
        <w:t xml:space="preserve">The committee </w:t>
      </w:r>
      <w:proofErr w:type="gramStart"/>
      <w:r>
        <w:t>is asked</w:t>
      </w:r>
      <w:proofErr w:type="gramEnd"/>
      <w:r>
        <w:t xml:space="preserve"> to consider: </w:t>
      </w:r>
    </w:p>
    <w:p w14:paraId="42218FD9" w14:textId="2FF7FF25" w:rsidR="00655AF9" w:rsidRDefault="00655AF9" w:rsidP="002E482A">
      <w:pPr>
        <w:pStyle w:val="Bullets"/>
      </w:pPr>
      <w:r>
        <w:t xml:space="preserve">Whether the current list of </w:t>
      </w:r>
      <w:r w:rsidRPr="00655AF9">
        <w:t>risk factors</w:t>
      </w:r>
      <w:r>
        <w:t xml:space="preserve"> for poor outcomes</w:t>
      </w:r>
      <w:r w:rsidRPr="00655AF9">
        <w:t xml:space="preserve"> may lead to less recognition of other risk factors such as food allergy.</w:t>
      </w:r>
    </w:p>
    <w:p w14:paraId="61D137A9" w14:textId="74D289D9" w:rsidR="004477B9" w:rsidRDefault="004477B9" w:rsidP="002E482A">
      <w:pPr>
        <w:pStyle w:val="Bullets"/>
      </w:pPr>
      <w:r>
        <w:t>W</w:t>
      </w:r>
      <w:r w:rsidR="001F3615">
        <w:t xml:space="preserve">hether papers supplied to the consultation </w:t>
      </w:r>
      <w:r w:rsidR="00487205">
        <w:t>cast doubt on</w:t>
      </w:r>
      <w:r w:rsidR="00A11B56">
        <w:t xml:space="preserve"> NICE findings from </w:t>
      </w:r>
      <w:r w:rsidR="009C4FA7">
        <w:t>CPRD testing</w:t>
      </w:r>
      <w:r w:rsidR="00A11B56" w:rsidRPr="00A11B56">
        <w:t xml:space="preserve"> that 28% of all patients aged 6 years or over with asthma on the register had </w:t>
      </w:r>
      <w:proofErr w:type="gramStart"/>
      <w:r w:rsidR="00A11B56" w:rsidRPr="00A11B56">
        <w:t>1</w:t>
      </w:r>
      <w:proofErr w:type="gramEnd"/>
      <w:r w:rsidR="00A11B56" w:rsidRPr="00A11B56">
        <w:t xml:space="preserve"> or more risk factor for poor outcomes</w:t>
      </w:r>
      <w:r w:rsidR="009C4FA7">
        <w:t>.</w:t>
      </w:r>
    </w:p>
    <w:p w14:paraId="64E7E224" w14:textId="7F1AD814" w:rsidR="002E482A" w:rsidRDefault="002E482A" w:rsidP="002E482A">
      <w:pPr>
        <w:pStyle w:val="Paragraph"/>
      </w:pPr>
    </w:p>
    <w:p w14:paraId="43E080FC" w14:textId="16C117FE" w:rsidR="002E482A" w:rsidRDefault="002E482A" w:rsidP="002E482A">
      <w:pPr>
        <w:pStyle w:val="Paragraph"/>
      </w:pPr>
    </w:p>
    <w:p w14:paraId="08C239F4" w14:textId="1E35EE7B" w:rsidR="002E482A" w:rsidRDefault="002E482A">
      <w:pPr>
        <w:rPr>
          <w:rFonts w:ascii="Arial" w:hAnsi="Arial"/>
          <w:lang w:eastAsia="en-US"/>
        </w:rPr>
      </w:pPr>
      <w:r>
        <w:br w:type="page"/>
      </w:r>
    </w:p>
    <w:p w14:paraId="1B462245" w14:textId="188A5E40" w:rsidR="00DE4BAF" w:rsidRDefault="00662978" w:rsidP="00DE4BAF">
      <w:pPr>
        <w:pStyle w:val="Heading1"/>
      </w:pPr>
      <w:bookmarkStart w:id="1" w:name="_Toc206596220"/>
      <w:r w:rsidRPr="00662978">
        <w:lastRenderedPageBreak/>
        <w:t>Asthma: annual review (high</w:t>
      </w:r>
      <w:r w:rsidR="00621140">
        <w:t>er</w:t>
      </w:r>
      <w:r w:rsidRPr="00662978">
        <w:t xml:space="preserve"> risk patients)</w:t>
      </w:r>
      <w:bookmarkEnd w:id="1"/>
      <w:r w:rsidR="00DE4BAF">
        <w:t xml:space="preserve"> </w:t>
      </w:r>
    </w:p>
    <w:p w14:paraId="6C9D7639" w14:textId="0D261025" w:rsidR="00DE4BAF" w:rsidRDefault="00FF1480" w:rsidP="00DE4BAF">
      <w:pPr>
        <w:pStyle w:val="Paragraph"/>
      </w:pPr>
      <w:r w:rsidRPr="00FF1480">
        <w:t>IND</w:t>
      </w:r>
      <w:r w:rsidR="00621140">
        <w:t>315</w:t>
      </w:r>
      <w:r w:rsidRPr="00FF1480">
        <w:t>: The percentage of patients with asthma on the register with a risk factor for poor outcomes, who have had an asthma review in the preceding 12 months that includes an assessment of asthma control, a recording of the number of exacerbations, an assessment of inhaler technique and a written personalised action plan.</w:t>
      </w:r>
    </w:p>
    <w:p w14:paraId="6FCD5BA5" w14:textId="77777777" w:rsidR="00DE4BAF" w:rsidRDefault="00DE4BAF" w:rsidP="00DE4BAF">
      <w:pPr>
        <w:pStyle w:val="Heading2"/>
      </w:pPr>
      <w:r>
        <w:t>Rationale</w:t>
      </w:r>
    </w:p>
    <w:p w14:paraId="7C8C7E9F" w14:textId="54EE1ED6" w:rsidR="004C5E7E" w:rsidRDefault="004C5E7E" w:rsidP="004C5E7E">
      <w:pPr>
        <w:pStyle w:val="ParagraphNumbered"/>
      </w:pPr>
      <w:r>
        <w:t xml:space="preserve">NICE guidance recommends all people with asthma are reviewed at least annually, and this is reflected in existing NICE indicator </w:t>
      </w:r>
      <w:hyperlink r:id="rId10" w:history="1">
        <w:r w:rsidRPr="003166AC">
          <w:rPr>
            <w:rStyle w:val="Hyperlink"/>
          </w:rPr>
          <w:t>IND273</w:t>
        </w:r>
      </w:hyperlink>
      <w:r>
        <w:t xml:space="preserve"> (QOF AST007). This draft indicator has </w:t>
      </w:r>
      <w:proofErr w:type="gramStart"/>
      <w:r>
        <w:t>been developed</w:t>
      </w:r>
      <w:proofErr w:type="gramEnd"/>
      <w:r>
        <w:t xml:space="preserve"> as a complementary </w:t>
      </w:r>
      <w:r w:rsidR="00031FD9">
        <w:t xml:space="preserve">indicator </w:t>
      </w:r>
      <w:r>
        <w:t xml:space="preserve">to IND273 and focuses on those most at risk of poor outcomes (including death, hospital admission, and the need for out-of-hours contacts or visits to an emergency department for asthma exacerbations). A risk factor for poor outcomes </w:t>
      </w:r>
      <w:proofErr w:type="gramStart"/>
      <w:r>
        <w:t>is defined</w:t>
      </w:r>
      <w:proofErr w:type="gramEnd"/>
      <w:r>
        <w:t xml:space="preserve"> as any of the following in the year preceding the current reporting period: </w:t>
      </w:r>
    </w:p>
    <w:p w14:paraId="34E28AC1" w14:textId="77777777" w:rsidR="004C5E7E" w:rsidRDefault="004C5E7E" w:rsidP="004C5E7E">
      <w:pPr>
        <w:pStyle w:val="Bullets"/>
      </w:pPr>
      <w:proofErr w:type="gramStart"/>
      <w:r>
        <w:t>6</w:t>
      </w:r>
      <w:proofErr w:type="gramEnd"/>
      <w:r>
        <w:t xml:space="preserve"> or more short-acting beta</w:t>
      </w:r>
      <w:r w:rsidRPr="00E0011C">
        <w:rPr>
          <w:vertAlign w:val="subscript"/>
        </w:rPr>
        <w:t>2</w:t>
      </w:r>
      <w:r>
        <w:t xml:space="preserve"> agonist (SABA) inhalers </w:t>
      </w:r>
    </w:p>
    <w:p w14:paraId="71F1E4A7" w14:textId="77777777" w:rsidR="004C5E7E" w:rsidRDefault="004C5E7E" w:rsidP="004C5E7E">
      <w:pPr>
        <w:pStyle w:val="Bullets"/>
      </w:pPr>
      <w:proofErr w:type="gramStart"/>
      <w:r>
        <w:t>2</w:t>
      </w:r>
      <w:proofErr w:type="gramEnd"/>
      <w:r>
        <w:t xml:space="preserve"> or more oral corticosteroids</w:t>
      </w:r>
    </w:p>
    <w:p w14:paraId="67DDD300" w14:textId="77777777" w:rsidR="004C5E7E" w:rsidRDefault="004C5E7E" w:rsidP="004C5E7E">
      <w:pPr>
        <w:pStyle w:val="Bullets"/>
      </w:pPr>
      <w:proofErr w:type="gramStart"/>
      <w:r>
        <w:t>2</w:t>
      </w:r>
      <w:proofErr w:type="gramEnd"/>
      <w:r>
        <w:t xml:space="preserve"> or more visits to an emergency department for asthma</w:t>
      </w:r>
    </w:p>
    <w:p w14:paraId="43F49C6A" w14:textId="77777777" w:rsidR="004C5E7E" w:rsidRDefault="004C5E7E" w:rsidP="004C5E7E">
      <w:pPr>
        <w:pStyle w:val="Bullets"/>
      </w:pPr>
      <w:r>
        <w:t>Any hospital admission for asthma.</w:t>
      </w:r>
    </w:p>
    <w:p w14:paraId="5586D5E7" w14:textId="77777777" w:rsidR="00DE4BAF" w:rsidRDefault="00DE4BAF" w:rsidP="00DE4BAF">
      <w:pPr>
        <w:pStyle w:val="Heading2"/>
      </w:pPr>
      <w:r>
        <w:t>Summary of consultation comments</w:t>
      </w:r>
    </w:p>
    <w:p w14:paraId="4F04B9AD" w14:textId="598C4559" w:rsidR="00F85746" w:rsidRDefault="00286397" w:rsidP="00944006">
      <w:pPr>
        <w:pStyle w:val="Heading3"/>
      </w:pPr>
      <w:r>
        <w:t>Support for the indicator</w:t>
      </w:r>
    </w:p>
    <w:p w14:paraId="25FF8849" w14:textId="2BAA8ED1" w:rsidR="00E03FDE" w:rsidRDefault="0031460B" w:rsidP="00F85746">
      <w:pPr>
        <w:pStyle w:val="ParagraphNumbered"/>
      </w:pPr>
      <w:r>
        <w:t>Stakeholders w</w:t>
      </w:r>
      <w:r w:rsidR="00347CCB" w:rsidRPr="00347CCB">
        <w:t>elcome</w:t>
      </w:r>
      <w:r>
        <w:t>d</w:t>
      </w:r>
      <w:r w:rsidR="00347CCB" w:rsidRPr="00347CCB">
        <w:t xml:space="preserve"> th</w:t>
      </w:r>
      <w:r>
        <w:t xml:space="preserve">e </w:t>
      </w:r>
      <w:r w:rsidR="00347CCB" w:rsidRPr="00347CCB">
        <w:t>proposed indicator</w:t>
      </w:r>
      <w:r>
        <w:t>.</w:t>
      </w:r>
      <w:r w:rsidR="005565E7">
        <w:t xml:space="preserve"> It </w:t>
      </w:r>
      <w:proofErr w:type="gramStart"/>
      <w:r w:rsidR="005565E7">
        <w:t>was noted</w:t>
      </w:r>
      <w:proofErr w:type="gramEnd"/>
      <w:r w:rsidR="005565E7">
        <w:t xml:space="preserve"> </w:t>
      </w:r>
      <w:r w:rsidR="00693870">
        <w:t xml:space="preserve">that </w:t>
      </w:r>
      <w:r w:rsidR="005565E7">
        <w:t>p</w:t>
      </w:r>
      <w:r w:rsidR="00E03FDE" w:rsidRPr="00E03FDE">
        <w:t xml:space="preserve">ractices try to meet the annual review quota but often those with the most controlled asthma are the ones </w:t>
      </w:r>
      <w:r w:rsidR="00E03FDE">
        <w:t>receiving</w:t>
      </w:r>
      <w:r w:rsidR="00E03FDE" w:rsidRPr="00E03FDE">
        <w:t xml:space="preserve"> reviews.</w:t>
      </w:r>
    </w:p>
    <w:p w14:paraId="61507C46" w14:textId="632E40D7" w:rsidR="00944006" w:rsidRDefault="00944006" w:rsidP="00944006">
      <w:pPr>
        <w:pStyle w:val="Heading3"/>
      </w:pPr>
      <w:r>
        <w:t>Content</w:t>
      </w:r>
      <w:r w:rsidR="00FE6B55">
        <w:t xml:space="preserve"> </w:t>
      </w:r>
      <w:r w:rsidR="00606ABB">
        <w:t>/</w:t>
      </w:r>
      <w:r w:rsidR="00FE6B55">
        <w:t xml:space="preserve"> </w:t>
      </w:r>
      <w:r w:rsidR="00E635E2">
        <w:t>delivery</w:t>
      </w:r>
      <w:r w:rsidR="00FE6B55">
        <w:t xml:space="preserve"> / </w:t>
      </w:r>
      <w:r w:rsidR="00FE6B55" w:rsidRPr="00FE6B55">
        <w:t>frequency</w:t>
      </w:r>
      <w:r w:rsidR="00606ABB">
        <w:t xml:space="preserve"> of</w:t>
      </w:r>
      <w:r>
        <w:t xml:space="preserve"> annual review</w:t>
      </w:r>
    </w:p>
    <w:p w14:paraId="63178B98" w14:textId="54F40872" w:rsidR="00BC65D9" w:rsidRPr="00BC65D9" w:rsidRDefault="00EE3874" w:rsidP="00BC65D9">
      <w:pPr>
        <w:pStyle w:val="ParagraphNumbered"/>
      </w:pPr>
      <w:r>
        <w:t xml:space="preserve">A stakeholder noted that </w:t>
      </w:r>
      <w:r w:rsidRPr="00411F6F">
        <w:t>fractional exhaled nitric oxide</w:t>
      </w:r>
      <w:r w:rsidRPr="003F1641">
        <w:t xml:space="preserve"> </w:t>
      </w:r>
      <w:r>
        <w:t>(</w:t>
      </w:r>
      <w:r w:rsidRPr="003F1641">
        <w:t>FeNO</w:t>
      </w:r>
      <w:r>
        <w:t>)</w:t>
      </w:r>
      <w:r w:rsidRPr="003F1641">
        <w:t xml:space="preserve"> should </w:t>
      </w:r>
      <w:proofErr w:type="gramStart"/>
      <w:r w:rsidRPr="003F1641">
        <w:t>be included</w:t>
      </w:r>
      <w:proofErr w:type="gramEnd"/>
      <w:r w:rsidRPr="003F1641">
        <w:t xml:space="preserve"> in annual reviews</w:t>
      </w:r>
      <w:r>
        <w:t xml:space="preserve"> but acknowledged v</w:t>
      </w:r>
      <w:r w:rsidR="0055660C">
        <w:t>ariability in</w:t>
      </w:r>
      <w:r w:rsidR="00627E3C">
        <w:t xml:space="preserve"> a</w:t>
      </w:r>
      <w:r w:rsidR="003618E5" w:rsidRPr="003618E5">
        <w:t>ccess</w:t>
      </w:r>
      <w:r>
        <w:t>.</w:t>
      </w:r>
      <w:r w:rsidR="003618E5" w:rsidRPr="003618E5">
        <w:t xml:space="preserve"> </w:t>
      </w:r>
      <w:r w:rsidR="00421378">
        <w:t xml:space="preserve">Use of FeNO to monitor asthma control is a ‘consider’ recommendation in </w:t>
      </w:r>
      <w:hyperlink r:id="rId11" w:history="1">
        <w:r w:rsidR="003C306B" w:rsidRPr="00862273">
          <w:rPr>
            <w:rStyle w:val="Hyperlink"/>
          </w:rPr>
          <w:t xml:space="preserve">BTS/NICE/SIGN </w:t>
        </w:r>
        <w:r w:rsidR="00A358AE" w:rsidRPr="00862273">
          <w:rPr>
            <w:rStyle w:val="Hyperlink"/>
          </w:rPr>
          <w:t xml:space="preserve">guideline </w:t>
        </w:r>
        <w:r w:rsidR="003E4D01" w:rsidRPr="00862273">
          <w:rPr>
            <w:rStyle w:val="Hyperlink"/>
          </w:rPr>
          <w:t>NG245</w:t>
        </w:r>
      </w:hyperlink>
      <w:r w:rsidR="003E4D01">
        <w:t xml:space="preserve"> </w:t>
      </w:r>
      <w:r w:rsidR="00F125C7">
        <w:t xml:space="preserve">(1.5.4) </w:t>
      </w:r>
      <w:r w:rsidR="00421378">
        <w:t>with</w:t>
      </w:r>
      <w:r w:rsidR="003E4D01">
        <w:t xml:space="preserve"> the guideline committee </w:t>
      </w:r>
      <w:r w:rsidR="00106CF1">
        <w:lastRenderedPageBreak/>
        <w:t>not</w:t>
      </w:r>
      <w:r w:rsidR="00421378">
        <w:t>ing</w:t>
      </w:r>
      <w:r w:rsidR="00106CF1">
        <w:t xml:space="preserve"> </w:t>
      </w:r>
      <w:r w:rsidR="00106CF1" w:rsidRPr="00106CF1">
        <w:t>only a minority of GP practices have on-site access.</w:t>
      </w:r>
      <w:r w:rsidR="00A3142B">
        <w:t xml:space="preserve"> </w:t>
      </w:r>
      <w:r w:rsidR="007073DE">
        <w:t xml:space="preserve">The </w:t>
      </w:r>
      <w:r w:rsidR="00421378">
        <w:t>draft</w:t>
      </w:r>
      <w:r w:rsidR="00650CEF">
        <w:t xml:space="preserve"> indicator rationale</w:t>
      </w:r>
      <w:r w:rsidR="00421378">
        <w:t xml:space="preserve"> noted that</w:t>
      </w:r>
      <w:r w:rsidR="00BC65D9" w:rsidRPr="00BC65D9">
        <w:t xml:space="preserve"> the indicator will </w:t>
      </w:r>
      <w:proofErr w:type="gramStart"/>
      <w:r w:rsidR="00BC65D9" w:rsidRPr="00BC65D9">
        <w:t>be reviewed</w:t>
      </w:r>
      <w:proofErr w:type="gramEnd"/>
      <w:r w:rsidR="00BC65D9" w:rsidRPr="00BC65D9">
        <w:t xml:space="preserve"> as access to FeNO increases</w:t>
      </w:r>
      <w:r>
        <w:t>.</w:t>
      </w:r>
    </w:p>
    <w:p w14:paraId="622176B9" w14:textId="5767859A" w:rsidR="006609DB" w:rsidRDefault="00421378" w:rsidP="00F71802">
      <w:pPr>
        <w:pStyle w:val="ParagraphNumbered"/>
      </w:pPr>
      <w:r>
        <w:t xml:space="preserve">A stakeholder felt </w:t>
      </w:r>
      <w:r w:rsidR="00AE6A61">
        <w:t>that</w:t>
      </w:r>
      <w:r w:rsidR="004C4B88">
        <w:t xml:space="preserve"> the</w:t>
      </w:r>
      <w:r w:rsidR="006609DB" w:rsidRPr="006609DB">
        <w:t xml:space="preserve"> </w:t>
      </w:r>
      <w:r w:rsidR="005B1992">
        <w:t>indicator</w:t>
      </w:r>
      <w:r w:rsidR="006609DB" w:rsidRPr="006609DB">
        <w:t xml:space="preserve"> would benefit from a clearer description of </w:t>
      </w:r>
      <w:r w:rsidR="004C4B88">
        <w:t>‘</w:t>
      </w:r>
      <w:r w:rsidR="006609DB" w:rsidRPr="006609DB">
        <w:t xml:space="preserve">an </w:t>
      </w:r>
      <w:bookmarkStart w:id="2" w:name="_Hlk206163974"/>
      <w:r w:rsidR="006609DB" w:rsidRPr="006609DB">
        <w:t>assessment of asthma control</w:t>
      </w:r>
      <w:r w:rsidR="004C4B88">
        <w:t xml:space="preserve">’ </w:t>
      </w:r>
      <w:bookmarkEnd w:id="2"/>
      <w:r w:rsidR="00004395">
        <w:t>e.g.</w:t>
      </w:r>
      <w:r w:rsidR="00B4261E">
        <w:t xml:space="preserve"> </w:t>
      </w:r>
      <w:r w:rsidR="00083548" w:rsidRPr="00083548">
        <w:t xml:space="preserve">an assessment of existing treatment to assess reliever inhaler and </w:t>
      </w:r>
      <w:r w:rsidR="00397557">
        <w:t>OCS</w:t>
      </w:r>
      <w:r w:rsidR="00083548" w:rsidRPr="00083548">
        <w:t xml:space="preserve"> use and ensure patients </w:t>
      </w:r>
      <w:proofErr w:type="gramStart"/>
      <w:r w:rsidR="00083548" w:rsidRPr="00083548">
        <w:t>are optimised</w:t>
      </w:r>
      <w:proofErr w:type="gramEnd"/>
      <w:r w:rsidR="00083548" w:rsidRPr="00083548">
        <w:t xml:space="preserve"> on the right treatment</w:t>
      </w:r>
      <w:r w:rsidR="00B4261E">
        <w:t>.</w:t>
      </w:r>
      <w:r w:rsidR="006546B6">
        <w:t xml:space="preserve"> Another stakeholder </w:t>
      </w:r>
      <w:r w:rsidR="00E531BC">
        <w:t>queried why asthma control questionnaire</w:t>
      </w:r>
      <w:r w:rsidR="00445AB5">
        <w:t xml:space="preserve">s </w:t>
      </w:r>
      <w:proofErr w:type="gramStart"/>
      <w:r w:rsidR="00445AB5">
        <w:t>are</w:t>
      </w:r>
      <w:r w:rsidR="003F421A">
        <w:t xml:space="preserve"> not included</w:t>
      </w:r>
      <w:proofErr w:type="gramEnd"/>
      <w:r w:rsidR="003F421A">
        <w:t xml:space="preserve"> </w:t>
      </w:r>
      <w:r w:rsidR="00933AC7">
        <w:t xml:space="preserve">in the indicator. </w:t>
      </w:r>
      <w:r>
        <w:t xml:space="preserve">Use of </w:t>
      </w:r>
      <w:r w:rsidRPr="00421378">
        <w:t xml:space="preserve">asthma control questionnaires </w:t>
      </w:r>
      <w:r>
        <w:t xml:space="preserve">is a ‘consider’ recommendation in </w:t>
      </w:r>
      <w:hyperlink r:id="rId12" w:history="1">
        <w:r w:rsidRPr="00862273">
          <w:rPr>
            <w:rStyle w:val="Hyperlink"/>
          </w:rPr>
          <w:t>BTS/NICE/SIGN guideline NG245</w:t>
        </w:r>
      </w:hyperlink>
      <w:r w:rsidR="002549B6">
        <w:t xml:space="preserve"> (1.5.2)</w:t>
      </w:r>
      <w:r>
        <w:t xml:space="preserve">. </w:t>
      </w:r>
    </w:p>
    <w:p w14:paraId="7ADA38D4" w14:textId="480DE8B0" w:rsidR="00663795" w:rsidRDefault="00663795" w:rsidP="00606B5E">
      <w:pPr>
        <w:pStyle w:val="ParagraphNumbered"/>
      </w:pPr>
      <w:r>
        <w:t xml:space="preserve">A stakeholder </w:t>
      </w:r>
      <w:r w:rsidR="00E77FE7">
        <w:t xml:space="preserve">felt that it was </w:t>
      </w:r>
      <w:r w:rsidR="00264E70">
        <w:t>i</w:t>
      </w:r>
      <w:r w:rsidR="00E77FE7" w:rsidRPr="00E77FE7">
        <w:t xml:space="preserve">mportant that these reviews </w:t>
      </w:r>
      <w:proofErr w:type="gramStart"/>
      <w:r w:rsidR="00E77FE7" w:rsidRPr="00E77FE7">
        <w:t>are conducted</w:t>
      </w:r>
      <w:proofErr w:type="gramEnd"/>
      <w:r w:rsidR="00E77FE7" w:rsidRPr="00E77FE7">
        <w:t xml:space="preserve"> face to face</w:t>
      </w:r>
      <w:r w:rsidR="00421378">
        <w:t>, and that text messages to assess control may not be sufficient</w:t>
      </w:r>
      <w:r w:rsidR="00E77FE7">
        <w:t>.</w:t>
      </w:r>
      <w:r w:rsidR="004C00B2">
        <w:t xml:space="preserve"> The</w:t>
      </w:r>
      <w:r w:rsidR="00541F0F">
        <w:t xml:space="preserve"> proposed</w:t>
      </w:r>
      <w:r w:rsidR="004C00B2">
        <w:t xml:space="preserve"> indicator wording includes </w:t>
      </w:r>
      <w:r w:rsidR="000A1C1A">
        <w:t>an inhaler technique check</w:t>
      </w:r>
      <w:r w:rsidR="00541F0F">
        <w:t>,</w:t>
      </w:r>
      <w:r w:rsidR="000A1C1A">
        <w:t xml:space="preserve"> which may imply reviews should ideally be </w:t>
      </w:r>
      <w:proofErr w:type="gramStart"/>
      <w:r w:rsidR="000A1C1A">
        <w:t>face</w:t>
      </w:r>
      <w:proofErr w:type="gramEnd"/>
      <w:r w:rsidR="000A1C1A">
        <w:t xml:space="preserve"> to face</w:t>
      </w:r>
      <w:r w:rsidR="001508F3">
        <w:t>.</w:t>
      </w:r>
      <w:r w:rsidR="00844458">
        <w:t xml:space="preserve"> </w:t>
      </w:r>
      <w:hyperlink r:id="rId13" w:history="1">
        <w:r w:rsidR="00A73D76" w:rsidRPr="00C5623A">
          <w:rPr>
            <w:rStyle w:val="Hyperlink"/>
          </w:rPr>
          <w:t>Asthma + Lung UK</w:t>
        </w:r>
      </w:hyperlink>
      <w:r w:rsidR="00A73D76">
        <w:t xml:space="preserve"> state</w:t>
      </w:r>
      <w:r w:rsidR="004027DD">
        <w:t>:</w:t>
      </w:r>
      <w:r w:rsidR="00A73D76">
        <w:t xml:space="preserve"> </w:t>
      </w:r>
      <w:r w:rsidR="004027DD">
        <w:t>‘</w:t>
      </w:r>
      <w:r w:rsidR="004027DD" w:rsidRPr="004027DD">
        <w:t xml:space="preserve">Asthma reviews done remotely </w:t>
      </w:r>
      <w:proofErr w:type="gramStart"/>
      <w:r w:rsidR="004027DD" w:rsidRPr="004027DD">
        <w:t>are considered</w:t>
      </w:r>
      <w:proofErr w:type="gramEnd"/>
      <w:r w:rsidR="004027DD" w:rsidRPr="004027DD">
        <w:t xml:space="preserve"> safe.</w:t>
      </w:r>
      <w:r w:rsidR="009D189C" w:rsidRPr="009D189C">
        <w:t xml:space="preserve"> They can be […] more convenient […] If you</w:t>
      </w:r>
      <w:r w:rsidR="009D189C">
        <w:t xml:space="preserve"> </w:t>
      </w:r>
      <w:r w:rsidR="00C5623A" w:rsidRPr="00C5623A">
        <w:t xml:space="preserve">are struggling with your inhaler technique or staying on top of symptoms, ask for a </w:t>
      </w:r>
      <w:proofErr w:type="gramStart"/>
      <w:r w:rsidR="00C5623A" w:rsidRPr="00C5623A">
        <w:t>face to face</w:t>
      </w:r>
      <w:proofErr w:type="gramEnd"/>
      <w:r w:rsidR="00C5623A" w:rsidRPr="00C5623A">
        <w:t xml:space="preserve"> appointment.’</w:t>
      </w:r>
    </w:p>
    <w:p w14:paraId="718981E8" w14:textId="3673C749" w:rsidR="006C78D6" w:rsidRDefault="00D27DD8" w:rsidP="005A6D08">
      <w:pPr>
        <w:pStyle w:val="ParagraphNumbered"/>
      </w:pPr>
      <w:r>
        <w:t xml:space="preserve">A stakeholder </w:t>
      </w:r>
      <w:r w:rsidR="00132A38">
        <w:t>also requested</w:t>
      </w:r>
      <w:r w:rsidR="00606B5E" w:rsidRPr="00606B5E">
        <w:t xml:space="preserve"> </w:t>
      </w:r>
      <w:r w:rsidR="00132A38">
        <w:t xml:space="preserve">that </w:t>
      </w:r>
      <w:r w:rsidR="00606B5E" w:rsidRPr="00606B5E">
        <w:t>patients who are more at risk</w:t>
      </w:r>
      <w:r w:rsidR="00132A38">
        <w:t xml:space="preserve"> (including</w:t>
      </w:r>
      <w:r w:rsidR="0031193C">
        <w:t xml:space="preserve"> factors such as</w:t>
      </w:r>
      <w:r w:rsidR="00132A38">
        <w:t xml:space="preserve"> </w:t>
      </w:r>
      <w:r w:rsidR="0031193C" w:rsidRPr="0031193C">
        <w:t>ethnicity</w:t>
      </w:r>
      <w:r w:rsidR="000960AF">
        <w:t xml:space="preserve">, </w:t>
      </w:r>
      <w:r w:rsidR="0031193C" w:rsidRPr="0031193C">
        <w:t xml:space="preserve">learning difficulties </w:t>
      </w:r>
      <w:r w:rsidR="000960AF">
        <w:t>and</w:t>
      </w:r>
      <w:r w:rsidR="0031193C" w:rsidRPr="0031193C">
        <w:t xml:space="preserve"> cognitive impairment</w:t>
      </w:r>
      <w:r w:rsidR="000960AF">
        <w:t>)</w:t>
      </w:r>
      <w:r w:rsidR="0031193C" w:rsidRPr="0031193C">
        <w:t xml:space="preserve"> </w:t>
      </w:r>
      <w:r w:rsidR="00606B5E" w:rsidRPr="00606B5E">
        <w:t>should have more frequent than annual reviews.</w:t>
      </w:r>
      <w:r w:rsidR="006C78D6">
        <w:t xml:space="preserve"> </w:t>
      </w:r>
    </w:p>
    <w:p w14:paraId="75A94D3C" w14:textId="77777777" w:rsidR="00DE4BAF" w:rsidRPr="00AF35A3" w:rsidRDefault="00DE4BAF" w:rsidP="00DE4BAF">
      <w:pPr>
        <w:pStyle w:val="Heading2"/>
      </w:pPr>
      <w:r w:rsidRPr="00AF35A3">
        <w:t xml:space="preserve">Specific question/s included at </w:t>
      </w:r>
      <w:proofErr w:type="gramStart"/>
      <w:r w:rsidRPr="00AF35A3">
        <w:t>consultation</w:t>
      </w:r>
      <w:proofErr w:type="gramEnd"/>
    </w:p>
    <w:p w14:paraId="47D73C6E" w14:textId="286BAF44" w:rsidR="00F905C9" w:rsidRPr="00AF35A3" w:rsidRDefault="004C3087" w:rsidP="00AF35A3">
      <w:pPr>
        <w:pStyle w:val="ParagraphNumbered"/>
      </w:pPr>
      <w:r w:rsidRPr="00AF35A3">
        <w:t xml:space="preserve">Stakeholders </w:t>
      </w:r>
      <w:proofErr w:type="gramStart"/>
      <w:r w:rsidRPr="00AF35A3">
        <w:t>were asked</w:t>
      </w:r>
      <w:proofErr w:type="gramEnd"/>
      <w:r w:rsidRPr="00AF35A3">
        <w:t xml:space="preserve"> to</w:t>
      </w:r>
      <w:r w:rsidR="00DE4BAF" w:rsidRPr="00AF35A3">
        <w:t xml:space="preserve"> comment on </w:t>
      </w:r>
      <w:r w:rsidR="00B33624" w:rsidRPr="00AF35A3">
        <w:t>the suitability of a pragmatic cutoff of 6 or more SABA inhalers in the indicator definition to identify patients at risk of poor outcomes</w:t>
      </w:r>
      <w:r w:rsidR="00C719C4" w:rsidRPr="00AF35A3">
        <w:t xml:space="preserve">. </w:t>
      </w:r>
      <w:r w:rsidR="007F2C28" w:rsidRPr="00AF35A3">
        <w:t xml:space="preserve">There was some support from a stakeholder, </w:t>
      </w:r>
      <w:r w:rsidR="00AE7B9F" w:rsidRPr="00AF35A3">
        <w:t xml:space="preserve">but others thought 6+ was too high </w:t>
      </w:r>
      <w:r w:rsidR="00A302A1" w:rsidRPr="00AF35A3">
        <w:t xml:space="preserve">(referencing the BTS/NICE/SIGN guideline </w:t>
      </w:r>
      <w:bookmarkStart w:id="3" w:name="_Hlk203647997"/>
      <w:r w:rsidR="00A302A1" w:rsidRPr="00AF35A3">
        <w:t xml:space="preserve">and </w:t>
      </w:r>
      <w:r w:rsidR="00BA45B1" w:rsidRPr="00AF35A3">
        <w:t xml:space="preserve">the </w:t>
      </w:r>
      <w:hyperlink r:id="rId14" w:history="1">
        <w:r w:rsidR="0022221D" w:rsidRPr="00AF35A3">
          <w:rPr>
            <w:rStyle w:val="Hyperlink"/>
          </w:rPr>
          <w:t>MHRA’s April 2025 drug safety update for SABAs</w:t>
        </w:r>
      </w:hyperlink>
      <w:r w:rsidR="00A302A1" w:rsidRPr="00AF35A3">
        <w:t>).</w:t>
      </w:r>
      <w:r w:rsidR="00BA45B1" w:rsidRPr="00AF35A3">
        <w:t xml:space="preserve"> </w:t>
      </w:r>
      <w:r w:rsidR="00371ACE" w:rsidRPr="00AF35A3">
        <w:t xml:space="preserve">A stakeholder </w:t>
      </w:r>
      <w:r w:rsidR="00DF744A" w:rsidRPr="00AF35A3">
        <w:t>noted</w:t>
      </w:r>
      <w:r w:rsidR="0043279A" w:rsidRPr="00AF35A3">
        <w:t xml:space="preserve"> that a</w:t>
      </w:r>
      <w:r w:rsidR="0022700F" w:rsidRPr="00AF35A3">
        <w:t xml:space="preserve"> </w:t>
      </w:r>
      <w:r w:rsidR="00C71A74" w:rsidRPr="00AF35A3">
        <w:t>6+</w:t>
      </w:r>
      <w:r w:rsidR="00CA7B4A" w:rsidRPr="00AF35A3">
        <w:t xml:space="preserve"> </w:t>
      </w:r>
      <w:r w:rsidR="00D21EDB" w:rsidRPr="00AF35A3">
        <w:t xml:space="preserve">cutoff </w:t>
      </w:r>
      <w:r w:rsidR="0043279A" w:rsidRPr="00AF35A3">
        <w:t>would miss</w:t>
      </w:r>
      <w:r w:rsidR="00F14F9E" w:rsidRPr="00AF35A3">
        <w:t xml:space="preserve"> the</w:t>
      </w:r>
      <w:r w:rsidR="000D429C" w:rsidRPr="00AF35A3">
        <w:t xml:space="preserve"> </w:t>
      </w:r>
      <w:r w:rsidR="00C71A74" w:rsidRPr="00AF35A3">
        <w:t xml:space="preserve">opportunity to </w:t>
      </w:r>
      <w:r w:rsidR="000D429C" w:rsidRPr="00AF35A3">
        <w:t xml:space="preserve">switch </w:t>
      </w:r>
      <w:proofErr w:type="gramStart"/>
      <w:r w:rsidR="00F14F9E" w:rsidRPr="00AF35A3">
        <w:t>many</w:t>
      </w:r>
      <w:proofErr w:type="gramEnd"/>
      <w:r w:rsidR="00F14F9E" w:rsidRPr="00AF35A3">
        <w:t xml:space="preserve"> people using 3+ SABAs</w:t>
      </w:r>
      <w:r w:rsidR="000D429C" w:rsidRPr="00AF35A3">
        <w:t xml:space="preserve"> onto</w:t>
      </w:r>
      <w:r w:rsidR="00C71A74" w:rsidRPr="00AF35A3">
        <w:t xml:space="preserve"> MART.</w:t>
      </w:r>
      <w:r w:rsidR="0034149A" w:rsidRPr="00AF35A3">
        <w:t xml:space="preserve"> </w:t>
      </w:r>
      <w:r w:rsidR="002E7F04" w:rsidRPr="00AF35A3">
        <w:t>A</w:t>
      </w:r>
      <w:r w:rsidR="00C16AAD" w:rsidRPr="00AF35A3">
        <w:t xml:space="preserve">nother stakeholder </w:t>
      </w:r>
      <w:r w:rsidR="00DF72E1" w:rsidRPr="00AF35A3">
        <w:t xml:space="preserve">did not agree </w:t>
      </w:r>
      <w:r w:rsidR="004B02B0" w:rsidRPr="00AF35A3">
        <w:t xml:space="preserve">that </w:t>
      </w:r>
      <w:r w:rsidR="00564CE6" w:rsidRPr="00AF35A3">
        <w:t xml:space="preserve">a 3+ cutoff </w:t>
      </w:r>
      <w:r w:rsidR="004B02B0" w:rsidRPr="00AF35A3">
        <w:t xml:space="preserve">identifying </w:t>
      </w:r>
      <w:r w:rsidR="005D210F" w:rsidRPr="00AF35A3">
        <w:t xml:space="preserve">too many people </w:t>
      </w:r>
      <w:r w:rsidR="00540C9A" w:rsidRPr="00AF35A3">
        <w:t xml:space="preserve">as </w:t>
      </w:r>
      <w:proofErr w:type="gramStart"/>
      <w:r w:rsidR="005D210F" w:rsidRPr="00AF35A3">
        <w:lastRenderedPageBreak/>
        <w:t>high risk</w:t>
      </w:r>
      <w:proofErr w:type="gramEnd"/>
      <w:r w:rsidR="005D210F" w:rsidRPr="00AF35A3">
        <w:t xml:space="preserve"> </w:t>
      </w:r>
      <w:r w:rsidR="00540C9A" w:rsidRPr="00AF35A3">
        <w:t xml:space="preserve">was </w:t>
      </w:r>
      <w:r w:rsidR="008C71E3" w:rsidRPr="00AF35A3">
        <w:t>a</w:t>
      </w:r>
      <w:r w:rsidR="005D210F" w:rsidRPr="00AF35A3">
        <w:t xml:space="preserve"> reason to </w:t>
      </w:r>
      <w:r w:rsidR="001A4674" w:rsidRPr="00AF35A3">
        <w:t>use a higher</w:t>
      </w:r>
      <w:r w:rsidR="005D210F" w:rsidRPr="00AF35A3">
        <w:t xml:space="preserve"> threshold</w:t>
      </w:r>
      <w:r w:rsidR="00AF35A3" w:rsidRPr="00AF35A3">
        <w:t>, and that all</w:t>
      </w:r>
      <w:r w:rsidR="0097400D" w:rsidRPr="00AF35A3">
        <w:t xml:space="preserve"> </w:t>
      </w:r>
      <w:r w:rsidR="005D210F" w:rsidRPr="00AF35A3">
        <w:t xml:space="preserve">SABA </w:t>
      </w:r>
      <w:r w:rsidR="008C71E3" w:rsidRPr="00AF35A3">
        <w:t xml:space="preserve">overuse </w:t>
      </w:r>
      <w:r w:rsidR="000048CF" w:rsidRPr="00AF35A3">
        <w:t xml:space="preserve">needs </w:t>
      </w:r>
      <w:r w:rsidR="005D210F" w:rsidRPr="00AF35A3">
        <w:t>appropriate care.</w:t>
      </w:r>
    </w:p>
    <w:bookmarkEnd w:id="3"/>
    <w:p w14:paraId="35AB3CAB" w14:textId="3DBD0F47" w:rsidR="0011378B" w:rsidRDefault="00F31C60" w:rsidP="00543822">
      <w:pPr>
        <w:pStyle w:val="ParagraphNumbered"/>
      </w:pPr>
      <w:r w:rsidRPr="00F31C60">
        <w:t xml:space="preserve">Stakeholders </w:t>
      </w:r>
      <w:proofErr w:type="gramStart"/>
      <w:r w:rsidRPr="00F31C60">
        <w:t xml:space="preserve">were </w:t>
      </w:r>
      <w:r>
        <w:t xml:space="preserve">also </w:t>
      </w:r>
      <w:r w:rsidRPr="00F31C60">
        <w:t>asked</w:t>
      </w:r>
      <w:proofErr w:type="gramEnd"/>
      <w:r w:rsidRPr="00F31C60">
        <w:t xml:space="preserve"> to comment on</w:t>
      </w:r>
      <w:r w:rsidR="00CD0C3D">
        <w:t xml:space="preserve"> using</w:t>
      </w:r>
      <w:r>
        <w:t xml:space="preserve"> </w:t>
      </w:r>
      <w:r w:rsidR="00CD0C3D" w:rsidRPr="00CD0C3D">
        <w:t>SNOMED codes in general practice records only</w:t>
      </w:r>
      <w:r w:rsidR="00CD0C3D">
        <w:t xml:space="preserve"> to </w:t>
      </w:r>
      <w:r w:rsidR="00A45D60">
        <w:t>identif</w:t>
      </w:r>
      <w:r w:rsidR="00CD0C3D">
        <w:t>y</w:t>
      </w:r>
      <w:r w:rsidR="00A45D60" w:rsidRPr="00A45D60">
        <w:t xml:space="preserve"> patients</w:t>
      </w:r>
      <w:r w:rsidR="00AC43C7">
        <w:t xml:space="preserve"> </w:t>
      </w:r>
      <w:r w:rsidR="00CD0C3D">
        <w:t xml:space="preserve">with </w:t>
      </w:r>
      <w:r w:rsidR="00A45D60" w:rsidRPr="00A45D60">
        <w:t>risk factors</w:t>
      </w:r>
      <w:r w:rsidR="00AC43C7">
        <w:t xml:space="preserve"> </w:t>
      </w:r>
      <w:r w:rsidR="00CD0C3D" w:rsidRPr="00CD0C3D">
        <w:t xml:space="preserve">based on </w:t>
      </w:r>
      <w:r w:rsidR="00D12D44">
        <w:t>ED visits</w:t>
      </w:r>
      <w:r w:rsidR="00CD0C3D" w:rsidRPr="00CD0C3D">
        <w:t xml:space="preserve"> or hospital admission</w:t>
      </w:r>
      <w:r w:rsidR="00D47DC3">
        <w:t>.</w:t>
      </w:r>
      <w:r w:rsidR="00C73352">
        <w:t xml:space="preserve"> There was </w:t>
      </w:r>
      <w:proofErr w:type="gramStart"/>
      <w:r w:rsidR="00C73352">
        <w:t>some</w:t>
      </w:r>
      <w:proofErr w:type="gramEnd"/>
      <w:r w:rsidR="00C73352">
        <w:t xml:space="preserve"> agreement with a pragmatic approach but noting it </w:t>
      </w:r>
      <w:r w:rsidR="001A7E3C" w:rsidRPr="001A7E3C">
        <w:t>may limit the numbers identified</w:t>
      </w:r>
      <w:r w:rsidR="00106B71">
        <w:t>.</w:t>
      </w:r>
    </w:p>
    <w:p w14:paraId="4D6A72B8" w14:textId="77777777" w:rsidR="00DE4BAF" w:rsidRDefault="00DE4BAF" w:rsidP="00DE4BAF">
      <w:pPr>
        <w:pStyle w:val="Heading2"/>
      </w:pPr>
      <w:r>
        <w:t>Considerations for the advisory committee</w:t>
      </w:r>
    </w:p>
    <w:p w14:paraId="293DE664" w14:textId="77777777" w:rsidR="005E756B" w:rsidRDefault="00626E92" w:rsidP="00626E92">
      <w:pPr>
        <w:pStyle w:val="ParagraphNumbered"/>
      </w:pPr>
      <w:r>
        <w:t xml:space="preserve">The committee </w:t>
      </w:r>
      <w:proofErr w:type="gramStart"/>
      <w:r>
        <w:t>is asked</w:t>
      </w:r>
      <w:proofErr w:type="gramEnd"/>
      <w:r>
        <w:t xml:space="preserve"> to consider</w:t>
      </w:r>
      <w:r w:rsidR="005E756B">
        <w:t>:</w:t>
      </w:r>
    </w:p>
    <w:p w14:paraId="6B0E0EC7" w14:textId="659743EC" w:rsidR="00626E92" w:rsidRDefault="00626E92" w:rsidP="005E756B">
      <w:pPr>
        <w:pStyle w:val="Bullets"/>
      </w:pPr>
      <w:r>
        <w:t xml:space="preserve">if the count of SABA prescriptions should remain as </w:t>
      </w:r>
      <w:proofErr w:type="gramStart"/>
      <w:r>
        <w:t>6</w:t>
      </w:r>
      <w:proofErr w:type="gramEnd"/>
      <w:r>
        <w:t xml:space="preserve"> or more. </w:t>
      </w:r>
    </w:p>
    <w:p w14:paraId="2A21B96D" w14:textId="2B34D253" w:rsidR="00626E92" w:rsidRDefault="00626E92" w:rsidP="000973ED">
      <w:pPr>
        <w:pStyle w:val="Bullets"/>
        <w:spacing w:after="120"/>
        <w:ind w:left="992" w:hanging="425"/>
      </w:pPr>
      <w:r>
        <w:t xml:space="preserve">if </w:t>
      </w:r>
      <w:r w:rsidR="0037115E">
        <w:t>the indicator should specify that the review take place face-to-face.</w:t>
      </w:r>
    </w:p>
    <w:p w14:paraId="221894C7" w14:textId="4B720FB0" w:rsidR="00626E92" w:rsidRDefault="00626E92" w:rsidP="00626E92">
      <w:pPr>
        <w:pStyle w:val="ParagraphNumbered"/>
      </w:pPr>
      <w:r>
        <w:t xml:space="preserve">If required, additional commentary can </w:t>
      </w:r>
      <w:proofErr w:type="gramStart"/>
      <w:r>
        <w:t>be included</w:t>
      </w:r>
      <w:proofErr w:type="gramEnd"/>
      <w:r>
        <w:t xml:space="preserve"> in accompanying documentation to provide a description of </w:t>
      </w:r>
      <w:r w:rsidRPr="00EF423D">
        <w:t>assessment of asthma control</w:t>
      </w:r>
      <w:r w:rsidR="00FC12F4">
        <w:t>.</w:t>
      </w:r>
    </w:p>
    <w:p w14:paraId="160A97F0" w14:textId="681918C2" w:rsidR="002E482A" w:rsidRDefault="002E482A" w:rsidP="002E482A">
      <w:pPr>
        <w:pStyle w:val="Paragraph"/>
      </w:pPr>
    </w:p>
    <w:p w14:paraId="12602DC1" w14:textId="77777777" w:rsidR="0037115E" w:rsidRDefault="0037115E">
      <w:pPr>
        <w:rPr>
          <w:rFonts w:ascii="Arial" w:hAnsi="Arial" w:cs="Arial"/>
          <w:b/>
          <w:bCs/>
          <w:kern w:val="32"/>
          <w:sz w:val="32"/>
          <w:szCs w:val="32"/>
          <w:lang w:eastAsia="en-US"/>
        </w:rPr>
      </w:pPr>
      <w:bookmarkStart w:id="4" w:name="_Hlk118099340"/>
      <w:r>
        <w:br w:type="page"/>
      </w:r>
    </w:p>
    <w:p w14:paraId="73593E6E" w14:textId="4E924964" w:rsidR="00352706" w:rsidRDefault="00EA56C7" w:rsidP="00352706">
      <w:pPr>
        <w:pStyle w:val="Heading1"/>
      </w:pPr>
      <w:bookmarkStart w:id="5" w:name="_Toc206596221"/>
      <w:r w:rsidRPr="00EA56C7">
        <w:lastRenderedPageBreak/>
        <w:t>Asthma: MART (high</w:t>
      </w:r>
      <w:r w:rsidR="00621140">
        <w:t>er</w:t>
      </w:r>
      <w:r w:rsidRPr="00EA56C7">
        <w:t xml:space="preserve"> risk patients)</w:t>
      </w:r>
      <w:bookmarkEnd w:id="5"/>
      <w:r w:rsidR="00352706">
        <w:t xml:space="preserve"> </w:t>
      </w:r>
    </w:p>
    <w:p w14:paraId="45E3AEDC" w14:textId="35CAF354" w:rsidR="003F391F" w:rsidRPr="003F391F" w:rsidRDefault="003F391F" w:rsidP="003F391F">
      <w:pPr>
        <w:pStyle w:val="Paragraph"/>
      </w:pPr>
      <w:r w:rsidRPr="003F391F">
        <w:t>IND</w:t>
      </w:r>
      <w:r w:rsidR="00621140">
        <w:t>316</w:t>
      </w:r>
      <w:r w:rsidRPr="003F391F">
        <w:t xml:space="preserve">: The percentage of patients with asthma aged 12 years or over with a risk factor for poor outcomes who are </w:t>
      </w:r>
      <w:r w:rsidR="00621140">
        <w:t xml:space="preserve">prescribed </w:t>
      </w:r>
      <w:r w:rsidRPr="003F391F">
        <w:t>maintenance and reliever therapy (MART).</w:t>
      </w:r>
    </w:p>
    <w:p w14:paraId="3F7F3975" w14:textId="12387124" w:rsidR="00DE4BAF" w:rsidRDefault="00DE4BAF" w:rsidP="00DE4BAF">
      <w:pPr>
        <w:pStyle w:val="Heading2"/>
      </w:pPr>
      <w:r>
        <w:t>Rationale</w:t>
      </w:r>
    </w:p>
    <w:p w14:paraId="398020CB" w14:textId="77777777" w:rsidR="00100BB1" w:rsidRDefault="00100BB1" w:rsidP="00100BB1">
      <w:pPr>
        <w:pStyle w:val="ParagraphNumbered"/>
      </w:pPr>
      <w:r>
        <w:t xml:space="preserve">This indicator aims to improve asthma control and prevent future events such as exacerbations, </w:t>
      </w:r>
      <w:proofErr w:type="gramStart"/>
      <w:r>
        <w:t>hospitalisations</w:t>
      </w:r>
      <w:proofErr w:type="gramEnd"/>
      <w:r>
        <w:t xml:space="preserve"> and deaths.</w:t>
      </w:r>
    </w:p>
    <w:p w14:paraId="0376D45C" w14:textId="77777777" w:rsidR="00100BB1" w:rsidRDefault="00100BB1" w:rsidP="00100BB1">
      <w:pPr>
        <w:pStyle w:val="ParagraphNumbered"/>
      </w:pPr>
      <w:r>
        <w:t>People with medication over-use or previous emergency attendance at hospital for an exacerbation are more likely to be at greater risk of poor outcomes (including death, hospital admission, and the need for out-of-hours contacts or visits to an emergency department for asthma exacerbations). A focus on improved medicines optimisation in this population aims to support better asthma control through individualised, patient-centred care.</w:t>
      </w:r>
    </w:p>
    <w:p w14:paraId="00BD71EB" w14:textId="77777777" w:rsidR="00100BB1" w:rsidRDefault="00100BB1" w:rsidP="00100BB1">
      <w:pPr>
        <w:pStyle w:val="ParagraphNumbered"/>
      </w:pPr>
      <w:r>
        <w:t xml:space="preserve">A risk factor for poor outcomes </w:t>
      </w:r>
      <w:proofErr w:type="gramStart"/>
      <w:r>
        <w:t>is defined</w:t>
      </w:r>
      <w:proofErr w:type="gramEnd"/>
      <w:r>
        <w:t xml:space="preserve"> as any of the following in the year preceding the current reporting period: </w:t>
      </w:r>
    </w:p>
    <w:p w14:paraId="7EC7E317" w14:textId="77777777" w:rsidR="00100BB1" w:rsidRDefault="00100BB1" w:rsidP="00100BB1">
      <w:pPr>
        <w:pStyle w:val="Bullets"/>
      </w:pPr>
      <w:proofErr w:type="gramStart"/>
      <w:r>
        <w:t>6</w:t>
      </w:r>
      <w:proofErr w:type="gramEnd"/>
      <w:r>
        <w:t xml:space="preserve"> or more short-acting beta2 agonist (SABA) inhalers </w:t>
      </w:r>
    </w:p>
    <w:p w14:paraId="555FD554" w14:textId="77777777" w:rsidR="00100BB1" w:rsidRDefault="00100BB1" w:rsidP="00100BB1">
      <w:pPr>
        <w:pStyle w:val="Bullets"/>
      </w:pPr>
      <w:proofErr w:type="gramStart"/>
      <w:r>
        <w:t>2</w:t>
      </w:r>
      <w:proofErr w:type="gramEnd"/>
      <w:r>
        <w:t xml:space="preserve"> or more oral corticosteroids</w:t>
      </w:r>
    </w:p>
    <w:p w14:paraId="5887D327" w14:textId="77777777" w:rsidR="00100BB1" w:rsidRDefault="00100BB1" w:rsidP="00100BB1">
      <w:pPr>
        <w:pStyle w:val="Bullets"/>
      </w:pPr>
      <w:proofErr w:type="gramStart"/>
      <w:r>
        <w:t>2</w:t>
      </w:r>
      <w:proofErr w:type="gramEnd"/>
      <w:r>
        <w:t xml:space="preserve"> or more visits to an emergency department for asthma</w:t>
      </w:r>
    </w:p>
    <w:p w14:paraId="6DBC5EA0" w14:textId="77777777" w:rsidR="00100BB1" w:rsidRDefault="00100BB1" w:rsidP="00100BB1">
      <w:pPr>
        <w:pStyle w:val="Bullets"/>
      </w:pPr>
      <w:r>
        <w:t>Any hospital admission for asthma.</w:t>
      </w:r>
    </w:p>
    <w:p w14:paraId="44A5D3CA" w14:textId="77777777" w:rsidR="00DE4BAF" w:rsidRDefault="00DE4BAF" w:rsidP="00DE4BAF">
      <w:pPr>
        <w:pStyle w:val="Heading2"/>
      </w:pPr>
      <w:r>
        <w:t>Summary of consultation comments</w:t>
      </w:r>
    </w:p>
    <w:p w14:paraId="28BACE8A" w14:textId="1CC6E085" w:rsidR="00DE4BAF" w:rsidRDefault="00286397" w:rsidP="007567F4">
      <w:pPr>
        <w:pStyle w:val="Heading3"/>
      </w:pPr>
      <w:r>
        <w:t>Support for the indicator</w:t>
      </w:r>
    </w:p>
    <w:p w14:paraId="4437FF51" w14:textId="7D8B5915" w:rsidR="007567F4" w:rsidRDefault="008A15CB" w:rsidP="004C3087">
      <w:pPr>
        <w:pStyle w:val="ParagraphNumbered"/>
      </w:pPr>
      <w:r>
        <w:t>Stakeholders w</w:t>
      </w:r>
      <w:r w:rsidR="0066271C" w:rsidRPr="0066271C">
        <w:t>elcome</w:t>
      </w:r>
      <w:r>
        <w:t>d</w:t>
      </w:r>
      <w:r w:rsidR="0066271C" w:rsidRPr="0066271C">
        <w:t xml:space="preserve"> th</w:t>
      </w:r>
      <w:r>
        <w:t>e</w:t>
      </w:r>
      <w:r w:rsidR="0066271C" w:rsidRPr="0066271C">
        <w:t xml:space="preserve"> proposed indicator</w:t>
      </w:r>
      <w:r w:rsidR="00C40C30">
        <w:t>. They a</w:t>
      </w:r>
      <w:r w:rsidR="00545279" w:rsidRPr="00545279">
        <w:t>gree</w:t>
      </w:r>
      <w:r w:rsidR="00C40C30">
        <w:t>d</w:t>
      </w:r>
      <w:r w:rsidR="00545279" w:rsidRPr="00545279">
        <w:t xml:space="preserve"> with the stated rationale that a focus on improved medicines optimisation in this population will better support asthma control</w:t>
      </w:r>
      <w:r w:rsidR="00545279">
        <w:t>.</w:t>
      </w:r>
      <w:r w:rsidR="00C40C30">
        <w:t xml:space="preserve"> They also noted s</w:t>
      </w:r>
      <w:r w:rsidR="002A3C13">
        <w:t>tudies d</w:t>
      </w:r>
      <w:r w:rsidR="002A3C13" w:rsidRPr="002A3C13">
        <w:t>emonstrat</w:t>
      </w:r>
      <w:r w:rsidR="00C40C30">
        <w:t>ing</w:t>
      </w:r>
      <w:r w:rsidR="002A3C13" w:rsidRPr="002A3C13">
        <w:t xml:space="preserve"> that an asthma review and transition to MART reduc</w:t>
      </w:r>
      <w:r w:rsidR="002A3C13">
        <w:t xml:space="preserve">ed </w:t>
      </w:r>
      <w:r w:rsidR="002A3C13" w:rsidRPr="002A3C13">
        <w:t>exacerbation</w:t>
      </w:r>
      <w:r w:rsidR="002A3C13">
        <w:t>s</w:t>
      </w:r>
      <w:r w:rsidR="002A3C13" w:rsidRPr="002A3C13">
        <w:t xml:space="preserve"> </w:t>
      </w:r>
      <w:r w:rsidR="002A3C13">
        <w:t xml:space="preserve">and </w:t>
      </w:r>
      <w:r w:rsidR="002A3C13" w:rsidRPr="002A3C13">
        <w:t>SABA prescribing</w:t>
      </w:r>
      <w:r w:rsidR="00DD60D2">
        <w:t xml:space="preserve">, and that </w:t>
      </w:r>
      <w:r w:rsidR="00367B75">
        <w:t>M</w:t>
      </w:r>
      <w:r w:rsidR="00367B75" w:rsidRPr="00367B75">
        <w:t>ART is more effective than fixed-dose regular ICS/LABA</w:t>
      </w:r>
      <w:r w:rsidR="00506186">
        <w:t xml:space="preserve"> regimens</w:t>
      </w:r>
      <w:r w:rsidR="00367B75">
        <w:t>.</w:t>
      </w:r>
    </w:p>
    <w:p w14:paraId="5A35119F" w14:textId="76B3E3C5" w:rsidR="00286397" w:rsidRDefault="00286397" w:rsidP="00286397">
      <w:pPr>
        <w:pStyle w:val="Heading3"/>
      </w:pPr>
      <w:r>
        <w:lastRenderedPageBreak/>
        <w:t>Suitability of MART</w:t>
      </w:r>
    </w:p>
    <w:p w14:paraId="47959F5F" w14:textId="1D3E6CFB" w:rsidR="007567F4" w:rsidRDefault="00312C1F" w:rsidP="004C3087">
      <w:pPr>
        <w:pStyle w:val="ParagraphNumbered"/>
      </w:pPr>
      <w:r>
        <w:t>A stakeholder que</w:t>
      </w:r>
      <w:r w:rsidR="00535B7C">
        <w:t xml:space="preserve">ried whether </w:t>
      </w:r>
      <w:r w:rsidR="00286397" w:rsidRPr="00286397">
        <w:t>all high</w:t>
      </w:r>
      <w:r w:rsidR="00535B7C">
        <w:t>-</w:t>
      </w:r>
      <w:r w:rsidR="00286397" w:rsidRPr="00286397">
        <w:t xml:space="preserve">risk patients </w:t>
      </w:r>
      <w:r w:rsidR="00535B7C">
        <w:t xml:space="preserve">should </w:t>
      </w:r>
      <w:r w:rsidR="00286397" w:rsidRPr="00286397">
        <w:t>be on MART</w:t>
      </w:r>
      <w:r w:rsidR="00F125C7">
        <w:t xml:space="preserve"> however their concern seems to relate to young children who </w:t>
      </w:r>
      <w:proofErr w:type="gramStart"/>
      <w:r w:rsidR="00F125C7">
        <w:t>are not included</w:t>
      </w:r>
      <w:proofErr w:type="gramEnd"/>
      <w:r w:rsidR="00F125C7">
        <w:t xml:space="preserve"> in this indicator</w:t>
      </w:r>
      <w:r w:rsidR="00B16DA0">
        <w:t>.</w:t>
      </w:r>
      <w:r w:rsidR="006E3DC3">
        <w:t xml:space="preserve"> </w:t>
      </w:r>
      <w:r w:rsidR="00FD78F9">
        <w:t xml:space="preserve">They went on to note that </w:t>
      </w:r>
      <w:r w:rsidR="006E3DC3">
        <w:t xml:space="preserve">they were </w:t>
      </w:r>
      <w:r w:rsidR="006E3DC3" w:rsidRPr="006E3DC3">
        <w:t xml:space="preserve">uncomfortable with financial incentive to change </w:t>
      </w:r>
      <w:r w:rsidR="006E3DC3">
        <w:t xml:space="preserve">the </w:t>
      </w:r>
      <w:r w:rsidR="006E3DC3" w:rsidRPr="006E3DC3">
        <w:t xml:space="preserve">most </w:t>
      </w:r>
      <w:proofErr w:type="gramStart"/>
      <w:r w:rsidR="006E3DC3" w:rsidRPr="006E3DC3">
        <w:t>at risk</w:t>
      </w:r>
      <w:proofErr w:type="gramEnd"/>
      <w:r w:rsidR="006E3DC3" w:rsidRPr="006E3DC3">
        <w:t xml:space="preserve"> patients to a non</w:t>
      </w:r>
      <w:r w:rsidR="006E3DC3">
        <w:t>-</w:t>
      </w:r>
      <w:r w:rsidR="006E3DC3" w:rsidRPr="006E3DC3">
        <w:t>evidence</w:t>
      </w:r>
      <w:r w:rsidR="006E3DC3">
        <w:t>-</w:t>
      </w:r>
      <w:r w:rsidR="006E3DC3" w:rsidRPr="006E3DC3">
        <w:t>based treatment</w:t>
      </w:r>
      <w:r w:rsidR="006E3DC3">
        <w:t>.</w:t>
      </w:r>
    </w:p>
    <w:p w14:paraId="62BF22E0" w14:textId="680307DF" w:rsidR="00F94C5B" w:rsidRPr="00782115" w:rsidRDefault="00CB6575" w:rsidP="004C3087">
      <w:pPr>
        <w:pStyle w:val="ParagraphNumbered"/>
      </w:pPr>
      <w:r w:rsidRPr="00CB6575">
        <w:t xml:space="preserve">A stakeholder </w:t>
      </w:r>
      <w:r>
        <w:t>also noted</w:t>
      </w:r>
      <w:r w:rsidRPr="00CB6575">
        <w:t xml:space="preserve"> that the </w:t>
      </w:r>
      <w:r w:rsidR="002A6C5F">
        <w:t>proposed</w:t>
      </w:r>
      <w:r w:rsidRPr="00CB6575">
        <w:t xml:space="preserve"> MART indicator applies only to patients aged </w:t>
      </w:r>
      <w:proofErr w:type="gramStart"/>
      <w:r w:rsidRPr="00CB6575">
        <w:t>12</w:t>
      </w:r>
      <w:proofErr w:type="gramEnd"/>
      <w:r w:rsidRPr="00CB6575">
        <w:t xml:space="preserve"> and </w:t>
      </w:r>
      <w:proofErr w:type="gramStart"/>
      <w:r w:rsidRPr="00CB6575">
        <w:t xml:space="preserve">above, </w:t>
      </w:r>
      <w:r w:rsidR="0037115E">
        <w:t>and</w:t>
      </w:r>
      <w:proofErr w:type="gramEnd"/>
      <w:r w:rsidR="0037115E">
        <w:t xml:space="preserve"> raised</w:t>
      </w:r>
      <w:r w:rsidR="00FF1C05">
        <w:t xml:space="preserve"> concern</w:t>
      </w:r>
      <w:r w:rsidR="0037115E">
        <w:t>s</w:t>
      </w:r>
      <w:r w:rsidR="00FF1C05">
        <w:t xml:space="preserve"> </w:t>
      </w:r>
      <w:r w:rsidR="0037115E">
        <w:t xml:space="preserve">that </w:t>
      </w:r>
      <w:r w:rsidR="00FF1C05">
        <w:t>th</w:t>
      </w:r>
      <w:r w:rsidR="00C30C11">
        <w:t>is</w:t>
      </w:r>
      <w:r w:rsidRPr="00CB6575">
        <w:t xml:space="preserve"> may contribute to health inequalities and reduce uptake among younger children. For the 5–11 age group, treatment options include MART or conventional therapy, so the</w:t>
      </w:r>
      <w:r w:rsidR="00C30C11">
        <w:t>y felt the</w:t>
      </w:r>
      <w:r w:rsidRPr="00CB6575">
        <w:t xml:space="preserve"> indicator should reflect the percentage of patients for whom MART </w:t>
      </w:r>
      <w:proofErr w:type="gramStart"/>
      <w:r w:rsidRPr="00CB6575">
        <w:t>was considered</w:t>
      </w:r>
      <w:proofErr w:type="gramEnd"/>
      <w:r w:rsidRPr="00CB6575">
        <w:t xml:space="preserve"> and discussed with families, rather than those actively receiving it. </w:t>
      </w:r>
      <w:r w:rsidR="008A5193">
        <w:t xml:space="preserve">They </w:t>
      </w:r>
      <w:r w:rsidR="002416D0">
        <w:t>highlighted a</w:t>
      </w:r>
      <w:r w:rsidRPr="00CB6575">
        <w:t xml:space="preserve"> recent </w:t>
      </w:r>
      <w:hyperlink r:id="rId15" w:history="1">
        <w:r w:rsidRPr="002A0791">
          <w:rPr>
            <w:rStyle w:val="Hyperlink"/>
          </w:rPr>
          <w:t>consensus statement</w:t>
        </w:r>
      </w:hyperlink>
      <w:r w:rsidRPr="00CB6575">
        <w:t xml:space="preserve"> on AIR and MART in children and young people </w:t>
      </w:r>
      <w:r w:rsidR="002416D0">
        <w:t xml:space="preserve">which </w:t>
      </w:r>
      <w:r w:rsidRPr="00CB6575">
        <w:t>outlines the recommended treatment approach.</w:t>
      </w:r>
      <w:r w:rsidR="00242A8A">
        <w:t xml:space="preserve"> </w:t>
      </w:r>
      <w:r w:rsidR="002549B6">
        <w:t>F</w:t>
      </w:r>
      <w:r w:rsidR="002549B6" w:rsidRPr="00342FBC">
        <w:t>or children aged 5 to 11</w:t>
      </w:r>
      <w:r w:rsidR="002549B6">
        <w:t xml:space="preserve"> years</w:t>
      </w:r>
      <w:r w:rsidR="002549B6" w:rsidRPr="00342FBC">
        <w:t xml:space="preserve"> </w:t>
      </w:r>
      <w:hyperlink r:id="rId16" w:history="1">
        <w:r w:rsidR="002549B6" w:rsidRPr="00862273">
          <w:rPr>
            <w:rStyle w:val="Hyperlink"/>
          </w:rPr>
          <w:t>BTS/NICE/SIGN guideline NG245</w:t>
        </w:r>
      </w:hyperlink>
      <w:r w:rsidR="002549B6">
        <w:t xml:space="preserve"> recommends </w:t>
      </w:r>
      <w:r w:rsidR="002549B6" w:rsidRPr="00342FBC">
        <w:t xml:space="preserve">MART </w:t>
      </w:r>
      <w:r w:rsidR="002549B6">
        <w:t>as</w:t>
      </w:r>
      <w:r w:rsidR="002549B6" w:rsidRPr="00342FBC">
        <w:t xml:space="preserve"> one of 2 treatment pathways</w:t>
      </w:r>
      <w:r w:rsidR="002549B6">
        <w:t xml:space="preserve"> (section 1.8). </w:t>
      </w:r>
    </w:p>
    <w:p w14:paraId="21925C07" w14:textId="77777777" w:rsidR="00DE4BAF" w:rsidRDefault="00DE4BAF" w:rsidP="00DE4BAF">
      <w:pPr>
        <w:pStyle w:val="Heading2"/>
      </w:pPr>
      <w:r>
        <w:t xml:space="preserve">Specific question/s included at </w:t>
      </w:r>
      <w:proofErr w:type="gramStart"/>
      <w:r>
        <w:t>consultation</w:t>
      </w:r>
      <w:proofErr w:type="gramEnd"/>
    </w:p>
    <w:p w14:paraId="59BE4A33" w14:textId="177034B5" w:rsidR="006B0ED9" w:rsidRDefault="00815167" w:rsidP="004C3087">
      <w:pPr>
        <w:pStyle w:val="ParagraphNumbered"/>
      </w:pPr>
      <w:r>
        <w:t xml:space="preserve">The </w:t>
      </w:r>
      <w:r w:rsidR="00E94B5D">
        <w:t xml:space="preserve">question </w:t>
      </w:r>
      <w:r w:rsidR="00D74752">
        <w:t xml:space="preserve">for </w:t>
      </w:r>
      <w:r w:rsidR="003E59A5">
        <w:t xml:space="preserve">indicator </w:t>
      </w:r>
      <w:r w:rsidR="00D74752" w:rsidRPr="00D74752">
        <w:t>GID-IND103</w:t>
      </w:r>
      <w:r w:rsidR="003C0D55">
        <w:t>38</w:t>
      </w:r>
      <w:r w:rsidR="00D74752">
        <w:t xml:space="preserve"> </w:t>
      </w:r>
      <w:r w:rsidR="003E59A5">
        <w:t>(</w:t>
      </w:r>
      <w:r w:rsidR="00D74752" w:rsidRPr="00D74752">
        <w:t xml:space="preserve">annual review in </w:t>
      </w:r>
      <w:proofErr w:type="gramStart"/>
      <w:r w:rsidR="00D74752" w:rsidRPr="00D74752">
        <w:t>high risk</w:t>
      </w:r>
      <w:proofErr w:type="gramEnd"/>
      <w:r w:rsidR="00D74752" w:rsidRPr="00D74752">
        <w:t xml:space="preserve"> patients</w:t>
      </w:r>
      <w:r w:rsidR="003E59A5">
        <w:t>)</w:t>
      </w:r>
      <w:r w:rsidR="00D74752">
        <w:t xml:space="preserve"> </w:t>
      </w:r>
      <w:r w:rsidR="006B0ED9" w:rsidRPr="006B0ED9">
        <w:t xml:space="preserve">related to the definition of ‘risk factors for poor outcomes’ are also relevant to this indicator. </w:t>
      </w:r>
      <w:r w:rsidR="003E59A5" w:rsidRPr="003E59A5">
        <w:t xml:space="preserve">Stakeholders </w:t>
      </w:r>
      <w:proofErr w:type="gramStart"/>
      <w:r w:rsidR="003E59A5" w:rsidRPr="003E59A5">
        <w:t>were asked</w:t>
      </w:r>
      <w:proofErr w:type="gramEnd"/>
      <w:r w:rsidR="003E59A5">
        <w:t xml:space="preserve"> if they</w:t>
      </w:r>
      <w:r w:rsidR="003E59A5" w:rsidRPr="003E59A5">
        <w:t xml:space="preserve"> </w:t>
      </w:r>
      <w:r w:rsidR="006B0ED9" w:rsidRPr="006B0ED9">
        <w:t>ha</w:t>
      </w:r>
      <w:r w:rsidR="003E59A5">
        <w:t>d</w:t>
      </w:r>
      <w:r w:rsidR="006B0ED9" w:rsidRPr="006B0ED9">
        <w:t xml:space="preserve"> any additional comments</w:t>
      </w:r>
      <w:r w:rsidR="003E59A5">
        <w:t xml:space="preserve"> </w:t>
      </w:r>
      <w:r w:rsidR="006B0ED9" w:rsidRPr="006B0ED9">
        <w:t>on risk factors that specifically relate to this indicator</w:t>
      </w:r>
      <w:r w:rsidR="003E59A5">
        <w:t>.</w:t>
      </w:r>
    </w:p>
    <w:p w14:paraId="21EE7432" w14:textId="64116984" w:rsidR="00DE4BAF" w:rsidRPr="005149D8" w:rsidRDefault="003E7298" w:rsidP="004C3087">
      <w:pPr>
        <w:pStyle w:val="ParagraphNumbered"/>
      </w:pPr>
      <w:r>
        <w:t xml:space="preserve">There were no additional </w:t>
      </w:r>
      <w:r w:rsidRPr="003E7298">
        <w:t>comments on risk factors</w:t>
      </w:r>
      <w:r>
        <w:t xml:space="preserve"> </w:t>
      </w:r>
      <w:r w:rsidR="00F76C09">
        <w:t>specifically related to the proposed indicator on MART</w:t>
      </w:r>
      <w:r w:rsidR="00A231FE">
        <w:t xml:space="preserve"> for </w:t>
      </w:r>
      <w:proofErr w:type="gramStart"/>
      <w:r w:rsidR="00A231FE">
        <w:t>high risk</w:t>
      </w:r>
      <w:proofErr w:type="gramEnd"/>
      <w:r w:rsidR="00A231FE">
        <w:t xml:space="preserve"> patients.</w:t>
      </w:r>
    </w:p>
    <w:p w14:paraId="53EC5663" w14:textId="77777777" w:rsidR="00DE4BAF" w:rsidRDefault="00DE4BAF" w:rsidP="00DE4BAF">
      <w:pPr>
        <w:pStyle w:val="Heading2"/>
      </w:pPr>
      <w:r>
        <w:t>Considerations for the advisory committee</w:t>
      </w:r>
    </w:p>
    <w:p w14:paraId="03DA29D6" w14:textId="3AF0C6CD" w:rsidR="00DE4BAF" w:rsidRDefault="00DE4BAF" w:rsidP="000B646C">
      <w:pPr>
        <w:pStyle w:val="ParagraphNumbered"/>
      </w:pPr>
      <w:r w:rsidRPr="00A231FE">
        <w:t xml:space="preserve">The committee </w:t>
      </w:r>
      <w:proofErr w:type="gramStart"/>
      <w:r w:rsidRPr="00A231FE">
        <w:t>is asked</w:t>
      </w:r>
      <w:proofErr w:type="gramEnd"/>
      <w:r w:rsidRPr="00A231FE">
        <w:t xml:space="preserve"> to consider</w:t>
      </w:r>
      <w:r w:rsidR="00F125C7">
        <w:t xml:space="preserve"> proposals to include children under 12 years and discussions about suitability of MART. </w:t>
      </w:r>
      <w:bookmarkEnd w:id="4"/>
      <w:r>
        <w:t> </w:t>
      </w:r>
    </w:p>
    <w:p w14:paraId="4625F4B3" w14:textId="4986BCFF" w:rsidR="00D712FC" w:rsidRDefault="00D712FC">
      <w:pPr>
        <w:rPr>
          <w:rFonts w:ascii="Arial" w:hAnsi="Arial"/>
          <w:lang w:eastAsia="en-US"/>
        </w:rPr>
      </w:pPr>
    </w:p>
    <w:p w14:paraId="259BEA8A" w14:textId="77777777" w:rsidR="00D712FC" w:rsidRDefault="00D712FC" w:rsidP="002E482A">
      <w:pPr>
        <w:pStyle w:val="Paragraph"/>
        <w:sectPr w:rsidR="00D712FC" w:rsidSect="008F6FB7">
          <w:footerReference w:type="default" r:id="rId17"/>
          <w:headerReference w:type="first" r:id="rId18"/>
          <w:footerReference w:type="first" r:id="rId19"/>
          <w:pgSz w:w="11906" w:h="16838"/>
          <w:pgMar w:top="1440" w:right="1800" w:bottom="1440" w:left="1800" w:header="708" w:footer="708" w:gutter="0"/>
          <w:cols w:space="708"/>
          <w:titlePg/>
          <w:docGrid w:linePitch="360"/>
        </w:sectPr>
      </w:pPr>
    </w:p>
    <w:p w14:paraId="35E00498" w14:textId="1AC95CC8" w:rsidR="004A0733" w:rsidRDefault="004A0733" w:rsidP="00D712FC">
      <w:pPr>
        <w:pStyle w:val="Heading1"/>
      </w:pPr>
      <w:bookmarkStart w:id="6" w:name="_Appendix_A:_Analysis"/>
      <w:bookmarkStart w:id="7" w:name="_Toc206596222"/>
      <w:bookmarkEnd w:id="6"/>
      <w:r>
        <w:lastRenderedPageBreak/>
        <w:t xml:space="preserve">Appendix A: Analysis of </w:t>
      </w:r>
      <w:r w:rsidR="00175E3B">
        <w:t>paper</w:t>
      </w:r>
      <w:r>
        <w:t>s</w:t>
      </w:r>
      <w:r w:rsidR="00672318">
        <w:t xml:space="preserve"> supplied by </w:t>
      </w:r>
      <w:proofErr w:type="gramStart"/>
      <w:r w:rsidR="00672318">
        <w:t>stakeholder</w:t>
      </w:r>
      <w:bookmarkEnd w:id="7"/>
      <w:proofErr w:type="gramEnd"/>
    </w:p>
    <w:p w14:paraId="49EEECCC" w14:textId="23686882" w:rsidR="004F04F0" w:rsidRPr="004F04F0" w:rsidRDefault="004F04F0" w:rsidP="004F04F0">
      <w:pPr>
        <w:pStyle w:val="Paragraph"/>
      </w:pPr>
      <w:r>
        <w:t xml:space="preserve">Note: </w:t>
      </w:r>
      <w:proofErr w:type="gramStart"/>
      <w:r>
        <w:t>Some</w:t>
      </w:r>
      <w:proofErr w:type="gramEnd"/>
      <w:r>
        <w:t xml:space="preserve"> figures </w:t>
      </w:r>
      <w:r w:rsidR="00670CFB">
        <w:t>in the table</w:t>
      </w:r>
      <w:r w:rsidR="00A626D6">
        <w:t xml:space="preserve"> </w:t>
      </w:r>
      <w:proofErr w:type="gramStart"/>
      <w:r w:rsidR="003E5CDC">
        <w:t>were not directly reported</w:t>
      </w:r>
      <w:proofErr w:type="gramEnd"/>
      <w:r w:rsidR="003E5CDC">
        <w:t xml:space="preserve"> in the paper but </w:t>
      </w:r>
      <w:proofErr w:type="gramStart"/>
      <w:r w:rsidR="003E5CDC">
        <w:t>were manually calculated</w:t>
      </w:r>
      <w:proofErr w:type="gramEnd"/>
      <w:r w:rsidR="003E5CDC">
        <w:t xml:space="preserve"> from </w:t>
      </w:r>
      <w:r w:rsidR="00670CFB">
        <w:t>data</w:t>
      </w:r>
      <w:r w:rsidR="00A626D6">
        <w:t xml:space="preserve"> within the pap</w:t>
      </w:r>
      <w:r w:rsidR="00897715">
        <w:t>er.</w:t>
      </w:r>
    </w:p>
    <w:tbl>
      <w:tblPr>
        <w:tblStyle w:val="TableGrid1"/>
        <w:tblW w:w="0" w:type="auto"/>
        <w:tblLook w:val="04A0" w:firstRow="1" w:lastRow="0" w:firstColumn="1" w:lastColumn="0" w:noHBand="0" w:noVBand="1"/>
      </w:tblPr>
      <w:tblGrid>
        <w:gridCol w:w="2122"/>
        <w:gridCol w:w="2526"/>
        <w:gridCol w:w="2325"/>
        <w:gridCol w:w="1953"/>
        <w:gridCol w:w="2697"/>
        <w:gridCol w:w="2325"/>
      </w:tblGrid>
      <w:tr w:rsidR="004F04F0" w:rsidRPr="004F04F0" w14:paraId="6CB5DE09" w14:textId="77777777" w:rsidTr="00C054FC">
        <w:trPr>
          <w:tblHeader/>
        </w:trPr>
        <w:tc>
          <w:tcPr>
            <w:tcW w:w="2122" w:type="dxa"/>
            <w:shd w:val="clear" w:color="auto" w:fill="D9D9D9"/>
          </w:tcPr>
          <w:p w14:paraId="74A55341" w14:textId="77777777" w:rsidR="004F04F0" w:rsidRPr="004F04F0" w:rsidRDefault="004F04F0" w:rsidP="004F04F0">
            <w:pPr>
              <w:rPr>
                <w:rFonts w:ascii="Arial" w:hAnsi="Arial" w:cs="Arial"/>
                <w:b/>
                <w:bCs/>
                <w:sz w:val="22"/>
                <w:szCs w:val="22"/>
              </w:rPr>
            </w:pPr>
            <w:r w:rsidRPr="004F04F0">
              <w:rPr>
                <w:rFonts w:ascii="Arial" w:hAnsi="Arial" w:cs="Arial"/>
                <w:b/>
                <w:bCs/>
                <w:sz w:val="22"/>
                <w:szCs w:val="22"/>
              </w:rPr>
              <w:t>Study</w:t>
            </w:r>
          </w:p>
        </w:tc>
        <w:tc>
          <w:tcPr>
            <w:tcW w:w="2526" w:type="dxa"/>
            <w:shd w:val="clear" w:color="auto" w:fill="D9D9D9"/>
          </w:tcPr>
          <w:p w14:paraId="0577DFE0" w14:textId="77777777" w:rsidR="004F04F0" w:rsidRPr="004F04F0" w:rsidRDefault="004F04F0" w:rsidP="004F04F0">
            <w:pPr>
              <w:rPr>
                <w:rFonts w:ascii="Arial" w:hAnsi="Arial" w:cs="Arial"/>
                <w:b/>
                <w:bCs/>
                <w:sz w:val="22"/>
                <w:szCs w:val="22"/>
              </w:rPr>
            </w:pPr>
            <w:r w:rsidRPr="004F04F0">
              <w:rPr>
                <w:rFonts w:ascii="Arial" w:hAnsi="Arial" w:cs="Arial"/>
                <w:b/>
                <w:bCs/>
                <w:sz w:val="22"/>
                <w:szCs w:val="22"/>
              </w:rPr>
              <w:t>SABA use/yr</w:t>
            </w:r>
          </w:p>
        </w:tc>
        <w:tc>
          <w:tcPr>
            <w:tcW w:w="2325" w:type="dxa"/>
            <w:shd w:val="clear" w:color="auto" w:fill="D9D9D9"/>
          </w:tcPr>
          <w:p w14:paraId="62D44035" w14:textId="77777777" w:rsidR="004F04F0" w:rsidRPr="004F04F0" w:rsidRDefault="004F04F0" w:rsidP="004F04F0">
            <w:pPr>
              <w:rPr>
                <w:rFonts w:ascii="Arial" w:hAnsi="Arial" w:cs="Arial"/>
                <w:b/>
                <w:bCs/>
                <w:sz w:val="22"/>
                <w:szCs w:val="22"/>
              </w:rPr>
            </w:pPr>
            <w:r w:rsidRPr="004F04F0">
              <w:rPr>
                <w:rFonts w:ascii="Arial" w:hAnsi="Arial" w:cs="Arial"/>
                <w:b/>
                <w:bCs/>
                <w:sz w:val="22"/>
                <w:szCs w:val="22"/>
              </w:rPr>
              <w:t>OCS use/yr</w:t>
            </w:r>
          </w:p>
        </w:tc>
        <w:tc>
          <w:tcPr>
            <w:tcW w:w="1953" w:type="dxa"/>
            <w:shd w:val="clear" w:color="auto" w:fill="D9D9D9"/>
          </w:tcPr>
          <w:p w14:paraId="03B01510" w14:textId="77777777" w:rsidR="004F04F0" w:rsidRPr="004F04F0" w:rsidRDefault="004F04F0" w:rsidP="004F04F0">
            <w:pPr>
              <w:rPr>
                <w:rFonts w:ascii="Arial" w:hAnsi="Arial" w:cs="Arial"/>
                <w:b/>
                <w:bCs/>
                <w:sz w:val="22"/>
                <w:szCs w:val="22"/>
              </w:rPr>
            </w:pPr>
            <w:r w:rsidRPr="004F04F0">
              <w:rPr>
                <w:rFonts w:ascii="Arial" w:hAnsi="Arial" w:cs="Arial"/>
                <w:b/>
                <w:bCs/>
                <w:sz w:val="22"/>
                <w:szCs w:val="22"/>
              </w:rPr>
              <w:t>ED visits/yr</w:t>
            </w:r>
          </w:p>
        </w:tc>
        <w:tc>
          <w:tcPr>
            <w:tcW w:w="2697" w:type="dxa"/>
            <w:shd w:val="clear" w:color="auto" w:fill="D9D9D9"/>
          </w:tcPr>
          <w:p w14:paraId="1524B831" w14:textId="77777777" w:rsidR="004F04F0" w:rsidRPr="004F04F0" w:rsidRDefault="004F04F0" w:rsidP="004F04F0">
            <w:pPr>
              <w:rPr>
                <w:rFonts w:ascii="Arial" w:hAnsi="Arial" w:cs="Arial"/>
                <w:b/>
                <w:bCs/>
                <w:sz w:val="22"/>
                <w:szCs w:val="22"/>
              </w:rPr>
            </w:pPr>
            <w:r w:rsidRPr="004F04F0">
              <w:rPr>
                <w:rFonts w:ascii="Arial" w:hAnsi="Arial" w:cs="Arial"/>
                <w:b/>
                <w:bCs/>
                <w:sz w:val="22"/>
                <w:szCs w:val="22"/>
              </w:rPr>
              <w:t>Hospital admissions/yr</w:t>
            </w:r>
          </w:p>
        </w:tc>
        <w:tc>
          <w:tcPr>
            <w:tcW w:w="2325" w:type="dxa"/>
            <w:shd w:val="clear" w:color="auto" w:fill="D9D9D9"/>
          </w:tcPr>
          <w:p w14:paraId="3CBAFE2D" w14:textId="77777777" w:rsidR="004F04F0" w:rsidRPr="004F04F0" w:rsidRDefault="004F04F0" w:rsidP="004F04F0">
            <w:pPr>
              <w:rPr>
                <w:rFonts w:ascii="Arial" w:hAnsi="Arial" w:cs="Arial"/>
                <w:b/>
                <w:bCs/>
                <w:sz w:val="22"/>
                <w:szCs w:val="22"/>
              </w:rPr>
            </w:pPr>
            <w:r w:rsidRPr="004F04F0">
              <w:rPr>
                <w:rFonts w:ascii="Arial" w:hAnsi="Arial" w:cs="Arial"/>
                <w:b/>
                <w:bCs/>
                <w:sz w:val="22"/>
                <w:szCs w:val="22"/>
              </w:rPr>
              <w:t>Exacerbations</w:t>
            </w:r>
          </w:p>
        </w:tc>
      </w:tr>
      <w:tr w:rsidR="004F04F0" w:rsidRPr="004F04F0" w14:paraId="033C4A84" w14:textId="77777777" w:rsidTr="004F04F0">
        <w:tc>
          <w:tcPr>
            <w:tcW w:w="2122" w:type="dxa"/>
            <w:shd w:val="clear" w:color="auto" w:fill="F2F2F2"/>
          </w:tcPr>
          <w:p w14:paraId="1813E95F" w14:textId="77777777" w:rsidR="004F04F0" w:rsidRPr="004F04F0" w:rsidRDefault="004F04F0" w:rsidP="004F04F0">
            <w:pPr>
              <w:rPr>
                <w:rFonts w:ascii="Arial" w:hAnsi="Arial" w:cs="Arial"/>
                <w:b/>
                <w:bCs/>
                <w:sz w:val="20"/>
                <w:szCs w:val="20"/>
              </w:rPr>
            </w:pPr>
            <w:proofErr w:type="gramStart"/>
            <w:r w:rsidRPr="004F04F0">
              <w:rPr>
                <w:rFonts w:ascii="Arial" w:hAnsi="Arial" w:cs="Arial"/>
                <w:b/>
                <w:bCs/>
                <w:sz w:val="20"/>
                <w:szCs w:val="20"/>
              </w:rPr>
              <w:t>NICE analysis</w:t>
            </w:r>
            <w:proofErr w:type="gramEnd"/>
            <w:r w:rsidRPr="004F04F0">
              <w:rPr>
                <w:rFonts w:ascii="Arial" w:hAnsi="Arial" w:cs="Arial"/>
                <w:b/>
                <w:bCs/>
                <w:sz w:val="20"/>
                <w:szCs w:val="20"/>
              </w:rPr>
              <w:t xml:space="preserve"> of CPRD data</w:t>
            </w:r>
          </w:p>
          <w:p w14:paraId="4EEC9CC8" w14:textId="77777777" w:rsidR="004F04F0" w:rsidRPr="004F04F0" w:rsidRDefault="004F04F0" w:rsidP="004F04F0">
            <w:pPr>
              <w:rPr>
                <w:rFonts w:ascii="Arial" w:hAnsi="Arial" w:cs="Arial"/>
                <w:sz w:val="20"/>
                <w:szCs w:val="20"/>
              </w:rPr>
            </w:pPr>
          </w:p>
          <w:p w14:paraId="66477221" w14:textId="77777777" w:rsidR="004F04F0" w:rsidRPr="004F04F0" w:rsidRDefault="004F04F0" w:rsidP="004F04F0">
            <w:pPr>
              <w:rPr>
                <w:rFonts w:ascii="Arial" w:hAnsi="Arial" w:cs="Arial"/>
                <w:sz w:val="20"/>
                <w:szCs w:val="20"/>
              </w:rPr>
            </w:pPr>
            <w:r w:rsidRPr="004F04F0">
              <w:rPr>
                <w:rFonts w:ascii="Arial" w:hAnsi="Arial" w:cs="Arial"/>
                <w:sz w:val="20"/>
                <w:szCs w:val="20"/>
              </w:rPr>
              <w:t>All pts in CPRD on asthma register as of 31.03.24 aged 6+ yrs</w:t>
            </w:r>
          </w:p>
        </w:tc>
        <w:tc>
          <w:tcPr>
            <w:tcW w:w="2526" w:type="dxa"/>
          </w:tcPr>
          <w:p w14:paraId="5DF25525" w14:textId="77777777" w:rsidR="004F04F0" w:rsidRPr="004F04F0" w:rsidRDefault="004F04F0" w:rsidP="004F04F0">
            <w:pPr>
              <w:rPr>
                <w:rFonts w:ascii="Arial" w:hAnsi="Arial" w:cs="Arial"/>
                <w:sz w:val="20"/>
                <w:szCs w:val="20"/>
              </w:rPr>
            </w:pPr>
            <w:r w:rsidRPr="004F04F0">
              <w:rPr>
                <w:rFonts w:ascii="Arial" w:hAnsi="Arial" w:cs="Arial"/>
                <w:sz w:val="20"/>
                <w:szCs w:val="20"/>
              </w:rPr>
              <w:t>6+ SABA: 22%</w:t>
            </w:r>
          </w:p>
        </w:tc>
        <w:tc>
          <w:tcPr>
            <w:tcW w:w="2325" w:type="dxa"/>
          </w:tcPr>
          <w:p w14:paraId="34B961A1" w14:textId="77777777" w:rsidR="004F04F0" w:rsidRPr="004F04F0" w:rsidRDefault="004F04F0" w:rsidP="004F04F0">
            <w:pPr>
              <w:rPr>
                <w:rFonts w:ascii="Arial" w:hAnsi="Arial" w:cs="Arial"/>
                <w:sz w:val="20"/>
                <w:szCs w:val="20"/>
              </w:rPr>
            </w:pPr>
            <w:r w:rsidRPr="004F04F0">
              <w:rPr>
                <w:rFonts w:ascii="Arial" w:hAnsi="Arial" w:cs="Arial"/>
                <w:sz w:val="20"/>
                <w:szCs w:val="20"/>
              </w:rPr>
              <w:t>2+ OCS: 9.5%</w:t>
            </w:r>
          </w:p>
        </w:tc>
        <w:tc>
          <w:tcPr>
            <w:tcW w:w="1953" w:type="dxa"/>
          </w:tcPr>
          <w:p w14:paraId="46E33AA0" w14:textId="77777777" w:rsidR="004F04F0" w:rsidRPr="004F04F0" w:rsidRDefault="004F04F0" w:rsidP="004F04F0">
            <w:pPr>
              <w:rPr>
                <w:rFonts w:ascii="Arial" w:hAnsi="Arial" w:cs="Arial"/>
                <w:sz w:val="20"/>
                <w:szCs w:val="20"/>
              </w:rPr>
            </w:pPr>
            <w:r w:rsidRPr="004F04F0">
              <w:rPr>
                <w:rFonts w:ascii="Arial" w:hAnsi="Arial" w:cs="Arial"/>
                <w:sz w:val="20"/>
                <w:szCs w:val="20"/>
              </w:rPr>
              <w:t>2+ visits: 0.9%</w:t>
            </w:r>
          </w:p>
        </w:tc>
        <w:tc>
          <w:tcPr>
            <w:tcW w:w="2697" w:type="dxa"/>
          </w:tcPr>
          <w:p w14:paraId="164CDD80" w14:textId="77777777" w:rsidR="004F04F0" w:rsidRPr="004F04F0" w:rsidRDefault="004F04F0" w:rsidP="004F04F0">
            <w:pPr>
              <w:rPr>
                <w:rFonts w:ascii="Arial" w:hAnsi="Arial" w:cs="Arial"/>
                <w:sz w:val="20"/>
                <w:szCs w:val="20"/>
              </w:rPr>
            </w:pPr>
            <w:r w:rsidRPr="004F04F0">
              <w:rPr>
                <w:rFonts w:ascii="Arial" w:hAnsi="Arial" w:cs="Arial"/>
                <w:sz w:val="20"/>
                <w:szCs w:val="20"/>
              </w:rPr>
              <w:t>1+ admission: 1.3%</w:t>
            </w:r>
          </w:p>
        </w:tc>
        <w:tc>
          <w:tcPr>
            <w:tcW w:w="2325" w:type="dxa"/>
          </w:tcPr>
          <w:p w14:paraId="1DDA3505" w14:textId="77777777" w:rsidR="004F04F0" w:rsidRPr="004F04F0" w:rsidRDefault="004F04F0" w:rsidP="004F04F0">
            <w:pPr>
              <w:rPr>
                <w:rFonts w:ascii="Arial" w:hAnsi="Arial" w:cs="Arial"/>
                <w:sz w:val="20"/>
                <w:szCs w:val="20"/>
              </w:rPr>
            </w:pPr>
            <w:r w:rsidRPr="004F04F0">
              <w:rPr>
                <w:rFonts w:ascii="Arial" w:hAnsi="Arial" w:cs="Arial"/>
                <w:sz w:val="20"/>
                <w:szCs w:val="20"/>
              </w:rPr>
              <w:t>NA</w:t>
            </w:r>
          </w:p>
          <w:p w14:paraId="5730B929" w14:textId="37EC2914" w:rsidR="004F04F0" w:rsidRPr="004F04F0" w:rsidRDefault="004F04F0" w:rsidP="004F04F0">
            <w:pPr>
              <w:rPr>
                <w:rFonts w:ascii="Arial" w:hAnsi="Arial" w:cs="Arial"/>
                <w:sz w:val="20"/>
                <w:szCs w:val="20"/>
              </w:rPr>
            </w:pPr>
            <w:r w:rsidRPr="004F04F0">
              <w:rPr>
                <w:rFonts w:ascii="Arial" w:hAnsi="Arial" w:cs="Arial"/>
                <w:sz w:val="20"/>
                <w:szCs w:val="20"/>
              </w:rPr>
              <w:t>(Patients who had either 6+ SABA</w:t>
            </w:r>
            <w:r w:rsidR="00002879">
              <w:rPr>
                <w:rFonts w:ascii="Arial" w:hAnsi="Arial" w:cs="Arial"/>
                <w:sz w:val="20"/>
                <w:szCs w:val="20"/>
              </w:rPr>
              <w:t>,</w:t>
            </w:r>
            <w:r w:rsidRPr="004F04F0">
              <w:rPr>
                <w:rFonts w:ascii="Arial" w:hAnsi="Arial" w:cs="Arial"/>
                <w:sz w:val="20"/>
                <w:szCs w:val="20"/>
              </w:rPr>
              <w:t xml:space="preserve"> 2+ OCS, 2+ ED visit, or 1+ hospital visit: 28%)</w:t>
            </w:r>
          </w:p>
        </w:tc>
      </w:tr>
      <w:tr w:rsidR="004F04F0" w:rsidRPr="004F04F0" w14:paraId="0B05A5E9" w14:textId="77777777" w:rsidTr="004F04F0">
        <w:tc>
          <w:tcPr>
            <w:tcW w:w="2122" w:type="dxa"/>
            <w:shd w:val="clear" w:color="auto" w:fill="F2F2F2"/>
          </w:tcPr>
          <w:p w14:paraId="3B035DA7" w14:textId="77777777" w:rsidR="004F04F0" w:rsidRPr="004F04F0" w:rsidRDefault="004F04F0" w:rsidP="004F04F0">
            <w:pPr>
              <w:rPr>
                <w:rFonts w:ascii="Arial" w:hAnsi="Arial" w:cs="Arial"/>
                <w:b/>
                <w:bCs/>
                <w:sz w:val="20"/>
                <w:szCs w:val="20"/>
              </w:rPr>
            </w:pPr>
            <w:r w:rsidRPr="004F04F0">
              <w:rPr>
                <w:rFonts w:ascii="Arial" w:hAnsi="Arial" w:cs="Arial"/>
                <w:b/>
                <w:bCs/>
                <w:sz w:val="20"/>
                <w:szCs w:val="20"/>
              </w:rPr>
              <w:t>PMID 30765507 (</w:t>
            </w:r>
            <w:hyperlink r:id="rId20" w:history="1">
              <w:r w:rsidRPr="002C2900">
                <w:rPr>
                  <w:rFonts w:ascii="Arial" w:hAnsi="Arial" w:cs="Arial"/>
                  <w:b/>
                  <w:bCs/>
                  <w:sz w:val="20"/>
                  <w:szCs w:val="20"/>
                  <w:u w:val="single"/>
                </w:rPr>
                <w:t>Bloom et al. 2019</w:t>
              </w:r>
            </w:hyperlink>
            <w:r w:rsidRPr="004F04F0">
              <w:rPr>
                <w:rFonts w:ascii="Arial" w:hAnsi="Arial" w:cs="Arial"/>
                <w:b/>
                <w:bCs/>
                <w:sz w:val="20"/>
                <w:szCs w:val="20"/>
              </w:rPr>
              <w:t>)</w:t>
            </w:r>
          </w:p>
          <w:p w14:paraId="0B2CB640" w14:textId="77777777" w:rsidR="004F04F0" w:rsidRPr="004F04F0" w:rsidRDefault="004F04F0" w:rsidP="004F04F0">
            <w:pPr>
              <w:rPr>
                <w:rFonts w:ascii="Arial" w:hAnsi="Arial" w:cs="Arial"/>
                <w:sz w:val="20"/>
                <w:szCs w:val="20"/>
              </w:rPr>
            </w:pPr>
          </w:p>
          <w:p w14:paraId="4D5872EA" w14:textId="77777777" w:rsidR="004F04F0" w:rsidRPr="004F04F0" w:rsidRDefault="004F04F0" w:rsidP="004F04F0">
            <w:pPr>
              <w:rPr>
                <w:rFonts w:ascii="Arial" w:hAnsi="Arial" w:cs="Arial"/>
                <w:sz w:val="20"/>
                <w:szCs w:val="20"/>
              </w:rPr>
            </w:pPr>
            <w:r w:rsidRPr="004F04F0">
              <w:rPr>
                <w:rFonts w:ascii="Arial" w:hAnsi="Arial" w:cs="Arial"/>
                <w:sz w:val="20"/>
                <w:szCs w:val="20"/>
              </w:rPr>
              <w:t>Asthma pts (n=not stated) of any age from CPRD 01.01.06 – 31.12.16</w:t>
            </w:r>
          </w:p>
        </w:tc>
        <w:tc>
          <w:tcPr>
            <w:tcW w:w="2526" w:type="dxa"/>
          </w:tcPr>
          <w:p w14:paraId="553D67A7" w14:textId="77777777" w:rsidR="004F04F0" w:rsidRPr="004F04F0" w:rsidRDefault="004F04F0" w:rsidP="004F04F0">
            <w:pPr>
              <w:rPr>
                <w:rFonts w:ascii="Arial" w:hAnsi="Arial" w:cs="Arial"/>
                <w:sz w:val="20"/>
                <w:szCs w:val="20"/>
              </w:rPr>
            </w:pPr>
            <w:r w:rsidRPr="004F04F0">
              <w:rPr>
                <w:rFonts w:ascii="Arial" w:hAnsi="Arial" w:cs="Arial"/>
                <w:sz w:val="20"/>
                <w:szCs w:val="20"/>
              </w:rPr>
              <w:t>NA</w:t>
            </w:r>
          </w:p>
        </w:tc>
        <w:tc>
          <w:tcPr>
            <w:tcW w:w="2325" w:type="dxa"/>
          </w:tcPr>
          <w:p w14:paraId="2FBE5A0B" w14:textId="77777777" w:rsidR="004F04F0" w:rsidRPr="004F04F0" w:rsidRDefault="004F04F0" w:rsidP="004F04F0">
            <w:pPr>
              <w:rPr>
                <w:rFonts w:ascii="Arial" w:hAnsi="Arial" w:cs="Arial"/>
                <w:sz w:val="20"/>
                <w:szCs w:val="20"/>
              </w:rPr>
            </w:pPr>
            <w:r w:rsidRPr="004F04F0">
              <w:rPr>
                <w:rFonts w:ascii="Arial" w:hAnsi="Arial" w:cs="Arial"/>
                <w:sz w:val="20"/>
                <w:szCs w:val="20"/>
              </w:rPr>
              <w:t>1+ OCS:</w:t>
            </w:r>
          </w:p>
          <w:p w14:paraId="349132CF" w14:textId="77777777" w:rsidR="004F04F0" w:rsidRPr="004F04F0" w:rsidRDefault="004F04F0" w:rsidP="004F04F0">
            <w:pPr>
              <w:rPr>
                <w:rFonts w:ascii="Arial" w:hAnsi="Arial" w:cs="Arial"/>
                <w:sz w:val="20"/>
                <w:szCs w:val="20"/>
              </w:rPr>
            </w:pPr>
            <w:r w:rsidRPr="004F04F0">
              <w:rPr>
                <w:rFonts w:ascii="Arial" w:hAnsi="Arial" w:cs="Arial"/>
                <w:sz w:val="20"/>
                <w:szCs w:val="20"/>
              </w:rPr>
              <w:t xml:space="preserve">Ranged from 12.3% (in pts aged 5-17 yrs) to 29.5% (in pts aged 55+ yrs) </w:t>
            </w:r>
          </w:p>
        </w:tc>
        <w:tc>
          <w:tcPr>
            <w:tcW w:w="1953" w:type="dxa"/>
          </w:tcPr>
          <w:p w14:paraId="41570EBC" w14:textId="77777777" w:rsidR="004F04F0" w:rsidRPr="004F04F0" w:rsidRDefault="004F04F0" w:rsidP="004F04F0">
            <w:pPr>
              <w:rPr>
                <w:rFonts w:ascii="Arial" w:hAnsi="Arial" w:cs="Arial"/>
                <w:sz w:val="20"/>
                <w:szCs w:val="20"/>
              </w:rPr>
            </w:pPr>
            <w:r w:rsidRPr="004F04F0">
              <w:rPr>
                <w:rFonts w:ascii="Arial" w:hAnsi="Arial" w:cs="Arial"/>
                <w:sz w:val="20"/>
                <w:szCs w:val="20"/>
              </w:rPr>
              <w:t>NA</w:t>
            </w:r>
          </w:p>
        </w:tc>
        <w:tc>
          <w:tcPr>
            <w:tcW w:w="2697" w:type="dxa"/>
          </w:tcPr>
          <w:p w14:paraId="43DD0C7A" w14:textId="77777777" w:rsidR="004F04F0" w:rsidRPr="004F04F0" w:rsidRDefault="004F04F0" w:rsidP="004F04F0">
            <w:pPr>
              <w:rPr>
                <w:rFonts w:ascii="Arial" w:hAnsi="Arial" w:cs="Arial"/>
                <w:sz w:val="20"/>
                <w:szCs w:val="20"/>
              </w:rPr>
            </w:pPr>
            <w:r w:rsidRPr="004F04F0">
              <w:rPr>
                <w:rFonts w:ascii="Arial" w:hAnsi="Arial" w:cs="Arial"/>
                <w:sz w:val="20"/>
                <w:szCs w:val="20"/>
              </w:rPr>
              <w:t xml:space="preserve">1+ exacerbation needing admission: </w:t>
            </w:r>
          </w:p>
          <w:p w14:paraId="1234776B" w14:textId="77777777" w:rsidR="004F04F0" w:rsidRPr="004F04F0" w:rsidRDefault="004F04F0" w:rsidP="004F04F0">
            <w:pPr>
              <w:rPr>
                <w:rFonts w:ascii="Arial" w:hAnsi="Arial" w:cs="Arial"/>
                <w:sz w:val="20"/>
                <w:szCs w:val="20"/>
              </w:rPr>
            </w:pPr>
            <w:r w:rsidRPr="004F04F0">
              <w:rPr>
                <w:rFonts w:ascii="Arial" w:hAnsi="Arial" w:cs="Arial"/>
                <w:sz w:val="20"/>
                <w:szCs w:val="20"/>
              </w:rPr>
              <w:t>Ranged from 0.5% (in pts aged 55+ yrs) to 4.2% (in pts aged &lt;5 yrs)</w:t>
            </w:r>
          </w:p>
        </w:tc>
        <w:tc>
          <w:tcPr>
            <w:tcW w:w="2325" w:type="dxa"/>
          </w:tcPr>
          <w:p w14:paraId="01D60836" w14:textId="77777777" w:rsidR="004F04F0" w:rsidRPr="004F04F0" w:rsidRDefault="004F04F0" w:rsidP="004F04F0">
            <w:pPr>
              <w:rPr>
                <w:rFonts w:ascii="Arial" w:hAnsi="Arial" w:cs="Arial"/>
                <w:sz w:val="20"/>
                <w:szCs w:val="20"/>
              </w:rPr>
            </w:pPr>
            <w:r w:rsidRPr="004F04F0">
              <w:rPr>
                <w:rFonts w:ascii="Arial" w:hAnsi="Arial" w:cs="Arial"/>
                <w:sz w:val="20"/>
                <w:szCs w:val="20"/>
              </w:rPr>
              <w:t>See hospital admissions</w:t>
            </w:r>
          </w:p>
        </w:tc>
      </w:tr>
      <w:tr w:rsidR="004F04F0" w:rsidRPr="004F04F0" w14:paraId="07799BA9" w14:textId="77777777" w:rsidTr="004F04F0">
        <w:tc>
          <w:tcPr>
            <w:tcW w:w="2122" w:type="dxa"/>
            <w:shd w:val="clear" w:color="auto" w:fill="F2F2F2"/>
          </w:tcPr>
          <w:p w14:paraId="72BA8827" w14:textId="77777777" w:rsidR="004F04F0" w:rsidRPr="004F04F0" w:rsidRDefault="004F04F0" w:rsidP="004F04F0">
            <w:pPr>
              <w:rPr>
                <w:rFonts w:ascii="Arial" w:hAnsi="Arial" w:cs="Arial"/>
                <w:b/>
                <w:bCs/>
                <w:sz w:val="20"/>
                <w:szCs w:val="20"/>
              </w:rPr>
            </w:pPr>
            <w:r w:rsidRPr="004F04F0">
              <w:rPr>
                <w:rFonts w:ascii="Arial" w:hAnsi="Arial" w:cs="Arial"/>
                <w:b/>
                <w:bCs/>
                <w:sz w:val="20"/>
                <w:szCs w:val="20"/>
              </w:rPr>
              <w:t>PMID 38071524</w:t>
            </w:r>
          </w:p>
          <w:p w14:paraId="79062CF4" w14:textId="77777777" w:rsidR="004F04F0" w:rsidRPr="004F04F0" w:rsidRDefault="004F04F0" w:rsidP="004F04F0">
            <w:pPr>
              <w:rPr>
                <w:rFonts w:ascii="Arial" w:hAnsi="Arial" w:cs="Arial"/>
                <w:b/>
                <w:bCs/>
                <w:sz w:val="20"/>
                <w:szCs w:val="20"/>
              </w:rPr>
            </w:pPr>
            <w:r w:rsidRPr="004F04F0">
              <w:rPr>
                <w:rFonts w:ascii="Arial" w:hAnsi="Arial" w:cs="Arial"/>
                <w:b/>
                <w:bCs/>
                <w:sz w:val="20"/>
                <w:szCs w:val="20"/>
              </w:rPr>
              <w:t>(</w:t>
            </w:r>
            <w:hyperlink r:id="rId21" w:history="1">
              <w:r w:rsidRPr="002C2900">
                <w:rPr>
                  <w:rFonts w:ascii="Arial" w:hAnsi="Arial" w:cs="Arial"/>
                  <w:b/>
                  <w:bCs/>
                  <w:sz w:val="20"/>
                  <w:szCs w:val="20"/>
                  <w:u w:val="single"/>
                </w:rPr>
                <w:t>Khalaf et al. 2024</w:t>
              </w:r>
            </w:hyperlink>
            <w:r w:rsidRPr="004F04F0">
              <w:rPr>
                <w:rFonts w:ascii="Arial" w:hAnsi="Arial" w:cs="Arial"/>
                <w:b/>
                <w:bCs/>
                <w:sz w:val="20"/>
                <w:szCs w:val="20"/>
              </w:rPr>
              <w:t>)</w:t>
            </w:r>
          </w:p>
          <w:p w14:paraId="7CF773D0" w14:textId="77777777" w:rsidR="004F04F0" w:rsidRPr="004F04F0" w:rsidRDefault="004F04F0" w:rsidP="004F04F0">
            <w:pPr>
              <w:rPr>
                <w:rFonts w:ascii="Arial" w:hAnsi="Arial" w:cs="Arial"/>
                <w:sz w:val="20"/>
                <w:szCs w:val="20"/>
              </w:rPr>
            </w:pPr>
          </w:p>
          <w:p w14:paraId="3C22F769" w14:textId="77777777" w:rsidR="004F04F0" w:rsidRPr="004F04F0" w:rsidRDefault="004F04F0" w:rsidP="004F04F0">
            <w:pPr>
              <w:rPr>
                <w:rFonts w:ascii="Arial" w:hAnsi="Arial" w:cs="Arial"/>
                <w:sz w:val="20"/>
                <w:szCs w:val="20"/>
              </w:rPr>
            </w:pPr>
            <w:r w:rsidRPr="004F04F0">
              <w:rPr>
                <w:rFonts w:ascii="Arial" w:hAnsi="Arial" w:cs="Arial"/>
                <w:sz w:val="20"/>
                <w:szCs w:val="20"/>
              </w:rPr>
              <w:t>Children with asthma (n=119,611) aged 5-16 from CPRD records 2004–2021 linked to HES data</w:t>
            </w:r>
          </w:p>
        </w:tc>
        <w:tc>
          <w:tcPr>
            <w:tcW w:w="2526" w:type="dxa"/>
          </w:tcPr>
          <w:p w14:paraId="247A52EF" w14:textId="77777777" w:rsidR="004F04F0" w:rsidRPr="004F04F0" w:rsidRDefault="004F04F0" w:rsidP="004F04F0">
            <w:pPr>
              <w:rPr>
                <w:rFonts w:ascii="Arial" w:hAnsi="Arial" w:cs="Arial"/>
                <w:sz w:val="20"/>
                <w:szCs w:val="20"/>
              </w:rPr>
            </w:pPr>
            <w:r w:rsidRPr="004F04F0">
              <w:rPr>
                <w:rFonts w:ascii="Arial" w:hAnsi="Arial" w:cs="Arial"/>
                <w:sz w:val="20"/>
                <w:szCs w:val="20"/>
              </w:rPr>
              <w:t>5+ SABA:</w:t>
            </w:r>
          </w:p>
          <w:p w14:paraId="03CC61DC" w14:textId="77777777" w:rsidR="004F04F0" w:rsidRPr="004F04F0" w:rsidRDefault="004F04F0" w:rsidP="004F04F0">
            <w:pPr>
              <w:rPr>
                <w:rFonts w:ascii="Arial" w:hAnsi="Arial" w:cs="Arial"/>
                <w:sz w:val="20"/>
                <w:szCs w:val="20"/>
              </w:rPr>
            </w:pPr>
            <w:proofErr w:type="gramStart"/>
            <w:r w:rsidRPr="004F04F0">
              <w:rPr>
                <w:rFonts w:ascii="Arial" w:hAnsi="Arial" w:cs="Arial"/>
                <w:sz w:val="20"/>
                <w:szCs w:val="20"/>
              </w:rPr>
              <w:t>17%</w:t>
            </w:r>
            <w:proofErr w:type="gramEnd"/>
            <w:r w:rsidRPr="004F04F0">
              <w:rPr>
                <w:rFonts w:ascii="Arial" w:hAnsi="Arial" w:cs="Arial"/>
                <w:sz w:val="20"/>
                <w:szCs w:val="20"/>
              </w:rPr>
              <w:t xml:space="preserve"> (aged 12-15 yrs)</w:t>
            </w:r>
          </w:p>
        </w:tc>
        <w:tc>
          <w:tcPr>
            <w:tcW w:w="2325" w:type="dxa"/>
          </w:tcPr>
          <w:p w14:paraId="52D2EFE4" w14:textId="77777777" w:rsidR="004F04F0" w:rsidRPr="004F04F0" w:rsidRDefault="004F04F0" w:rsidP="004F04F0">
            <w:pPr>
              <w:rPr>
                <w:rFonts w:ascii="Arial" w:hAnsi="Arial" w:cs="Arial"/>
                <w:sz w:val="20"/>
                <w:szCs w:val="20"/>
              </w:rPr>
            </w:pPr>
            <w:r w:rsidRPr="004F04F0">
              <w:rPr>
                <w:rFonts w:ascii="Arial" w:hAnsi="Arial" w:cs="Arial"/>
                <w:sz w:val="20"/>
                <w:szCs w:val="20"/>
              </w:rPr>
              <w:t>1+ OCS in the year before asthma diagnosis:</w:t>
            </w:r>
          </w:p>
          <w:p w14:paraId="0149D5CC" w14:textId="77777777" w:rsidR="004F04F0" w:rsidRPr="004F04F0" w:rsidRDefault="004F04F0" w:rsidP="004F04F0">
            <w:pPr>
              <w:rPr>
                <w:rFonts w:ascii="Arial" w:hAnsi="Arial" w:cs="Arial"/>
                <w:sz w:val="20"/>
                <w:szCs w:val="20"/>
              </w:rPr>
            </w:pPr>
            <w:r w:rsidRPr="004F04F0">
              <w:rPr>
                <w:rFonts w:ascii="Arial" w:hAnsi="Arial" w:cs="Arial"/>
                <w:sz w:val="20"/>
                <w:szCs w:val="20"/>
              </w:rPr>
              <w:t>5.3% (aged 5-15 yrs)</w:t>
            </w:r>
          </w:p>
        </w:tc>
        <w:tc>
          <w:tcPr>
            <w:tcW w:w="1953" w:type="dxa"/>
          </w:tcPr>
          <w:p w14:paraId="089BB008" w14:textId="77777777" w:rsidR="004F04F0" w:rsidRPr="004F04F0" w:rsidRDefault="004F04F0" w:rsidP="004F04F0">
            <w:pPr>
              <w:rPr>
                <w:rFonts w:ascii="Arial" w:hAnsi="Arial" w:cs="Arial"/>
                <w:sz w:val="20"/>
                <w:szCs w:val="20"/>
              </w:rPr>
            </w:pPr>
            <w:r w:rsidRPr="004F04F0">
              <w:rPr>
                <w:rFonts w:ascii="Arial" w:hAnsi="Arial" w:cs="Arial"/>
                <w:sz w:val="20"/>
                <w:szCs w:val="20"/>
              </w:rPr>
              <w:t>1+ unscheduled hospital visit in the year before asthma diagnosis: 1.3% (aged 5-15 yrs)</w:t>
            </w:r>
          </w:p>
          <w:p w14:paraId="57BCC9DE" w14:textId="77777777" w:rsidR="004F04F0" w:rsidRPr="004F04F0" w:rsidRDefault="004F04F0" w:rsidP="004F04F0">
            <w:pPr>
              <w:rPr>
                <w:rFonts w:ascii="Arial" w:hAnsi="Arial" w:cs="Arial"/>
                <w:sz w:val="20"/>
                <w:szCs w:val="20"/>
              </w:rPr>
            </w:pPr>
          </w:p>
        </w:tc>
        <w:tc>
          <w:tcPr>
            <w:tcW w:w="2697" w:type="dxa"/>
          </w:tcPr>
          <w:p w14:paraId="00994060" w14:textId="77777777" w:rsidR="004F04F0" w:rsidRPr="004F04F0" w:rsidRDefault="004F04F0" w:rsidP="004F04F0">
            <w:pPr>
              <w:rPr>
                <w:rFonts w:ascii="Arial" w:hAnsi="Arial" w:cs="Arial"/>
                <w:sz w:val="20"/>
                <w:szCs w:val="20"/>
              </w:rPr>
            </w:pPr>
            <w:r w:rsidRPr="004F04F0">
              <w:rPr>
                <w:rFonts w:ascii="Arial" w:hAnsi="Arial" w:cs="Arial"/>
                <w:sz w:val="20"/>
                <w:szCs w:val="20"/>
              </w:rPr>
              <w:t>NA</w:t>
            </w:r>
          </w:p>
        </w:tc>
        <w:tc>
          <w:tcPr>
            <w:tcW w:w="2325" w:type="dxa"/>
          </w:tcPr>
          <w:p w14:paraId="12476244" w14:textId="77777777" w:rsidR="004F04F0" w:rsidRPr="004F04F0" w:rsidRDefault="004F04F0" w:rsidP="004F04F0">
            <w:pPr>
              <w:rPr>
                <w:rFonts w:ascii="Arial" w:hAnsi="Arial" w:cs="Arial"/>
                <w:i/>
                <w:iCs/>
                <w:sz w:val="20"/>
                <w:szCs w:val="20"/>
              </w:rPr>
            </w:pPr>
            <w:r w:rsidRPr="004F04F0">
              <w:rPr>
                <w:rFonts w:ascii="Arial" w:hAnsi="Arial" w:cs="Arial"/>
                <w:i/>
                <w:iCs/>
                <w:sz w:val="20"/>
                <w:szCs w:val="20"/>
              </w:rPr>
              <w:t xml:space="preserve">Exacerbation data provided as rate per </w:t>
            </w:r>
            <w:proofErr w:type="gramStart"/>
            <w:r w:rsidRPr="004F04F0">
              <w:rPr>
                <w:rFonts w:ascii="Arial" w:hAnsi="Arial" w:cs="Arial"/>
                <w:i/>
                <w:iCs/>
                <w:sz w:val="20"/>
                <w:szCs w:val="20"/>
              </w:rPr>
              <w:t>100</w:t>
            </w:r>
            <w:proofErr w:type="gramEnd"/>
            <w:r w:rsidRPr="004F04F0">
              <w:rPr>
                <w:rFonts w:ascii="Arial" w:hAnsi="Arial" w:cs="Arial"/>
                <w:i/>
                <w:iCs/>
                <w:sz w:val="20"/>
                <w:szCs w:val="20"/>
              </w:rPr>
              <w:t xml:space="preserve"> person years (therefore cannot </w:t>
            </w:r>
            <w:proofErr w:type="gramStart"/>
            <w:r w:rsidRPr="004F04F0">
              <w:rPr>
                <w:rFonts w:ascii="Arial" w:hAnsi="Arial" w:cs="Arial"/>
                <w:i/>
                <w:iCs/>
                <w:sz w:val="20"/>
                <w:szCs w:val="20"/>
              </w:rPr>
              <w:t>be compared</w:t>
            </w:r>
            <w:proofErr w:type="gramEnd"/>
            <w:r w:rsidRPr="004F04F0">
              <w:rPr>
                <w:rFonts w:ascii="Arial" w:hAnsi="Arial" w:cs="Arial"/>
                <w:i/>
                <w:iCs/>
                <w:sz w:val="20"/>
                <w:szCs w:val="20"/>
              </w:rPr>
              <w:t xml:space="preserve"> with </w:t>
            </w:r>
            <w:proofErr w:type="gramStart"/>
            <w:r w:rsidRPr="004F04F0">
              <w:rPr>
                <w:rFonts w:ascii="Arial" w:hAnsi="Arial" w:cs="Arial"/>
                <w:i/>
                <w:iCs/>
                <w:sz w:val="20"/>
                <w:szCs w:val="20"/>
              </w:rPr>
              <w:t>NICE analysis</w:t>
            </w:r>
            <w:proofErr w:type="gramEnd"/>
            <w:r w:rsidRPr="004F04F0">
              <w:rPr>
                <w:rFonts w:ascii="Arial" w:hAnsi="Arial" w:cs="Arial"/>
                <w:i/>
                <w:iCs/>
                <w:sz w:val="20"/>
                <w:szCs w:val="20"/>
              </w:rPr>
              <w:t>)</w:t>
            </w:r>
          </w:p>
          <w:p w14:paraId="579197CE" w14:textId="77777777" w:rsidR="004F04F0" w:rsidRPr="004F04F0" w:rsidRDefault="004F04F0" w:rsidP="004F04F0">
            <w:pPr>
              <w:rPr>
                <w:rFonts w:ascii="Arial" w:hAnsi="Arial" w:cs="Arial"/>
                <w:sz w:val="20"/>
                <w:szCs w:val="20"/>
              </w:rPr>
            </w:pPr>
          </w:p>
        </w:tc>
      </w:tr>
      <w:tr w:rsidR="004F04F0" w:rsidRPr="004F04F0" w14:paraId="72465182" w14:textId="77777777" w:rsidTr="004F04F0">
        <w:tc>
          <w:tcPr>
            <w:tcW w:w="2122" w:type="dxa"/>
            <w:shd w:val="clear" w:color="auto" w:fill="F2F2F2"/>
          </w:tcPr>
          <w:p w14:paraId="5F5547B5" w14:textId="77777777" w:rsidR="004F04F0" w:rsidRPr="004F04F0" w:rsidRDefault="004F04F0" w:rsidP="004F04F0">
            <w:pPr>
              <w:rPr>
                <w:rFonts w:ascii="Arial" w:hAnsi="Arial" w:cs="Arial"/>
                <w:b/>
                <w:bCs/>
                <w:sz w:val="20"/>
                <w:szCs w:val="20"/>
              </w:rPr>
            </w:pPr>
            <w:r w:rsidRPr="004F04F0">
              <w:rPr>
                <w:rFonts w:ascii="Arial" w:hAnsi="Arial" w:cs="Arial"/>
                <w:b/>
                <w:bCs/>
                <w:sz w:val="20"/>
                <w:szCs w:val="20"/>
              </w:rPr>
              <w:t xml:space="preserve">PMID 29074814 </w:t>
            </w:r>
          </w:p>
          <w:p w14:paraId="65ACD620" w14:textId="77777777" w:rsidR="004F04F0" w:rsidRPr="004F04F0" w:rsidRDefault="004F04F0" w:rsidP="004F04F0">
            <w:pPr>
              <w:rPr>
                <w:rFonts w:ascii="Arial" w:hAnsi="Arial" w:cs="Arial"/>
                <w:b/>
                <w:bCs/>
                <w:sz w:val="20"/>
                <w:szCs w:val="20"/>
              </w:rPr>
            </w:pPr>
            <w:r w:rsidRPr="004F04F0">
              <w:rPr>
                <w:rFonts w:ascii="Arial" w:hAnsi="Arial" w:cs="Arial"/>
                <w:b/>
                <w:bCs/>
                <w:sz w:val="20"/>
                <w:szCs w:val="20"/>
              </w:rPr>
              <w:t>(</w:t>
            </w:r>
            <w:hyperlink r:id="rId22" w:history="1">
              <w:r w:rsidRPr="002C2900">
                <w:rPr>
                  <w:rFonts w:ascii="Arial" w:hAnsi="Arial" w:cs="Arial"/>
                  <w:b/>
                  <w:bCs/>
                  <w:sz w:val="20"/>
                  <w:szCs w:val="20"/>
                  <w:u w:val="single"/>
                </w:rPr>
                <w:t>Bloom et al. 2018</w:t>
              </w:r>
            </w:hyperlink>
            <w:r w:rsidRPr="004F04F0">
              <w:rPr>
                <w:rFonts w:ascii="Arial" w:hAnsi="Arial" w:cs="Arial"/>
                <w:b/>
                <w:bCs/>
                <w:sz w:val="20"/>
                <w:szCs w:val="20"/>
              </w:rPr>
              <w:t>)</w:t>
            </w:r>
          </w:p>
          <w:p w14:paraId="329F6EA1" w14:textId="77777777" w:rsidR="004F04F0" w:rsidRPr="004F04F0" w:rsidRDefault="004F04F0" w:rsidP="004F04F0">
            <w:pPr>
              <w:rPr>
                <w:rFonts w:ascii="Arial" w:hAnsi="Arial" w:cs="Arial"/>
                <w:sz w:val="20"/>
                <w:szCs w:val="20"/>
              </w:rPr>
            </w:pPr>
          </w:p>
          <w:p w14:paraId="2963EAA2" w14:textId="77777777" w:rsidR="004F04F0" w:rsidRPr="004F04F0" w:rsidRDefault="004F04F0" w:rsidP="004F04F0">
            <w:pPr>
              <w:rPr>
                <w:rFonts w:ascii="Arial" w:hAnsi="Arial" w:cs="Arial"/>
                <w:sz w:val="20"/>
                <w:szCs w:val="20"/>
              </w:rPr>
            </w:pPr>
            <w:r w:rsidRPr="004F04F0">
              <w:rPr>
                <w:rFonts w:ascii="Arial" w:hAnsi="Arial" w:cs="Arial"/>
                <w:sz w:val="20"/>
                <w:szCs w:val="20"/>
              </w:rPr>
              <w:t xml:space="preserve">Asthma pts (n=424,326) of any age from CPRD records April 2007– </w:t>
            </w:r>
            <w:r w:rsidRPr="004F04F0">
              <w:rPr>
                <w:rFonts w:ascii="Arial" w:hAnsi="Arial" w:cs="Arial"/>
                <w:sz w:val="20"/>
                <w:szCs w:val="20"/>
              </w:rPr>
              <w:lastRenderedPageBreak/>
              <w:t>Sept 2015 linked to HES data</w:t>
            </w:r>
          </w:p>
        </w:tc>
        <w:tc>
          <w:tcPr>
            <w:tcW w:w="2526" w:type="dxa"/>
          </w:tcPr>
          <w:p w14:paraId="792D2203" w14:textId="77777777" w:rsidR="004F04F0" w:rsidRPr="004F04F0" w:rsidRDefault="004F04F0" w:rsidP="004F04F0">
            <w:pPr>
              <w:rPr>
                <w:rFonts w:ascii="Arial" w:hAnsi="Arial" w:cs="Arial"/>
                <w:sz w:val="20"/>
                <w:szCs w:val="20"/>
              </w:rPr>
            </w:pPr>
            <w:r w:rsidRPr="004F04F0">
              <w:rPr>
                <w:rFonts w:ascii="Arial" w:hAnsi="Arial" w:cs="Arial"/>
                <w:sz w:val="20"/>
                <w:szCs w:val="20"/>
              </w:rPr>
              <w:lastRenderedPageBreak/>
              <w:t>NA</w:t>
            </w:r>
          </w:p>
        </w:tc>
        <w:tc>
          <w:tcPr>
            <w:tcW w:w="2325" w:type="dxa"/>
          </w:tcPr>
          <w:p w14:paraId="537ED323" w14:textId="77777777" w:rsidR="004F04F0" w:rsidRPr="004F04F0" w:rsidRDefault="004F04F0" w:rsidP="004F04F0">
            <w:pPr>
              <w:rPr>
                <w:rFonts w:ascii="Arial" w:hAnsi="Arial" w:cs="Arial"/>
                <w:sz w:val="20"/>
                <w:szCs w:val="20"/>
              </w:rPr>
            </w:pPr>
            <w:r w:rsidRPr="004F04F0">
              <w:rPr>
                <w:rFonts w:ascii="Arial" w:hAnsi="Arial" w:cs="Arial"/>
                <w:sz w:val="20"/>
                <w:szCs w:val="20"/>
              </w:rPr>
              <w:t>NA</w:t>
            </w:r>
          </w:p>
        </w:tc>
        <w:tc>
          <w:tcPr>
            <w:tcW w:w="1953" w:type="dxa"/>
          </w:tcPr>
          <w:p w14:paraId="4376BDE8" w14:textId="77777777" w:rsidR="004F04F0" w:rsidRPr="004F04F0" w:rsidRDefault="004F04F0" w:rsidP="004F04F0">
            <w:pPr>
              <w:rPr>
                <w:rFonts w:ascii="Arial" w:hAnsi="Arial" w:cs="Arial"/>
                <w:sz w:val="20"/>
                <w:szCs w:val="20"/>
              </w:rPr>
            </w:pPr>
            <w:r w:rsidRPr="004F04F0">
              <w:rPr>
                <w:rFonts w:ascii="Arial" w:hAnsi="Arial" w:cs="Arial"/>
                <w:sz w:val="20"/>
                <w:szCs w:val="20"/>
              </w:rPr>
              <w:t>NA</w:t>
            </w:r>
          </w:p>
        </w:tc>
        <w:tc>
          <w:tcPr>
            <w:tcW w:w="2697" w:type="dxa"/>
          </w:tcPr>
          <w:p w14:paraId="3D603F1A" w14:textId="77777777" w:rsidR="004F04F0" w:rsidRPr="004F04F0" w:rsidRDefault="004F04F0" w:rsidP="004F04F0">
            <w:pPr>
              <w:rPr>
                <w:rFonts w:ascii="Arial" w:hAnsi="Arial" w:cs="Arial"/>
                <w:sz w:val="20"/>
                <w:szCs w:val="20"/>
              </w:rPr>
            </w:pPr>
            <w:r w:rsidRPr="004F04F0">
              <w:rPr>
                <w:rFonts w:ascii="Arial" w:hAnsi="Arial" w:cs="Arial"/>
                <w:sz w:val="20"/>
                <w:szCs w:val="20"/>
              </w:rPr>
              <w:t>NA</w:t>
            </w:r>
          </w:p>
        </w:tc>
        <w:tc>
          <w:tcPr>
            <w:tcW w:w="2325" w:type="dxa"/>
          </w:tcPr>
          <w:p w14:paraId="3061AFC6" w14:textId="77777777" w:rsidR="004F04F0" w:rsidRPr="004F04F0" w:rsidRDefault="004F04F0" w:rsidP="004F04F0">
            <w:pPr>
              <w:rPr>
                <w:rFonts w:ascii="Arial" w:hAnsi="Arial" w:cs="Arial"/>
                <w:sz w:val="20"/>
                <w:szCs w:val="20"/>
              </w:rPr>
            </w:pPr>
            <w:r w:rsidRPr="004F04F0">
              <w:rPr>
                <w:rFonts w:ascii="Arial" w:hAnsi="Arial" w:cs="Arial"/>
                <w:sz w:val="20"/>
                <w:szCs w:val="20"/>
              </w:rPr>
              <w:t>Annual exacerbation</w:t>
            </w:r>
            <w:r w:rsidRPr="004F04F0">
              <w:rPr>
                <w:rFonts w:ascii="Arial" w:hAnsi="Arial" w:cs="Arial"/>
                <w:sz w:val="20"/>
                <w:szCs w:val="20"/>
                <w:vertAlign w:val="superscript"/>
              </w:rPr>
              <w:t xml:space="preserve"> </w:t>
            </w:r>
            <w:r w:rsidRPr="004F04F0">
              <w:rPr>
                <w:rFonts w:ascii="Arial" w:hAnsi="Arial" w:cs="Arial"/>
                <w:sz w:val="20"/>
                <w:szCs w:val="20"/>
              </w:rPr>
              <w:t>frequency</w:t>
            </w:r>
            <w:r w:rsidRPr="004F04F0">
              <w:rPr>
                <w:rFonts w:ascii="Arial" w:hAnsi="Arial" w:cs="Arial"/>
                <w:sz w:val="20"/>
                <w:szCs w:val="20"/>
                <w:vertAlign w:val="superscript"/>
              </w:rPr>
              <w:t>1</w:t>
            </w:r>
            <w:r w:rsidRPr="004F04F0">
              <w:rPr>
                <w:rFonts w:ascii="Arial" w:hAnsi="Arial" w:cs="Arial"/>
                <w:sz w:val="20"/>
                <w:szCs w:val="20"/>
              </w:rPr>
              <w:t>:</w:t>
            </w:r>
          </w:p>
          <w:p w14:paraId="2EA104EA" w14:textId="77777777" w:rsidR="004F04F0" w:rsidRPr="004F04F0" w:rsidRDefault="004F04F0" w:rsidP="004F04F0">
            <w:pPr>
              <w:rPr>
                <w:rFonts w:ascii="Arial" w:hAnsi="Arial" w:cs="Arial"/>
                <w:sz w:val="20"/>
                <w:szCs w:val="20"/>
              </w:rPr>
            </w:pPr>
            <w:r w:rsidRPr="004F04F0">
              <w:rPr>
                <w:rFonts w:ascii="Arial" w:hAnsi="Arial" w:cs="Arial"/>
                <w:sz w:val="20"/>
                <w:szCs w:val="20"/>
              </w:rPr>
              <w:t>&gt;1 exacerbation: 10.4% (aged 5+ yrs)</w:t>
            </w:r>
          </w:p>
        </w:tc>
      </w:tr>
      <w:tr w:rsidR="004F04F0" w:rsidRPr="004F04F0" w14:paraId="08EBEFEA" w14:textId="77777777" w:rsidTr="004F04F0">
        <w:tc>
          <w:tcPr>
            <w:tcW w:w="2122" w:type="dxa"/>
            <w:shd w:val="clear" w:color="auto" w:fill="F2F2F2"/>
          </w:tcPr>
          <w:p w14:paraId="0EB1D387" w14:textId="77777777" w:rsidR="004F04F0" w:rsidRPr="004F04F0" w:rsidRDefault="004F04F0" w:rsidP="004F04F0">
            <w:pPr>
              <w:rPr>
                <w:rFonts w:ascii="Arial" w:hAnsi="Arial" w:cs="Arial"/>
                <w:b/>
                <w:bCs/>
                <w:sz w:val="20"/>
                <w:szCs w:val="20"/>
              </w:rPr>
            </w:pPr>
            <w:r w:rsidRPr="004F04F0">
              <w:rPr>
                <w:rFonts w:ascii="Arial" w:hAnsi="Arial" w:cs="Arial"/>
                <w:b/>
                <w:bCs/>
                <w:sz w:val="20"/>
                <w:szCs w:val="20"/>
              </w:rPr>
              <w:t>PMID 34669568 (</w:t>
            </w:r>
            <w:hyperlink r:id="rId23" w:history="1">
              <w:r w:rsidRPr="002C2900">
                <w:rPr>
                  <w:rFonts w:ascii="Arial" w:hAnsi="Arial" w:cs="Arial"/>
                  <w:b/>
                  <w:bCs/>
                  <w:sz w:val="20"/>
                  <w:szCs w:val="20"/>
                  <w:u w:val="single"/>
                </w:rPr>
                <w:t>Bloom et al. 2021</w:t>
              </w:r>
            </w:hyperlink>
            <w:r w:rsidRPr="004F04F0">
              <w:rPr>
                <w:rFonts w:ascii="Arial" w:hAnsi="Arial" w:cs="Arial"/>
                <w:b/>
                <w:bCs/>
                <w:sz w:val="20"/>
                <w:szCs w:val="20"/>
              </w:rPr>
              <w:t>)</w:t>
            </w:r>
          </w:p>
          <w:p w14:paraId="570C99B7" w14:textId="77777777" w:rsidR="004F04F0" w:rsidRPr="004F04F0" w:rsidRDefault="004F04F0" w:rsidP="004F04F0">
            <w:pPr>
              <w:rPr>
                <w:rFonts w:ascii="Arial" w:hAnsi="Arial" w:cs="Arial"/>
                <w:sz w:val="20"/>
                <w:szCs w:val="20"/>
              </w:rPr>
            </w:pPr>
          </w:p>
          <w:p w14:paraId="1971D9C0" w14:textId="77777777" w:rsidR="004F04F0" w:rsidRPr="004F04F0" w:rsidRDefault="004F04F0" w:rsidP="004F04F0">
            <w:pPr>
              <w:rPr>
                <w:rFonts w:ascii="Arial" w:hAnsi="Arial" w:cs="Arial"/>
                <w:sz w:val="20"/>
                <w:szCs w:val="20"/>
              </w:rPr>
            </w:pPr>
            <w:r w:rsidRPr="004F04F0">
              <w:rPr>
                <w:rFonts w:ascii="Arial" w:hAnsi="Arial" w:cs="Arial"/>
                <w:sz w:val="20"/>
                <w:szCs w:val="20"/>
              </w:rPr>
              <w:t>Adults (n=434,348 with asthma and 748,327 matched gen. pop.) aged 18+ from CPRD records 01.01.20 – 26.06.20 linked to HES data</w:t>
            </w:r>
          </w:p>
        </w:tc>
        <w:tc>
          <w:tcPr>
            <w:tcW w:w="2526" w:type="dxa"/>
          </w:tcPr>
          <w:p w14:paraId="3FBB4D2D" w14:textId="77777777" w:rsidR="004F04F0" w:rsidRPr="004F04F0" w:rsidRDefault="004F04F0" w:rsidP="004F04F0">
            <w:pPr>
              <w:rPr>
                <w:rFonts w:ascii="Arial" w:hAnsi="Arial" w:cs="Arial"/>
                <w:sz w:val="20"/>
                <w:szCs w:val="20"/>
              </w:rPr>
            </w:pPr>
            <w:r w:rsidRPr="004F04F0">
              <w:t>NA</w:t>
            </w:r>
          </w:p>
        </w:tc>
        <w:tc>
          <w:tcPr>
            <w:tcW w:w="2325" w:type="dxa"/>
          </w:tcPr>
          <w:p w14:paraId="0F8C9A8E" w14:textId="77777777" w:rsidR="004F04F0" w:rsidRPr="004F04F0" w:rsidRDefault="004F04F0" w:rsidP="004F04F0">
            <w:pPr>
              <w:rPr>
                <w:rFonts w:ascii="Arial" w:hAnsi="Arial" w:cs="Arial"/>
                <w:sz w:val="20"/>
                <w:szCs w:val="20"/>
              </w:rPr>
            </w:pPr>
            <w:r w:rsidRPr="004F04F0">
              <w:rPr>
                <w:rFonts w:ascii="Arial" w:hAnsi="Arial" w:cs="Arial"/>
                <w:sz w:val="20"/>
                <w:szCs w:val="20"/>
              </w:rPr>
              <w:t>1 GP-managed exacerbation (short course OCS) in past year:</w:t>
            </w:r>
          </w:p>
          <w:p w14:paraId="2011FFF2" w14:textId="77777777" w:rsidR="004F04F0" w:rsidRPr="004F04F0" w:rsidRDefault="004F04F0" w:rsidP="004F04F0">
            <w:pPr>
              <w:rPr>
                <w:rFonts w:ascii="Arial" w:hAnsi="Arial" w:cs="Arial"/>
                <w:sz w:val="20"/>
                <w:szCs w:val="20"/>
              </w:rPr>
            </w:pPr>
            <w:r w:rsidRPr="004F04F0">
              <w:rPr>
                <w:rFonts w:ascii="Arial" w:hAnsi="Arial" w:cs="Arial"/>
                <w:sz w:val="20"/>
                <w:szCs w:val="20"/>
              </w:rPr>
              <w:t>11.7% (aged 18+ yrs)</w:t>
            </w:r>
          </w:p>
        </w:tc>
        <w:tc>
          <w:tcPr>
            <w:tcW w:w="1953" w:type="dxa"/>
          </w:tcPr>
          <w:p w14:paraId="6D94AFE4" w14:textId="77777777" w:rsidR="004F04F0" w:rsidRPr="004F04F0" w:rsidRDefault="004F04F0" w:rsidP="004F04F0">
            <w:pPr>
              <w:rPr>
                <w:rFonts w:ascii="Arial" w:hAnsi="Arial" w:cs="Arial"/>
                <w:sz w:val="20"/>
                <w:szCs w:val="20"/>
              </w:rPr>
            </w:pPr>
            <w:r w:rsidRPr="004F04F0">
              <w:t>NA</w:t>
            </w:r>
          </w:p>
        </w:tc>
        <w:tc>
          <w:tcPr>
            <w:tcW w:w="2697" w:type="dxa"/>
          </w:tcPr>
          <w:p w14:paraId="7C2CBAE1" w14:textId="77777777" w:rsidR="004F04F0" w:rsidRPr="004F04F0" w:rsidRDefault="004F04F0" w:rsidP="004F04F0">
            <w:pPr>
              <w:rPr>
                <w:rFonts w:ascii="Arial" w:hAnsi="Arial" w:cs="Arial"/>
                <w:sz w:val="20"/>
                <w:szCs w:val="20"/>
              </w:rPr>
            </w:pPr>
            <w:r w:rsidRPr="004F04F0">
              <w:t>NA</w:t>
            </w:r>
          </w:p>
        </w:tc>
        <w:tc>
          <w:tcPr>
            <w:tcW w:w="2325" w:type="dxa"/>
          </w:tcPr>
          <w:p w14:paraId="5B0A5015" w14:textId="77777777" w:rsidR="004F04F0" w:rsidRPr="004F04F0" w:rsidRDefault="004F04F0" w:rsidP="004F04F0">
            <w:pPr>
              <w:rPr>
                <w:rFonts w:ascii="Arial" w:hAnsi="Arial" w:cs="Arial"/>
                <w:sz w:val="20"/>
                <w:szCs w:val="20"/>
              </w:rPr>
            </w:pPr>
            <w:r w:rsidRPr="004F04F0">
              <w:rPr>
                <w:rFonts w:ascii="Arial" w:hAnsi="Arial" w:cs="Arial"/>
                <w:sz w:val="20"/>
                <w:szCs w:val="20"/>
              </w:rPr>
              <w:t xml:space="preserve">&gt;1 GP-managed or </w:t>
            </w:r>
            <w:r w:rsidRPr="004F04F0">
              <w:rPr>
                <w:rFonts w:ascii="Cambria Math" w:hAnsi="Cambria Math" w:cs="Cambria Math"/>
                <w:sz w:val="20"/>
                <w:szCs w:val="20"/>
              </w:rPr>
              <w:t>⩾</w:t>
            </w:r>
            <w:r w:rsidRPr="004F04F0">
              <w:rPr>
                <w:rFonts w:ascii="Arial" w:hAnsi="Arial" w:cs="Arial"/>
                <w:sz w:val="20"/>
                <w:szCs w:val="20"/>
              </w:rPr>
              <w:t>1 hospital admission for asthma in the past 5 years:</w:t>
            </w:r>
          </w:p>
          <w:p w14:paraId="35AF29B2" w14:textId="77777777" w:rsidR="004F04F0" w:rsidRPr="004F04F0" w:rsidRDefault="004F04F0" w:rsidP="004F04F0">
            <w:pPr>
              <w:rPr>
                <w:rFonts w:ascii="Arial" w:hAnsi="Arial" w:cs="Arial"/>
                <w:sz w:val="20"/>
                <w:szCs w:val="20"/>
              </w:rPr>
            </w:pPr>
            <w:r w:rsidRPr="004F04F0">
              <w:rPr>
                <w:rFonts w:ascii="Arial" w:hAnsi="Arial" w:cs="Arial"/>
                <w:sz w:val="20"/>
                <w:szCs w:val="20"/>
              </w:rPr>
              <w:t>7.5% (aged 18 yrs)</w:t>
            </w:r>
          </w:p>
          <w:p w14:paraId="1BDF5301" w14:textId="77777777" w:rsidR="004F04F0" w:rsidRPr="004F04F0" w:rsidRDefault="004F04F0" w:rsidP="004F04F0">
            <w:pPr>
              <w:rPr>
                <w:rFonts w:ascii="Arial" w:hAnsi="Arial" w:cs="Arial"/>
                <w:sz w:val="20"/>
                <w:szCs w:val="20"/>
              </w:rPr>
            </w:pPr>
          </w:p>
          <w:p w14:paraId="61800FD3" w14:textId="77777777" w:rsidR="004F04F0" w:rsidRPr="004F04F0" w:rsidRDefault="004F04F0" w:rsidP="004F04F0">
            <w:pPr>
              <w:rPr>
                <w:rFonts w:ascii="Arial" w:hAnsi="Arial" w:cs="Arial"/>
                <w:sz w:val="20"/>
                <w:szCs w:val="20"/>
              </w:rPr>
            </w:pPr>
          </w:p>
        </w:tc>
      </w:tr>
      <w:tr w:rsidR="004F04F0" w:rsidRPr="004F04F0" w14:paraId="723884AB" w14:textId="77777777" w:rsidTr="004F04F0">
        <w:tc>
          <w:tcPr>
            <w:tcW w:w="2122" w:type="dxa"/>
            <w:shd w:val="clear" w:color="auto" w:fill="F2F2F2"/>
          </w:tcPr>
          <w:p w14:paraId="5E5FAAD0" w14:textId="77777777" w:rsidR="004F04F0" w:rsidRPr="00D9363C" w:rsidRDefault="004F04F0" w:rsidP="004F04F0">
            <w:pPr>
              <w:rPr>
                <w:rFonts w:ascii="Arial" w:hAnsi="Arial" w:cs="Arial"/>
                <w:b/>
                <w:bCs/>
                <w:sz w:val="20"/>
                <w:szCs w:val="20"/>
              </w:rPr>
            </w:pPr>
            <w:r w:rsidRPr="004F04F0">
              <w:rPr>
                <w:rFonts w:ascii="Arial" w:hAnsi="Arial" w:cs="Arial"/>
                <w:b/>
                <w:bCs/>
                <w:sz w:val="20"/>
                <w:szCs w:val="20"/>
              </w:rPr>
              <w:t>PMID 31550948 (</w:t>
            </w:r>
            <w:hyperlink r:id="rId24" w:history="1">
              <w:r w:rsidRPr="002C2900">
                <w:rPr>
                  <w:rFonts w:ascii="Arial" w:hAnsi="Arial" w:cs="Arial"/>
                  <w:b/>
                  <w:bCs/>
                  <w:sz w:val="20"/>
                  <w:szCs w:val="20"/>
                  <w:u w:val="single"/>
                </w:rPr>
                <w:t>Bloom et al. 2021b</w:t>
              </w:r>
            </w:hyperlink>
            <w:r w:rsidRPr="004F04F0">
              <w:rPr>
                <w:rFonts w:ascii="Arial" w:hAnsi="Arial" w:cs="Arial"/>
                <w:b/>
                <w:bCs/>
                <w:sz w:val="20"/>
                <w:szCs w:val="20"/>
              </w:rPr>
              <w:t>)</w:t>
            </w:r>
          </w:p>
          <w:p w14:paraId="414C8F7E" w14:textId="77777777" w:rsidR="00D9363C" w:rsidRPr="004F04F0" w:rsidRDefault="00D9363C" w:rsidP="004F04F0">
            <w:pPr>
              <w:rPr>
                <w:rFonts w:ascii="Arial" w:hAnsi="Arial" w:cs="Arial"/>
                <w:sz w:val="20"/>
                <w:szCs w:val="20"/>
              </w:rPr>
            </w:pPr>
          </w:p>
          <w:p w14:paraId="1728E05B" w14:textId="77777777" w:rsidR="004F04F0" w:rsidRPr="004F04F0" w:rsidRDefault="004F04F0" w:rsidP="004F04F0">
            <w:pPr>
              <w:rPr>
                <w:rFonts w:ascii="Arial" w:hAnsi="Arial" w:cs="Arial"/>
                <w:sz w:val="20"/>
                <w:szCs w:val="20"/>
              </w:rPr>
            </w:pPr>
            <w:r w:rsidRPr="004F04F0">
              <w:rPr>
                <w:rFonts w:ascii="Arial" w:hAnsi="Arial" w:cs="Arial"/>
                <w:sz w:val="20"/>
                <w:szCs w:val="20"/>
              </w:rPr>
              <w:t>Adults (n=246,116) aged 18+ with asthma from CPRD with HES linked data.</w:t>
            </w:r>
          </w:p>
          <w:p w14:paraId="1633C107" w14:textId="77777777" w:rsidR="004F04F0" w:rsidRPr="004F04F0" w:rsidRDefault="004F04F0" w:rsidP="004F04F0">
            <w:pPr>
              <w:rPr>
                <w:rFonts w:ascii="Arial" w:hAnsi="Arial" w:cs="Arial"/>
                <w:sz w:val="20"/>
                <w:szCs w:val="20"/>
              </w:rPr>
            </w:pPr>
          </w:p>
          <w:p w14:paraId="5A80E556" w14:textId="77777777" w:rsidR="004F04F0" w:rsidRPr="004F04F0" w:rsidRDefault="004F04F0" w:rsidP="004F04F0">
            <w:pPr>
              <w:rPr>
                <w:rFonts w:ascii="Arial" w:hAnsi="Arial" w:cs="Arial"/>
                <w:sz w:val="20"/>
                <w:szCs w:val="20"/>
              </w:rPr>
            </w:pPr>
            <w:r w:rsidRPr="004F04F0">
              <w:rPr>
                <w:rFonts w:ascii="Arial" w:hAnsi="Arial" w:cs="Arial"/>
                <w:sz w:val="20"/>
                <w:szCs w:val="20"/>
              </w:rPr>
              <w:t>Nested case-control</w:t>
            </w:r>
          </w:p>
          <w:p w14:paraId="1DEAEC23" w14:textId="77777777" w:rsidR="004F04F0" w:rsidRPr="004F04F0" w:rsidRDefault="004F04F0" w:rsidP="004F04F0">
            <w:pPr>
              <w:rPr>
                <w:rFonts w:ascii="Arial" w:hAnsi="Arial" w:cs="Arial"/>
                <w:sz w:val="20"/>
                <w:szCs w:val="20"/>
              </w:rPr>
            </w:pPr>
            <w:r w:rsidRPr="004F04F0">
              <w:rPr>
                <w:rFonts w:ascii="Arial" w:hAnsi="Arial" w:cs="Arial"/>
                <w:sz w:val="20"/>
                <w:szCs w:val="20"/>
              </w:rPr>
              <w:t>‘Cases’ (n=5032): Pts with an incident referral to secondary care (‘incident’=no referral in the previous 12-months) between 01.01.06 and 31.12.17</w:t>
            </w:r>
          </w:p>
          <w:p w14:paraId="5871B0A9" w14:textId="77777777" w:rsidR="004F04F0" w:rsidRPr="004F04F0" w:rsidRDefault="004F04F0" w:rsidP="004F04F0">
            <w:pPr>
              <w:rPr>
                <w:rFonts w:ascii="Arial" w:hAnsi="Arial" w:cs="Arial"/>
                <w:sz w:val="20"/>
                <w:szCs w:val="20"/>
              </w:rPr>
            </w:pPr>
            <w:r w:rsidRPr="004F04F0">
              <w:rPr>
                <w:rFonts w:ascii="Arial" w:hAnsi="Arial" w:cs="Arial"/>
                <w:sz w:val="20"/>
                <w:szCs w:val="20"/>
              </w:rPr>
              <w:t xml:space="preserve">‘Controls’ (n=20,128): Pts with no referral to secondary care in the previous 12 </w:t>
            </w:r>
            <w:r w:rsidRPr="004F04F0">
              <w:rPr>
                <w:rFonts w:ascii="Arial" w:hAnsi="Arial" w:cs="Arial"/>
                <w:sz w:val="20"/>
                <w:szCs w:val="20"/>
              </w:rPr>
              <w:lastRenderedPageBreak/>
              <w:t xml:space="preserve">months or more from the index date (matched by age, </w:t>
            </w:r>
            <w:proofErr w:type="gramStart"/>
            <w:r w:rsidRPr="004F04F0">
              <w:rPr>
                <w:rFonts w:ascii="Arial" w:hAnsi="Arial" w:cs="Arial"/>
                <w:sz w:val="20"/>
                <w:szCs w:val="20"/>
              </w:rPr>
              <w:t>gender</w:t>
            </w:r>
            <w:proofErr w:type="gramEnd"/>
            <w:r w:rsidRPr="004F04F0">
              <w:rPr>
                <w:rFonts w:ascii="Arial" w:hAnsi="Arial" w:cs="Arial"/>
                <w:sz w:val="20"/>
                <w:szCs w:val="20"/>
              </w:rPr>
              <w:t xml:space="preserve"> and general practice to each case). The index date was the date of the hospital appt. </w:t>
            </w:r>
          </w:p>
        </w:tc>
        <w:tc>
          <w:tcPr>
            <w:tcW w:w="2526" w:type="dxa"/>
          </w:tcPr>
          <w:p w14:paraId="1C933B35" w14:textId="77777777" w:rsidR="004F04F0" w:rsidRPr="004F04F0" w:rsidRDefault="004F04F0" w:rsidP="004F04F0">
            <w:pPr>
              <w:rPr>
                <w:rFonts w:ascii="Arial" w:hAnsi="Arial" w:cs="Arial"/>
                <w:sz w:val="20"/>
                <w:szCs w:val="20"/>
              </w:rPr>
            </w:pPr>
            <w:r w:rsidRPr="004F04F0">
              <w:rPr>
                <w:rFonts w:ascii="Arial" w:hAnsi="Arial" w:cs="Arial"/>
                <w:sz w:val="20"/>
                <w:szCs w:val="20"/>
              </w:rPr>
              <w:lastRenderedPageBreak/>
              <w:t>Data only available for 3+ SABA</w:t>
            </w:r>
          </w:p>
        </w:tc>
        <w:tc>
          <w:tcPr>
            <w:tcW w:w="2325" w:type="dxa"/>
          </w:tcPr>
          <w:p w14:paraId="575324BD" w14:textId="77777777" w:rsidR="004F04F0" w:rsidRPr="004F04F0" w:rsidRDefault="004F04F0" w:rsidP="004F04F0">
            <w:pPr>
              <w:rPr>
                <w:rFonts w:ascii="Arial" w:hAnsi="Arial" w:cs="Arial"/>
                <w:sz w:val="20"/>
                <w:szCs w:val="20"/>
              </w:rPr>
            </w:pPr>
            <w:r w:rsidRPr="004F04F0">
              <w:rPr>
                <w:rFonts w:ascii="Arial" w:hAnsi="Arial" w:cs="Arial"/>
                <w:sz w:val="20"/>
                <w:szCs w:val="20"/>
              </w:rPr>
              <w:t>2+ GP-treated exacerbations (short course OCS) in previous year:</w:t>
            </w:r>
          </w:p>
          <w:p w14:paraId="2BB54140" w14:textId="77777777" w:rsidR="004F04F0" w:rsidRPr="004F04F0" w:rsidRDefault="004F04F0" w:rsidP="004F04F0">
            <w:pPr>
              <w:rPr>
                <w:rFonts w:ascii="Arial" w:hAnsi="Arial" w:cs="Arial"/>
                <w:sz w:val="20"/>
                <w:szCs w:val="20"/>
              </w:rPr>
            </w:pPr>
            <w:r w:rsidRPr="004F04F0">
              <w:rPr>
                <w:rFonts w:ascii="Arial" w:hAnsi="Arial" w:cs="Arial"/>
                <w:sz w:val="20"/>
                <w:szCs w:val="20"/>
              </w:rPr>
              <w:t>Cases: 31%</w:t>
            </w:r>
          </w:p>
          <w:p w14:paraId="6394FEE0" w14:textId="77777777" w:rsidR="004F04F0" w:rsidRPr="004F04F0" w:rsidRDefault="004F04F0" w:rsidP="004F04F0">
            <w:pPr>
              <w:rPr>
                <w:rFonts w:ascii="Arial" w:hAnsi="Arial" w:cs="Arial"/>
                <w:sz w:val="20"/>
                <w:szCs w:val="20"/>
              </w:rPr>
            </w:pPr>
            <w:r w:rsidRPr="004F04F0">
              <w:rPr>
                <w:rFonts w:ascii="Arial" w:hAnsi="Arial" w:cs="Arial"/>
                <w:sz w:val="20"/>
                <w:szCs w:val="20"/>
              </w:rPr>
              <w:t>Controls: 7.2%</w:t>
            </w:r>
          </w:p>
          <w:p w14:paraId="6602D447" w14:textId="77777777" w:rsidR="004F04F0" w:rsidRPr="004F04F0" w:rsidRDefault="004F04F0" w:rsidP="004F04F0">
            <w:pPr>
              <w:rPr>
                <w:rFonts w:ascii="Arial" w:hAnsi="Arial" w:cs="Arial"/>
                <w:sz w:val="20"/>
                <w:szCs w:val="20"/>
              </w:rPr>
            </w:pPr>
            <w:r w:rsidRPr="004F04F0">
              <w:rPr>
                <w:rFonts w:ascii="Arial" w:hAnsi="Arial" w:cs="Arial"/>
                <w:sz w:val="20"/>
                <w:szCs w:val="20"/>
              </w:rPr>
              <w:t xml:space="preserve">Total: 11.9% </w:t>
            </w:r>
          </w:p>
          <w:p w14:paraId="1596A021" w14:textId="77777777" w:rsidR="004F04F0" w:rsidRPr="004F04F0" w:rsidRDefault="004F04F0" w:rsidP="004F04F0">
            <w:pPr>
              <w:rPr>
                <w:rFonts w:ascii="Arial" w:hAnsi="Arial" w:cs="Arial"/>
                <w:sz w:val="20"/>
                <w:szCs w:val="20"/>
              </w:rPr>
            </w:pPr>
            <w:r w:rsidRPr="004F04F0">
              <w:rPr>
                <w:rFonts w:ascii="Arial" w:hAnsi="Arial" w:cs="Arial"/>
                <w:sz w:val="20"/>
                <w:szCs w:val="20"/>
              </w:rPr>
              <w:t>(all aged 18+ yrs)</w:t>
            </w:r>
          </w:p>
        </w:tc>
        <w:tc>
          <w:tcPr>
            <w:tcW w:w="1953" w:type="dxa"/>
          </w:tcPr>
          <w:p w14:paraId="4E89E0E3" w14:textId="77777777" w:rsidR="004F04F0" w:rsidRPr="004F04F0" w:rsidRDefault="004F04F0" w:rsidP="004F04F0">
            <w:pPr>
              <w:rPr>
                <w:rFonts w:ascii="Arial" w:hAnsi="Arial" w:cs="Arial"/>
                <w:sz w:val="20"/>
                <w:szCs w:val="20"/>
              </w:rPr>
            </w:pPr>
            <w:r w:rsidRPr="004F04F0">
              <w:rPr>
                <w:rFonts w:ascii="Arial" w:hAnsi="Arial" w:cs="Arial"/>
                <w:sz w:val="20"/>
                <w:szCs w:val="20"/>
              </w:rPr>
              <w:t>1+ A&amp;E visit in previous year:</w:t>
            </w:r>
          </w:p>
          <w:p w14:paraId="1A854892" w14:textId="77777777" w:rsidR="004F04F0" w:rsidRPr="004F04F0" w:rsidRDefault="004F04F0" w:rsidP="004F04F0">
            <w:pPr>
              <w:rPr>
                <w:rFonts w:ascii="Arial" w:hAnsi="Arial" w:cs="Arial"/>
                <w:sz w:val="20"/>
                <w:szCs w:val="20"/>
              </w:rPr>
            </w:pPr>
            <w:r w:rsidRPr="004F04F0">
              <w:rPr>
                <w:rFonts w:ascii="Arial" w:hAnsi="Arial" w:cs="Arial"/>
                <w:sz w:val="20"/>
                <w:szCs w:val="20"/>
              </w:rPr>
              <w:t>Cases: 6.4%</w:t>
            </w:r>
          </w:p>
          <w:p w14:paraId="063DD64B" w14:textId="77777777" w:rsidR="004F04F0" w:rsidRPr="004F04F0" w:rsidRDefault="004F04F0" w:rsidP="004F04F0">
            <w:pPr>
              <w:rPr>
                <w:rFonts w:ascii="Arial" w:hAnsi="Arial" w:cs="Arial"/>
                <w:sz w:val="20"/>
                <w:szCs w:val="20"/>
              </w:rPr>
            </w:pPr>
            <w:r w:rsidRPr="004F04F0">
              <w:rPr>
                <w:rFonts w:ascii="Arial" w:hAnsi="Arial" w:cs="Arial"/>
                <w:sz w:val="20"/>
                <w:szCs w:val="20"/>
              </w:rPr>
              <w:t>Controls: 0.4%</w:t>
            </w:r>
          </w:p>
          <w:p w14:paraId="0D52B924" w14:textId="77777777" w:rsidR="004F04F0" w:rsidRPr="004F04F0" w:rsidRDefault="004F04F0" w:rsidP="004F04F0">
            <w:pPr>
              <w:rPr>
                <w:rFonts w:ascii="Arial" w:hAnsi="Arial" w:cs="Arial"/>
                <w:sz w:val="20"/>
                <w:szCs w:val="20"/>
              </w:rPr>
            </w:pPr>
            <w:r w:rsidRPr="004F04F0">
              <w:rPr>
                <w:rFonts w:ascii="Arial" w:hAnsi="Arial" w:cs="Arial"/>
                <w:sz w:val="20"/>
                <w:szCs w:val="20"/>
              </w:rPr>
              <w:t xml:space="preserve">Total: 1.6% </w:t>
            </w:r>
          </w:p>
          <w:p w14:paraId="39954EE7" w14:textId="77777777" w:rsidR="004F04F0" w:rsidRPr="004F04F0" w:rsidRDefault="004F04F0" w:rsidP="004F04F0">
            <w:pPr>
              <w:rPr>
                <w:rFonts w:ascii="Arial" w:hAnsi="Arial" w:cs="Arial"/>
                <w:sz w:val="20"/>
                <w:szCs w:val="20"/>
              </w:rPr>
            </w:pPr>
            <w:r w:rsidRPr="004F04F0">
              <w:rPr>
                <w:rFonts w:ascii="Arial" w:hAnsi="Arial" w:cs="Arial"/>
                <w:sz w:val="20"/>
                <w:szCs w:val="20"/>
              </w:rPr>
              <w:t>(all aged 18+ yrs)</w:t>
            </w:r>
          </w:p>
        </w:tc>
        <w:tc>
          <w:tcPr>
            <w:tcW w:w="2697" w:type="dxa"/>
          </w:tcPr>
          <w:p w14:paraId="3000CFEE" w14:textId="77777777" w:rsidR="004F04F0" w:rsidRPr="004F04F0" w:rsidRDefault="004F04F0" w:rsidP="004F04F0">
            <w:pPr>
              <w:rPr>
                <w:rFonts w:ascii="Arial" w:hAnsi="Arial" w:cs="Arial"/>
                <w:sz w:val="20"/>
                <w:szCs w:val="20"/>
              </w:rPr>
            </w:pPr>
            <w:r w:rsidRPr="004F04F0">
              <w:rPr>
                <w:rFonts w:ascii="Arial" w:hAnsi="Arial" w:cs="Arial"/>
                <w:sz w:val="20"/>
                <w:szCs w:val="20"/>
              </w:rPr>
              <w:t>1+ hospital admission in previous year:</w:t>
            </w:r>
          </w:p>
          <w:p w14:paraId="2A35B966" w14:textId="77777777" w:rsidR="004F04F0" w:rsidRPr="004F04F0" w:rsidRDefault="004F04F0" w:rsidP="004F04F0">
            <w:pPr>
              <w:rPr>
                <w:rFonts w:ascii="Arial" w:hAnsi="Arial" w:cs="Arial"/>
                <w:sz w:val="20"/>
                <w:szCs w:val="20"/>
              </w:rPr>
            </w:pPr>
            <w:r w:rsidRPr="004F04F0">
              <w:rPr>
                <w:rFonts w:ascii="Arial" w:hAnsi="Arial" w:cs="Arial"/>
                <w:sz w:val="20"/>
                <w:szCs w:val="20"/>
              </w:rPr>
              <w:t>Cases: 13.8%</w:t>
            </w:r>
          </w:p>
          <w:p w14:paraId="6A165305" w14:textId="77777777" w:rsidR="004F04F0" w:rsidRPr="004F04F0" w:rsidRDefault="004F04F0" w:rsidP="004F04F0">
            <w:pPr>
              <w:rPr>
                <w:rFonts w:ascii="Arial" w:hAnsi="Arial" w:cs="Arial"/>
                <w:sz w:val="20"/>
                <w:szCs w:val="20"/>
              </w:rPr>
            </w:pPr>
            <w:r w:rsidRPr="004F04F0">
              <w:rPr>
                <w:rFonts w:ascii="Arial" w:hAnsi="Arial" w:cs="Arial"/>
                <w:sz w:val="20"/>
                <w:szCs w:val="20"/>
              </w:rPr>
              <w:t>Controls: 0.3%</w:t>
            </w:r>
          </w:p>
          <w:p w14:paraId="757BE644" w14:textId="77777777" w:rsidR="004F04F0" w:rsidRPr="004F04F0" w:rsidRDefault="004F04F0" w:rsidP="004F04F0">
            <w:pPr>
              <w:rPr>
                <w:rFonts w:ascii="Arial" w:hAnsi="Arial" w:cs="Arial"/>
                <w:sz w:val="20"/>
                <w:szCs w:val="20"/>
              </w:rPr>
            </w:pPr>
            <w:r w:rsidRPr="004F04F0">
              <w:rPr>
                <w:rFonts w:ascii="Arial" w:hAnsi="Arial" w:cs="Arial"/>
                <w:sz w:val="20"/>
                <w:szCs w:val="20"/>
              </w:rPr>
              <w:t xml:space="preserve">Total: 3.0% </w:t>
            </w:r>
          </w:p>
          <w:p w14:paraId="2D3DBDC8" w14:textId="77777777" w:rsidR="004F04F0" w:rsidRPr="004F04F0" w:rsidRDefault="004F04F0" w:rsidP="004F04F0">
            <w:pPr>
              <w:rPr>
                <w:rFonts w:ascii="Arial" w:hAnsi="Arial" w:cs="Arial"/>
                <w:sz w:val="20"/>
                <w:szCs w:val="20"/>
              </w:rPr>
            </w:pPr>
            <w:r w:rsidRPr="004F04F0">
              <w:rPr>
                <w:rFonts w:ascii="Arial" w:hAnsi="Arial" w:cs="Arial"/>
                <w:sz w:val="20"/>
                <w:szCs w:val="20"/>
              </w:rPr>
              <w:t>(all aged 18+ yrs)</w:t>
            </w:r>
          </w:p>
        </w:tc>
        <w:tc>
          <w:tcPr>
            <w:tcW w:w="2325" w:type="dxa"/>
          </w:tcPr>
          <w:p w14:paraId="34A67DE5" w14:textId="77777777" w:rsidR="004F04F0" w:rsidRPr="004F04F0" w:rsidRDefault="004F04F0" w:rsidP="004F04F0">
            <w:pPr>
              <w:rPr>
                <w:rFonts w:ascii="Arial" w:hAnsi="Arial" w:cs="Arial"/>
                <w:sz w:val="20"/>
                <w:szCs w:val="20"/>
              </w:rPr>
            </w:pPr>
            <w:r w:rsidRPr="004F04F0">
              <w:rPr>
                <w:rFonts w:ascii="Arial" w:hAnsi="Arial" w:cs="Arial"/>
                <w:sz w:val="20"/>
                <w:szCs w:val="20"/>
              </w:rPr>
              <w:t>NA</w:t>
            </w:r>
          </w:p>
        </w:tc>
      </w:tr>
      <w:tr w:rsidR="004F04F0" w:rsidRPr="004F04F0" w14:paraId="74E87EA4" w14:textId="77777777" w:rsidTr="004F04F0">
        <w:tc>
          <w:tcPr>
            <w:tcW w:w="2122" w:type="dxa"/>
            <w:shd w:val="clear" w:color="auto" w:fill="F2F2F2"/>
          </w:tcPr>
          <w:p w14:paraId="7D468316" w14:textId="77777777" w:rsidR="004F04F0" w:rsidRPr="004F04F0" w:rsidRDefault="004F04F0" w:rsidP="004F04F0">
            <w:pPr>
              <w:rPr>
                <w:rFonts w:ascii="Arial" w:hAnsi="Arial" w:cs="Arial"/>
                <w:b/>
                <w:bCs/>
                <w:sz w:val="20"/>
                <w:szCs w:val="20"/>
              </w:rPr>
            </w:pPr>
            <w:r w:rsidRPr="004F04F0">
              <w:rPr>
                <w:rFonts w:ascii="Arial" w:hAnsi="Arial" w:cs="Arial"/>
                <w:b/>
                <w:bCs/>
                <w:sz w:val="20"/>
                <w:szCs w:val="20"/>
              </w:rPr>
              <w:t>PMID 32720299 (</w:t>
            </w:r>
            <w:hyperlink r:id="rId25" w:history="1">
              <w:r w:rsidRPr="002C2900">
                <w:rPr>
                  <w:rFonts w:ascii="Arial" w:hAnsi="Arial" w:cs="Arial"/>
                  <w:b/>
                  <w:bCs/>
                  <w:sz w:val="20"/>
                  <w:szCs w:val="20"/>
                  <w:u w:val="single"/>
                </w:rPr>
                <w:t>Bloom et al. 2020</w:t>
              </w:r>
            </w:hyperlink>
            <w:r w:rsidRPr="004F04F0">
              <w:rPr>
                <w:rFonts w:ascii="Arial" w:hAnsi="Arial" w:cs="Arial"/>
                <w:b/>
                <w:bCs/>
                <w:sz w:val="20"/>
                <w:szCs w:val="20"/>
              </w:rPr>
              <w:t>)</w:t>
            </w:r>
          </w:p>
          <w:p w14:paraId="151FE3A6" w14:textId="77777777" w:rsidR="004F04F0" w:rsidRPr="004F04F0" w:rsidRDefault="004F04F0" w:rsidP="004F04F0">
            <w:pPr>
              <w:rPr>
                <w:rFonts w:ascii="Arial" w:hAnsi="Arial" w:cs="Arial"/>
                <w:sz w:val="20"/>
                <w:szCs w:val="20"/>
              </w:rPr>
            </w:pPr>
          </w:p>
          <w:p w14:paraId="036D0624" w14:textId="77777777" w:rsidR="004F04F0" w:rsidRPr="004F04F0" w:rsidRDefault="004F04F0" w:rsidP="004F04F0">
            <w:pPr>
              <w:rPr>
                <w:rFonts w:ascii="Arial" w:hAnsi="Arial" w:cs="Arial"/>
                <w:sz w:val="20"/>
                <w:szCs w:val="20"/>
              </w:rPr>
            </w:pPr>
            <w:r w:rsidRPr="004F04F0">
              <w:rPr>
                <w:rFonts w:ascii="Arial" w:hAnsi="Arial" w:cs="Arial"/>
                <w:sz w:val="20"/>
                <w:szCs w:val="20"/>
              </w:rPr>
              <w:t>Asthma pts (n=574,913) aged 12+ from CPRD records April 2007– Dec 2017 linked to HES data.</w:t>
            </w:r>
          </w:p>
        </w:tc>
        <w:tc>
          <w:tcPr>
            <w:tcW w:w="2526" w:type="dxa"/>
          </w:tcPr>
          <w:p w14:paraId="0891345A" w14:textId="77777777" w:rsidR="004F04F0" w:rsidRPr="004F04F0" w:rsidRDefault="004F04F0" w:rsidP="004F04F0">
            <w:pPr>
              <w:rPr>
                <w:rFonts w:ascii="Arial" w:hAnsi="Arial" w:cs="Arial"/>
                <w:sz w:val="20"/>
                <w:szCs w:val="20"/>
              </w:rPr>
            </w:pPr>
            <w:r w:rsidRPr="004F04F0">
              <w:rPr>
                <w:rFonts w:ascii="Arial" w:hAnsi="Arial" w:cs="Arial"/>
                <w:sz w:val="20"/>
                <w:szCs w:val="20"/>
              </w:rPr>
              <w:t>3+ SABA:</w:t>
            </w:r>
          </w:p>
          <w:p w14:paraId="459206AF" w14:textId="77777777" w:rsidR="004F04F0" w:rsidRPr="004F04F0" w:rsidRDefault="004F04F0" w:rsidP="004F04F0">
            <w:pPr>
              <w:rPr>
                <w:rFonts w:ascii="Arial" w:hAnsi="Arial" w:cs="Arial"/>
                <w:sz w:val="20"/>
                <w:szCs w:val="20"/>
              </w:rPr>
            </w:pPr>
            <w:r w:rsidRPr="004F04F0">
              <w:rPr>
                <w:rFonts w:ascii="Arial" w:hAnsi="Arial" w:cs="Arial"/>
                <w:sz w:val="20"/>
                <w:szCs w:val="20"/>
              </w:rPr>
              <w:t>36.3%</w:t>
            </w:r>
          </w:p>
          <w:p w14:paraId="0E1744F0" w14:textId="77777777" w:rsidR="004F04F0" w:rsidRPr="004F04F0" w:rsidRDefault="004F04F0" w:rsidP="004F04F0">
            <w:pPr>
              <w:rPr>
                <w:rFonts w:ascii="Arial" w:hAnsi="Arial" w:cs="Arial"/>
                <w:sz w:val="20"/>
                <w:szCs w:val="20"/>
              </w:rPr>
            </w:pPr>
          </w:p>
          <w:p w14:paraId="2DBC6B1A" w14:textId="77777777" w:rsidR="004F04F0" w:rsidRPr="004F04F0" w:rsidRDefault="004F04F0" w:rsidP="004F04F0">
            <w:pPr>
              <w:rPr>
                <w:rFonts w:ascii="Arial" w:hAnsi="Arial" w:cs="Arial"/>
                <w:sz w:val="20"/>
                <w:szCs w:val="20"/>
              </w:rPr>
            </w:pPr>
            <w:r w:rsidRPr="004F04F0">
              <w:rPr>
                <w:rFonts w:ascii="Arial" w:hAnsi="Arial" w:cs="Arial"/>
                <w:sz w:val="20"/>
                <w:szCs w:val="20"/>
              </w:rPr>
              <w:t>7+ SABA:</w:t>
            </w:r>
          </w:p>
          <w:p w14:paraId="30659BF6" w14:textId="77777777" w:rsidR="004F04F0" w:rsidRPr="004F04F0" w:rsidRDefault="004F04F0" w:rsidP="004F04F0">
            <w:pPr>
              <w:rPr>
                <w:rFonts w:ascii="Arial" w:hAnsi="Arial" w:cs="Arial"/>
                <w:sz w:val="20"/>
                <w:szCs w:val="20"/>
              </w:rPr>
            </w:pPr>
            <w:r w:rsidRPr="004F04F0">
              <w:rPr>
                <w:rFonts w:ascii="Arial" w:hAnsi="Arial" w:cs="Arial"/>
                <w:sz w:val="20"/>
                <w:szCs w:val="20"/>
              </w:rPr>
              <w:t>13.2%</w:t>
            </w:r>
          </w:p>
          <w:p w14:paraId="451D0C33" w14:textId="77777777" w:rsidR="004F04F0" w:rsidRPr="004F04F0" w:rsidRDefault="004F04F0" w:rsidP="004F04F0">
            <w:pPr>
              <w:rPr>
                <w:rFonts w:ascii="Arial" w:hAnsi="Arial" w:cs="Arial"/>
                <w:sz w:val="20"/>
                <w:szCs w:val="20"/>
              </w:rPr>
            </w:pPr>
            <w:r w:rsidRPr="004F04F0">
              <w:rPr>
                <w:rFonts w:ascii="Arial" w:hAnsi="Arial" w:cs="Arial"/>
                <w:sz w:val="20"/>
                <w:szCs w:val="20"/>
              </w:rPr>
              <w:t>(all aged 12+ yrs)</w:t>
            </w:r>
          </w:p>
          <w:p w14:paraId="0669E695" w14:textId="77777777" w:rsidR="004F04F0" w:rsidRPr="004F04F0" w:rsidRDefault="004F04F0" w:rsidP="004F04F0">
            <w:pPr>
              <w:rPr>
                <w:rFonts w:ascii="Arial" w:hAnsi="Arial" w:cs="Arial"/>
                <w:sz w:val="20"/>
                <w:szCs w:val="20"/>
              </w:rPr>
            </w:pPr>
          </w:p>
        </w:tc>
        <w:tc>
          <w:tcPr>
            <w:tcW w:w="2325" w:type="dxa"/>
          </w:tcPr>
          <w:p w14:paraId="27BFA4BE" w14:textId="77777777" w:rsidR="004F04F0" w:rsidRPr="004F04F0" w:rsidRDefault="004F04F0" w:rsidP="004F04F0">
            <w:pPr>
              <w:rPr>
                <w:rFonts w:ascii="Arial" w:hAnsi="Arial" w:cs="Arial"/>
                <w:sz w:val="20"/>
                <w:szCs w:val="20"/>
              </w:rPr>
            </w:pPr>
            <w:r w:rsidRPr="004F04F0">
              <w:rPr>
                <w:rFonts w:ascii="Arial" w:hAnsi="Arial" w:cs="Arial"/>
                <w:sz w:val="20"/>
                <w:szCs w:val="20"/>
              </w:rPr>
              <w:t>NA</w:t>
            </w:r>
          </w:p>
        </w:tc>
        <w:tc>
          <w:tcPr>
            <w:tcW w:w="1953" w:type="dxa"/>
          </w:tcPr>
          <w:p w14:paraId="7E1FD2DA" w14:textId="77777777" w:rsidR="004F04F0" w:rsidRPr="004F04F0" w:rsidRDefault="004F04F0" w:rsidP="004F04F0">
            <w:pPr>
              <w:rPr>
                <w:rFonts w:ascii="Arial" w:hAnsi="Arial" w:cs="Arial"/>
                <w:sz w:val="20"/>
                <w:szCs w:val="20"/>
              </w:rPr>
            </w:pPr>
            <w:r w:rsidRPr="004F04F0">
              <w:rPr>
                <w:rFonts w:ascii="Arial" w:hAnsi="Arial" w:cs="Arial"/>
                <w:sz w:val="20"/>
                <w:szCs w:val="20"/>
              </w:rPr>
              <w:t>NA</w:t>
            </w:r>
          </w:p>
        </w:tc>
        <w:tc>
          <w:tcPr>
            <w:tcW w:w="2697" w:type="dxa"/>
          </w:tcPr>
          <w:p w14:paraId="25E9007D" w14:textId="77777777" w:rsidR="004F04F0" w:rsidRPr="004F04F0" w:rsidRDefault="004F04F0" w:rsidP="004F04F0">
            <w:pPr>
              <w:rPr>
                <w:rFonts w:ascii="Arial" w:hAnsi="Arial" w:cs="Arial"/>
                <w:sz w:val="20"/>
                <w:szCs w:val="20"/>
              </w:rPr>
            </w:pPr>
            <w:r w:rsidRPr="004F04F0">
              <w:rPr>
                <w:rFonts w:ascii="Arial" w:hAnsi="Arial" w:cs="Arial"/>
                <w:sz w:val="20"/>
                <w:szCs w:val="20"/>
              </w:rPr>
              <w:t>NA</w:t>
            </w:r>
          </w:p>
        </w:tc>
        <w:tc>
          <w:tcPr>
            <w:tcW w:w="2325" w:type="dxa"/>
          </w:tcPr>
          <w:p w14:paraId="6CBB9FA5" w14:textId="3ED5A28E" w:rsidR="004F04F0" w:rsidRPr="004F04F0" w:rsidRDefault="004F04F0" w:rsidP="004F04F0">
            <w:pPr>
              <w:rPr>
                <w:rFonts w:ascii="Arial" w:hAnsi="Arial" w:cs="Arial"/>
                <w:i/>
                <w:iCs/>
                <w:sz w:val="20"/>
                <w:szCs w:val="20"/>
              </w:rPr>
            </w:pPr>
            <w:r w:rsidRPr="004F04F0">
              <w:rPr>
                <w:rFonts w:ascii="Arial" w:hAnsi="Arial" w:cs="Arial"/>
                <w:i/>
                <w:iCs/>
                <w:sz w:val="20"/>
                <w:szCs w:val="20"/>
              </w:rPr>
              <w:t xml:space="preserve">Exacerbation data provided as mean no. of exacerbations/yr, and rate per </w:t>
            </w:r>
            <w:proofErr w:type="gramStart"/>
            <w:r w:rsidRPr="004F04F0">
              <w:rPr>
                <w:rFonts w:ascii="Arial" w:hAnsi="Arial" w:cs="Arial"/>
                <w:i/>
                <w:iCs/>
                <w:sz w:val="20"/>
                <w:szCs w:val="20"/>
              </w:rPr>
              <w:t>10</w:t>
            </w:r>
            <w:proofErr w:type="gramEnd"/>
            <w:r w:rsidRPr="004F04F0">
              <w:rPr>
                <w:rFonts w:ascii="Arial" w:hAnsi="Arial" w:cs="Arial"/>
                <w:i/>
                <w:iCs/>
                <w:sz w:val="20"/>
                <w:szCs w:val="20"/>
              </w:rPr>
              <w:t xml:space="preserve"> person years (therefore cannot </w:t>
            </w:r>
            <w:proofErr w:type="gramStart"/>
            <w:r w:rsidRPr="004F04F0">
              <w:rPr>
                <w:rFonts w:ascii="Arial" w:hAnsi="Arial" w:cs="Arial"/>
                <w:i/>
                <w:iCs/>
                <w:sz w:val="20"/>
                <w:szCs w:val="20"/>
              </w:rPr>
              <w:t>be compared</w:t>
            </w:r>
            <w:proofErr w:type="gramEnd"/>
            <w:r w:rsidRPr="004F04F0">
              <w:rPr>
                <w:rFonts w:ascii="Arial" w:hAnsi="Arial" w:cs="Arial"/>
                <w:i/>
                <w:iCs/>
                <w:sz w:val="20"/>
                <w:szCs w:val="20"/>
              </w:rPr>
              <w:t xml:space="preserve"> with </w:t>
            </w:r>
            <w:proofErr w:type="gramStart"/>
            <w:r w:rsidRPr="004F04F0">
              <w:rPr>
                <w:rFonts w:ascii="Arial" w:hAnsi="Arial" w:cs="Arial"/>
                <w:i/>
                <w:iCs/>
                <w:sz w:val="20"/>
                <w:szCs w:val="20"/>
              </w:rPr>
              <w:t>NICE analysis</w:t>
            </w:r>
            <w:proofErr w:type="gramEnd"/>
            <w:r w:rsidRPr="004F04F0">
              <w:rPr>
                <w:rFonts w:ascii="Arial" w:hAnsi="Arial" w:cs="Arial"/>
                <w:i/>
                <w:iCs/>
                <w:sz w:val="20"/>
                <w:szCs w:val="20"/>
              </w:rPr>
              <w:t>)</w:t>
            </w:r>
          </w:p>
        </w:tc>
      </w:tr>
      <w:tr w:rsidR="004F04F0" w:rsidRPr="004F04F0" w14:paraId="5FA7701F" w14:textId="77777777" w:rsidTr="004F04F0">
        <w:tc>
          <w:tcPr>
            <w:tcW w:w="2122" w:type="dxa"/>
            <w:shd w:val="clear" w:color="auto" w:fill="F2F2F2"/>
          </w:tcPr>
          <w:p w14:paraId="164F439B" w14:textId="77777777" w:rsidR="004F04F0" w:rsidRPr="004F04F0" w:rsidRDefault="004F04F0" w:rsidP="004F04F0">
            <w:pPr>
              <w:rPr>
                <w:rFonts w:ascii="Arial" w:hAnsi="Arial" w:cs="Arial"/>
                <w:b/>
                <w:bCs/>
                <w:sz w:val="20"/>
                <w:szCs w:val="20"/>
              </w:rPr>
            </w:pPr>
            <w:r w:rsidRPr="004F04F0">
              <w:rPr>
                <w:rFonts w:ascii="Arial" w:hAnsi="Arial" w:cs="Arial"/>
                <w:b/>
                <w:bCs/>
                <w:sz w:val="20"/>
                <w:szCs w:val="20"/>
              </w:rPr>
              <w:t>PMID: 34211281 (</w:t>
            </w:r>
            <w:hyperlink r:id="rId26" w:history="1">
              <w:r w:rsidRPr="002C2900">
                <w:rPr>
                  <w:rFonts w:ascii="Arial" w:hAnsi="Arial" w:cs="Arial"/>
                  <w:b/>
                  <w:bCs/>
                  <w:sz w:val="20"/>
                  <w:szCs w:val="20"/>
                  <w:u w:val="single"/>
                </w:rPr>
                <w:t>Tran et al. 2021</w:t>
              </w:r>
            </w:hyperlink>
            <w:r w:rsidRPr="004F04F0">
              <w:rPr>
                <w:rFonts w:ascii="Arial" w:hAnsi="Arial" w:cs="Arial"/>
                <w:b/>
                <w:bCs/>
                <w:sz w:val="20"/>
                <w:szCs w:val="20"/>
              </w:rPr>
              <w:t>)</w:t>
            </w:r>
          </w:p>
          <w:p w14:paraId="79E145AE" w14:textId="77777777" w:rsidR="004F04F0" w:rsidRPr="004F04F0" w:rsidRDefault="004F04F0" w:rsidP="004F04F0">
            <w:pPr>
              <w:rPr>
                <w:rFonts w:ascii="Arial" w:hAnsi="Arial" w:cs="Arial"/>
                <w:sz w:val="20"/>
                <w:szCs w:val="20"/>
              </w:rPr>
            </w:pPr>
          </w:p>
          <w:p w14:paraId="523B2324" w14:textId="77777777" w:rsidR="004F04F0" w:rsidRPr="004F04F0" w:rsidRDefault="004F04F0" w:rsidP="004F04F0">
            <w:pPr>
              <w:rPr>
                <w:rFonts w:ascii="Arial" w:hAnsi="Arial" w:cs="Arial"/>
                <w:sz w:val="20"/>
                <w:szCs w:val="20"/>
              </w:rPr>
            </w:pPr>
            <w:r w:rsidRPr="004F04F0">
              <w:rPr>
                <w:rFonts w:ascii="Arial" w:hAnsi="Arial" w:cs="Arial"/>
                <w:sz w:val="20"/>
                <w:szCs w:val="20"/>
              </w:rPr>
              <w:t>Asthma pts (n=148,021) aged 13+ from OPCRD &amp; CPRD with ≥3 blood eosinophil count (BEC) recordings.</w:t>
            </w:r>
          </w:p>
        </w:tc>
        <w:tc>
          <w:tcPr>
            <w:tcW w:w="2526" w:type="dxa"/>
          </w:tcPr>
          <w:p w14:paraId="41BFEA87" w14:textId="77777777" w:rsidR="004F04F0" w:rsidRPr="004F04F0" w:rsidRDefault="004F04F0" w:rsidP="004F04F0">
            <w:pPr>
              <w:rPr>
                <w:rFonts w:ascii="Arial" w:hAnsi="Arial" w:cs="Arial"/>
                <w:i/>
                <w:iCs/>
                <w:sz w:val="20"/>
                <w:szCs w:val="20"/>
              </w:rPr>
            </w:pPr>
            <w:r w:rsidRPr="004F04F0">
              <w:rPr>
                <w:rFonts w:ascii="Arial" w:hAnsi="Arial" w:cs="Arial"/>
                <w:i/>
                <w:iCs/>
                <w:sz w:val="20"/>
                <w:szCs w:val="20"/>
              </w:rPr>
              <w:t xml:space="preserve">SABA data provided as daily dose salbutamol equivalent in mg (therefore cannot </w:t>
            </w:r>
            <w:proofErr w:type="gramStart"/>
            <w:r w:rsidRPr="004F04F0">
              <w:rPr>
                <w:rFonts w:ascii="Arial" w:hAnsi="Arial" w:cs="Arial"/>
                <w:i/>
                <w:iCs/>
                <w:sz w:val="20"/>
                <w:szCs w:val="20"/>
              </w:rPr>
              <w:t>be compared</w:t>
            </w:r>
            <w:proofErr w:type="gramEnd"/>
            <w:r w:rsidRPr="004F04F0">
              <w:rPr>
                <w:rFonts w:ascii="Arial" w:hAnsi="Arial" w:cs="Arial"/>
                <w:i/>
                <w:iCs/>
                <w:sz w:val="20"/>
                <w:szCs w:val="20"/>
              </w:rPr>
              <w:t xml:space="preserve"> with </w:t>
            </w:r>
            <w:proofErr w:type="gramStart"/>
            <w:r w:rsidRPr="004F04F0">
              <w:rPr>
                <w:rFonts w:ascii="Arial" w:hAnsi="Arial" w:cs="Arial"/>
                <w:i/>
                <w:iCs/>
                <w:sz w:val="20"/>
                <w:szCs w:val="20"/>
              </w:rPr>
              <w:t>NICE analysis</w:t>
            </w:r>
            <w:proofErr w:type="gramEnd"/>
            <w:r w:rsidRPr="004F04F0">
              <w:rPr>
                <w:rFonts w:ascii="Arial" w:hAnsi="Arial" w:cs="Arial"/>
                <w:i/>
                <w:iCs/>
                <w:sz w:val="20"/>
                <w:szCs w:val="20"/>
              </w:rPr>
              <w:t>)</w:t>
            </w:r>
          </w:p>
        </w:tc>
        <w:tc>
          <w:tcPr>
            <w:tcW w:w="2325" w:type="dxa"/>
          </w:tcPr>
          <w:p w14:paraId="7A951DB2" w14:textId="77777777" w:rsidR="004F04F0" w:rsidRPr="004F04F0" w:rsidRDefault="004F04F0" w:rsidP="004F04F0">
            <w:pPr>
              <w:rPr>
                <w:rFonts w:ascii="Arial" w:hAnsi="Arial" w:cs="Arial"/>
                <w:i/>
                <w:iCs/>
                <w:sz w:val="20"/>
                <w:szCs w:val="20"/>
              </w:rPr>
            </w:pPr>
            <w:r w:rsidRPr="004F04F0">
              <w:rPr>
                <w:rFonts w:ascii="Arial" w:hAnsi="Arial" w:cs="Arial"/>
                <w:i/>
                <w:iCs/>
                <w:sz w:val="20"/>
                <w:szCs w:val="20"/>
              </w:rPr>
              <w:t xml:space="preserve">OCS data provided as mean daily dose in mg (therefore cannot </w:t>
            </w:r>
            <w:proofErr w:type="gramStart"/>
            <w:r w:rsidRPr="004F04F0">
              <w:rPr>
                <w:rFonts w:ascii="Arial" w:hAnsi="Arial" w:cs="Arial"/>
                <w:i/>
                <w:iCs/>
                <w:sz w:val="20"/>
                <w:szCs w:val="20"/>
              </w:rPr>
              <w:t>be compared</w:t>
            </w:r>
            <w:proofErr w:type="gramEnd"/>
            <w:r w:rsidRPr="004F04F0">
              <w:rPr>
                <w:rFonts w:ascii="Arial" w:hAnsi="Arial" w:cs="Arial"/>
                <w:i/>
                <w:iCs/>
                <w:sz w:val="20"/>
                <w:szCs w:val="20"/>
              </w:rPr>
              <w:t xml:space="preserve"> with </w:t>
            </w:r>
            <w:proofErr w:type="gramStart"/>
            <w:r w:rsidRPr="004F04F0">
              <w:rPr>
                <w:rFonts w:ascii="Arial" w:hAnsi="Arial" w:cs="Arial"/>
                <w:i/>
                <w:iCs/>
                <w:sz w:val="20"/>
                <w:szCs w:val="20"/>
              </w:rPr>
              <w:t>NICE analysis</w:t>
            </w:r>
            <w:proofErr w:type="gramEnd"/>
            <w:r w:rsidRPr="004F04F0">
              <w:rPr>
                <w:rFonts w:ascii="Arial" w:hAnsi="Arial" w:cs="Arial"/>
                <w:i/>
                <w:iCs/>
                <w:sz w:val="20"/>
                <w:szCs w:val="20"/>
              </w:rPr>
              <w:t>)</w:t>
            </w:r>
          </w:p>
          <w:p w14:paraId="45A14201" w14:textId="77777777" w:rsidR="004F04F0" w:rsidRPr="004F04F0" w:rsidRDefault="004F04F0" w:rsidP="004F04F0">
            <w:pPr>
              <w:rPr>
                <w:rFonts w:ascii="Arial" w:hAnsi="Arial" w:cs="Arial"/>
                <w:sz w:val="20"/>
                <w:szCs w:val="20"/>
              </w:rPr>
            </w:pPr>
          </w:p>
        </w:tc>
        <w:tc>
          <w:tcPr>
            <w:tcW w:w="1953" w:type="dxa"/>
          </w:tcPr>
          <w:p w14:paraId="566E0272" w14:textId="77777777" w:rsidR="004F04F0" w:rsidRPr="004F04F0" w:rsidRDefault="004F04F0" w:rsidP="004F04F0">
            <w:pPr>
              <w:rPr>
                <w:rFonts w:ascii="Arial" w:hAnsi="Arial" w:cs="Arial"/>
                <w:sz w:val="20"/>
                <w:szCs w:val="20"/>
              </w:rPr>
            </w:pPr>
            <w:r w:rsidRPr="004F04F0">
              <w:rPr>
                <w:rFonts w:ascii="Arial" w:hAnsi="Arial" w:cs="Arial"/>
                <w:sz w:val="20"/>
                <w:szCs w:val="20"/>
              </w:rPr>
              <w:t>4+ ED visits (no data provided for fewer visits):</w:t>
            </w:r>
          </w:p>
          <w:p w14:paraId="5560A056" w14:textId="77777777" w:rsidR="004F04F0" w:rsidRPr="004F04F0" w:rsidRDefault="004F04F0" w:rsidP="004F04F0">
            <w:pPr>
              <w:rPr>
                <w:rFonts w:ascii="Arial" w:hAnsi="Arial" w:cs="Arial"/>
                <w:sz w:val="20"/>
                <w:szCs w:val="20"/>
              </w:rPr>
            </w:pPr>
            <w:r w:rsidRPr="004F04F0">
              <w:rPr>
                <w:rFonts w:ascii="Arial" w:hAnsi="Arial" w:cs="Arial"/>
                <w:sz w:val="20"/>
                <w:szCs w:val="20"/>
              </w:rPr>
              <w:t>1.9% (aged 13+ yrs)</w:t>
            </w:r>
          </w:p>
        </w:tc>
        <w:tc>
          <w:tcPr>
            <w:tcW w:w="2697" w:type="dxa"/>
          </w:tcPr>
          <w:p w14:paraId="76F3E3AC" w14:textId="77777777" w:rsidR="004F04F0" w:rsidRPr="004F04F0" w:rsidRDefault="004F04F0" w:rsidP="004F04F0">
            <w:pPr>
              <w:rPr>
                <w:rFonts w:ascii="Arial" w:hAnsi="Arial" w:cs="Arial"/>
                <w:sz w:val="20"/>
                <w:szCs w:val="20"/>
              </w:rPr>
            </w:pPr>
            <w:r w:rsidRPr="004F04F0">
              <w:rPr>
                <w:rFonts w:ascii="Arial" w:hAnsi="Arial" w:cs="Arial"/>
                <w:sz w:val="20"/>
                <w:szCs w:val="20"/>
              </w:rPr>
              <w:t>&gt;1 overnight hospitalisation with asthma as primary diagnosis:</w:t>
            </w:r>
          </w:p>
          <w:p w14:paraId="057234ED" w14:textId="77777777" w:rsidR="004F04F0" w:rsidRPr="004F04F0" w:rsidRDefault="004F04F0" w:rsidP="004F04F0">
            <w:pPr>
              <w:rPr>
                <w:rFonts w:ascii="Arial" w:hAnsi="Arial" w:cs="Arial"/>
                <w:sz w:val="20"/>
                <w:szCs w:val="20"/>
              </w:rPr>
            </w:pPr>
            <w:r w:rsidRPr="004F04F0">
              <w:rPr>
                <w:rFonts w:ascii="Arial" w:hAnsi="Arial" w:cs="Arial"/>
                <w:sz w:val="20"/>
                <w:szCs w:val="20"/>
              </w:rPr>
              <w:t>0.7% (aged 13+ yrs)</w:t>
            </w:r>
          </w:p>
          <w:p w14:paraId="096509E5" w14:textId="77777777" w:rsidR="004F04F0" w:rsidRPr="004F04F0" w:rsidRDefault="004F04F0" w:rsidP="004F04F0">
            <w:pPr>
              <w:rPr>
                <w:rFonts w:ascii="Arial" w:hAnsi="Arial" w:cs="Arial"/>
                <w:sz w:val="20"/>
                <w:szCs w:val="20"/>
              </w:rPr>
            </w:pPr>
          </w:p>
          <w:p w14:paraId="04394699" w14:textId="77777777" w:rsidR="004F04F0" w:rsidRPr="004F04F0" w:rsidRDefault="004F04F0" w:rsidP="004F04F0">
            <w:pPr>
              <w:rPr>
                <w:rFonts w:ascii="Arial" w:hAnsi="Arial" w:cs="Arial"/>
                <w:sz w:val="20"/>
                <w:szCs w:val="20"/>
              </w:rPr>
            </w:pPr>
            <w:r w:rsidRPr="004F04F0">
              <w:rPr>
                <w:rFonts w:ascii="Arial" w:hAnsi="Arial" w:cs="Arial"/>
                <w:sz w:val="20"/>
                <w:szCs w:val="20"/>
              </w:rPr>
              <w:t>&gt;1 overnight hospitalisation with a respiratory condition as primary diagnosis:</w:t>
            </w:r>
          </w:p>
          <w:p w14:paraId="24561C19" w14:textId="77777777" w:rsidR="004F04F0" w:rsidRPr="004F04F0" w:rsidRDefault="004F04F0" w:rsidP="004F04F0">
            <w:pPr>
              <w:rPr>
                <w:rFonts w:ascii="Arial" w:hAnsi="Arial" w:cs="Arial"/>
                <w:sz w:val="20"/>
                <w:szCs w:val="20"/>
              </w:rPr>
            </w:pPr>
            <w:r w:rsidRPr="004F04F0">
              <w:rPr>
                <w:rFonts w:ascii="Arial" w:hAnsi="Arial" w:cs="Arial"/>
                <w:sz w:val="20"/>
                <w:szCs w:val="20"/>
              </w:rPr>
              <w:t>4.0% (aged 13+ yrs)</w:t>
            </w:r>
          </w:p>
        </w:tc>
        <w:tc>
          <w:tcPr>
            <w:tcW w:w="2325" w:type="dxa"/>
          </w:tcPr>
          <w:p w14:paraId="1680AD9F" w14:textId="77777777" w:rsidR="004F04F0" w:rsidRPr="004F04F0" w:rsidRDefault="004F04F0" w:rsidP="004F04F0">
            <w:pPr>
              <w:rPr>
                <w:rFonts w:ascii="Arial" w:hAnsi="Arial" w:cs="Arial"/>
                <w:sz w:val="20"/>
                <w:szCs w:val="20"/>
              </w:rPr>
            </w:pPr>
            <w:r w:rsidRPr="004F04F0">
              <w:rPr>
                <w:rFonts w:ascii="Arial" w:hAnsi="Arial" w:cs="Arial"/>
                <w:sz w:val="20"/>
                <w:szCs w:val="20"/>
              </w:rPr>
              <w:t>In baseline year:</w:t>
            </w:r>
          </w:p>
          <w:p w14:paraId="61916BA0" w14:textId="77777777" w:rsidR="004F04F0" w:rsidRPr="004F04F0" w:rsidRDefault="004F04F0" w:rsidP="004F04F0">
            <w:pPr>
              <w:rPr>
                <w:rFonts w:ascii="Arial" w:hAnsi="Arial" w:cs="Arial"/>
                <w:sz w:val="20"/>
                <w:szCs w:val="20"/>
              </w:rPr>
            </w:pPr>
            <w:r w:rsidRPr="004F04F0">
              <w:rPr>
                <w:rFonts w:ascii="Arial" w:hAnsi="Arial" w:cs="Arial"/>
                <w:sz w:val="20"/>
                <w:szCs w:val="20"/>
              </w:rPr>
              <w:t>1+ severe exacerbation</w:t>
            </w:r>
            <w:r w:rsidRPr="004F04F0">
              <w:rPr>
                <w:rFonts w:ascii="Arial" w:hAnsi="Arial" w:cs="Arial"/>
                <w:sz w:val="20"/>
                <w:szCs w:val="20"/>
                <w:vertAlign w:val="superscript"/>
              </w:rPr>
              <w:t>2</w:t>
            </w:r>
            <w:r w:rsidRPr="004F04F0">
              <w:rPr>
                <w:rFonts w:ascii="Arial" w:hAnsi="Arial" w:cs="Arial"/>
                <w:sz w:val="20"/>
                <w:szCs w:val="20"/>
              </w:rPr>
              <w:t>: 24.2%</w:t>
            </w:r>
          </w:p>
          <w:p w14:paraId="22DAC22D" w14:textId="77777777" w:rsidR="004F04F0" w:rsidRPr="004F04F0" w:rsidRDefault="004F04F0" w:rsidP="004F04F0">
            <w:pPr>
              <w:rPr>
                <w:rFonts w:ascii="Arial" w:hAnsi="Arial" w:cs="Arial"/>
                <w:sz w:val="20"/>
                <w:szCs w:val="20"/>
              </w:rPr>
            </w:pPr>
            <w:r w:rsidRPr="004F04F0">
              <w:rPr>
                <w:rFonts w:ascii="Arial" w:hAnsi="Arial" w:cs="Arial"/>
                <w:sz w:val="20"/>
                <w:szCs w:val="20"/>
              </w:rPr>
              <w:t>2+ severe exacerbations</w:t>
            </w:r>
            <w:r w:rsidRPr="004F04F0">
              <w:rPr>
                <w:rFonts w:ascii="Arial" w:hAnsi="Arial" w:cs="Arial"/>
                <w:sz w:val="20"/>
                <w:szCs w:val="20"/>
                <w:vertAlign w:val="superscript"/>
              </w:rPr>
              <w:t>2</w:t>
            </w:r>
            <w:r w:rsidRPr="004F04F0">
              <w:rPr>
                <w:rFonts w:ascii="Arial" w:hAnsi="Arial" w:cs="Arial"/>
                <w:sz w:val="20"/>
                <w:szCs w:val="20"/>
              </w:rPr>
              <w:t>: 9.8%</w:t>
            </w:r>
          </w:p>
          <w:p w14:paraId="3D580526" w14:textId="77777777" w:rsidR="004F04F0" w:rsidRPr="004F04F0" w:rsidRDefault="004F04F0" w:rsidP="004F04F0">
            <w:pPr>
              <w:rPr>
                <w:rFonts w:ascii="Arial" w:hAnsi="Arial" w:cs="Arial"/>
                <w:sz w:val="20"/>
                <w:szCs w:val="20"/>
              </w:rPr>
            </w:pPr>
          </w:p>
          <w:p w14:paraId="74CA639C" w14:textId="77777777" w:rsidR="004F04F0" w:rsidRPr="004F04F0" w:rsidRDefault="004F04F0" w:rsidP="004F04F0">
            <w:pPr>
              <w:rPr>
                <w:rFonts w:ascii="Arial" w:hAnsi="Arial" w:cs="Arial"/>
                <w:sz w:val="20"/>
                <w:szCs w:val="20"/>
              </w:rPr>
            </w:pPr>
            <w:r w:rsidRPr="004F04F0">
              <w:rPr>
                <w:rFonts w:ascii="Arial" w:hAnsi="Arial" w:cs="Arial"/>
                <w:sz w:val="20"/>
                <w:szCs w:val="20"/>
              </w:rPr>
              <w:t xml:space="preserve">In outcome year: </w:t>
            </w:r>
          </w:p>
          <w:p w14:paraId="135C4B97" w14:textId="77777777" w:rsidR="004F04F0" w:rsidRPr="004F04F0" w:rsidRDefault="004F04F0" w:rsidP="004F04F0">
            <w:pPr>
              <w:rPr>
                <w:rFonts w:ascii="Arial" w:hAnsi="Arial" w:cs="Arial"/>
                <w:sz w:val="20"/>
                <w:szCs w:val="20"/>
              </w:rPr>
            </w:pPr>
            <w:r w:rsidRPr="004F04F0">
              <w:rPr>
                <w:rFonts w:ascii="Arial" w:hAnsi="Arial" w:cs="Arial"/>
                <w:sz w:val="20"/>
                <w:szCs w:val="20"/>
              </w:rPr>
              <w:t>1+ severe exacerbation</w:t>
            </w:r>
            <w:r w:rsidRPr="004F04F0">
              <w:rPr>
                <w:rFonts w:ascii="Arial" w:hAnsi="Arial" w:cs="Arial"/>
                <w:sz w:val="20"/>
                <w:szCs w:val="20"/>
                <w:vertAlign w:val="superscript"/>
              </w:rPr>
              <w:t>3</w:t>
            </w:r>
            <w:r w:rsidRPr="004F04F0">
              <w:rPr>
                <w:rFonts w:ascii="Arial" w:hAnsi="Arial" w:cs="Arial"/>
                <w:sz w:val="20"/>
                <w:szCs w:val="20"/>
              </w:rPr>
              <w:t>: 23.9%</w:t>
            </w:r>
          </w:p>
          <w:p w14:paraId="56CC9355" w14:textId="77777777" w:rsidR="004F04F0" w:rsidRPr="004F04F0" w:rsidRDefault="004F04F0" w:rsidP="004F04F0">
            <w:pPr>
              <w:rPr>
                <w:rFonts w:ascii="Arial" w:hAnsi="Arial" w:cs="Arial"/>
                <w:sz w:val="20"/>
                <w:szCs w:val="20"/>
              </w:rPr>
            </w:pPr>
            <w:r w:rsidRPr="004F04F0">
              <w:rPr>
                <w:rFonts w:ascii="Arial" w:hAnsi="Arial" w:cs="Arial"/>
                <w:sz w:val="20"/>
                <w:szCs w:val="20"/>
              </w:rPr>
              <w:t>2+ severe exacerbations</w:t>
            </w:r>
            <w:r w:rsidRPr="004F04F0">
              <w:rPr>
                <w:rFonts w:ascii="Arial" w:hAnsi="Arial" w:cs="Arial"/>
                <w:sz w:val="20"/>
                <w:szCs w:val="20"/>
                <w:vertAlign w:val="superscript"/>
              </w:rPr>
              <w:t>3</w:t>
            </w:r>
            <w:r w:rsidRPr="004F04F0">
              <w:rPr>
                <w:rFonts w:ascii="Arial" w:hAnsi="Arial" w:cs="Arial"/>
                <w:sz w:val="20"/>
                <w:szCs w:val="20"/>
              </w:rPr>
              <w:t>: 9.7%</w:t>
            </w:r>
          </w:p>
          <w:p w14:paraId="013CF58E" w14:textId="77777777" w:rsidR="004F04F0" w:rsidRPr="004F04F0" w:rsidRDefault="004F04F0" w:rsidP="004F04F0">
            <w:pPr>
              <w:rPr>
                <w:rFonts w:ascii="Arial" w:hAnsi="Arial" w:cs="Arial"/>
                <w:sz w:val="20"/>
                <w:szCs w:val="20"/>
              </w:rPr>
            </w:pPr>
          </w:p>
          <w:p w14:paraId="1AA4FB9D" w14:textId="77777777" w:rsidR="004F04F0" w:rsidRPr="004F04F0" w:rsidRDefault="004F04F0" w:rsidP="004F04F0">
            <w:pPr>
              <w:rPr>
                <w:rFonts w:ascii="Arial" w:hAnsi="Arial" w:cs="Arial"/>
                <w:sz w:val="20"/>
                <w:szCs w:val="20"/>
              </w:rPr>
            </w:pPr>
            <w:r w:rsidRPr="004F04F0">
              <w:rPr>
                <w:rFonts w:ascii="Arial" w:hAnsi="Arial" w:cs="Arial"/>
                <w:sz w:val="20"/>
                <w:szCs w:val="20"/>
              </w:rPr>
              <w:t>1+</w:t>
            </w:r>
            <w:r w:rsidRPr="004F04F0">
              <w:t xml:space="preserve"> </w:t>
            </w:r>
            <w:r w:rsidRPr="004F04F0">
              <w:rPr>
                <w:rFonts w:ascii="Arial" w:hAnsi="Arial" w:cs="Arial"/>
                <w:sz w:val="20"/>
                <w:szCs w:val="20"/>
              </w:rPr>
              <w:t>acute respiratory event</w:t>
            </w:r>
            <w:r w:rsidRPr="004F04F0">
              <w:rPr>
                <w:rFonts w:ascii="Arial" w:hAnsi="Arial" w:cs="Arial"/>
                <w:sz w:val="20"/>
                <w:szCs w:val="20"/>
                <w:vertAlign w:val="superscript"/>
              </w:rPr>
              <w:t>4</w:t>
            </w:r>
            <w:r w:rsidRPr="004F04F0">
              <w:rPr>
                <w:rFonts w:ascii="Arial" w:hAnsi="Arial" w:cs="Arial"/>
                <w:sz w:val="20"/>
                <w:szCs w:val="20"/>
              </w:rPr>
              <w:t>: 38.5%</w:t>
            </w:r>
          </w:p>
          <w:p w14:paraId="59BFD598" w14:textId="438A30C9" w:rsidR="004F04F0" w:rsidRPr="004F04F0" w:rsidRDefault="004F04F0" w:rsidP="004F04F0">
            <w:pPr>
              <w:rPr>
                <w:rFonts w:ascii="Arial" w:hAnsi="Arial" w:cs="Arial"/>
                <w:sz w:val="20"/>
                <w:szCs w:val="20"/>
              </w:rPr>
            </w:pPr>
            <w:r w:rsidRPr="004F04F0">
              <w:rPr>
                <w:rFonts w:ascii="Arial" w:hAnsi="Arial" w:cs="Arial"/>
                <w:sz w:val="20"/>
                <w:szCs w:val="20"/>
              </w:rPr>
              <w:t>2+ acute respiratory events</w:t>
            </w:r>
            <w:r w:rsidRPr="004F04F0">
              <w:rPr>
                <w:rFonts w:ascii="Arial" w:hAnsi="Arial" w:cs="Arial"/>
                <w:sz w:val="20"/>
                <w:szCs w:val="20"/>
                <w:vertAlign w:val="superscript"/>
              </w:rPr>
              <w:t>4</w:t>
            </w:r>
            <w:r w:rsidRPr="004F04F0">
              <w:rPr>
                <w:rFonts w:ascii="Arial" w:hAnsi="Arial" w:cs="Arial"/>
                <w:sz w:val="20"/>
                <w:szCs w:val="20"/>
              </w:rPr>
              <w:t>: 17.0%</w:t>
            </w:r>
          </w:p>
          <w:p w14:paraId="5314CA73" w14:textId="0AAB1852" w:rsidR="004F04F0" w:rsidRPr="004F04F0" w:rsidRDefault="004F04F0" w:rsidP="004F04F0">
            <w:pPr>
              <w:rPr>
                <w:rFonts w:ascii="Arial" w:hAnsi="Arial" w:cs="Arial"/>
                <w:sz w:val="20"/>
                <w:szCs w:val="20"/>
              </w:rPr>
            </w:pPr>
            <w:r w:rsidRPr="004F04F0">
              <w:rPr>
                <w:rFonts w:ascii="Arial" w:hAnsi="Arial" w:cs="Arial"/>
                <w:sz w:val="20"/>
                <w:szCs w:val="20"/>
              </w:rPr>
              <w:t>(All aged 13+ yrs)</w:t>
            </w:r>
          </w:p>
        </w:tc>
      </w:tr>
    </w:tbl>
    <w:p w14:paraId="792E8EE5" w14:textId="408F9152" w:rsidR="001839FB" w:rsidRDefault="001839FB" w:rsidP="001839FB">
      <w:pPr>
        <w:spacing w:line="276" w:lineRule="auto"/>
        <w:rPr>
          <w:rFonts w:ascii="Arial" w:eastAsia="Aptos" w:hAnsi="Arial" w:cs="Arial"/>
          <w:kern w:val="2"/>
          <w:sz w:val="20"/>
          <w:szCs w:val="20"/>
          <w:lang w:eastAsia="en-US"/>
          <w14:ligatures w14:val="standardContextual"/>
        </w:rPr>
      </w:pPr>
      <w:r w:rsidRPr="001839FB">
        <w:rPr>
          <w:rFonts w:ascii="Arial" w:eastAsia="Aptos" w:hAnsi="Arial" w:cs="Arial"/>
          <w:kern w:val="2"/>
          <w:sz w:val="20"/>
          <w:szCs w:val="20"/>
          <w:lang w:eastAsia="en-US"/>
          <w14:ligatures w14:val="standardContextual"/>
        </w:rPr>
        <w:lastRenderedPageBreak/>
        <w:t>Footnotes:</w:t>
      </w:r>
      <w:r w:rsidRPr="001839FB">
        <w:rPr>
          <w:rFonts w:ascii="Arial" w:eastAsia="Aptos" w:hAnsi="Arial" w:cs="Arial"/>
          <w:kern w:val="2"/>
          <w:sz w:val="20"/>
          <w:szCs w:val="20"/>
          <w:lang w:eastAsia="en-US"/>
          <w14:ligatures w14:val="standardContextual"/>
        </w:rPr>
        <w:br/>
        <w:t>1: Exacerbation defined as ≤300mg OCS, or A&amp;E visit, or hospital admission.</w:t>
      </w:r>
      <w:r w:rsidRPr="001839FB">
        <w:rPr>
          <w:rFonts w:ascii="Arial" w:eastAsia="Aptos" w:hAnsi="Arial" w:cs="Arial"/>
          <w:kern w:val="2"/>
          <w:sz w:val="20"/>
          <w:szCs w:val="20"/>
          <w:lang w:eastAsia="en-US"/>
          <w14:ligatures w14:val="standardContextual"/>
        </w:rPr>
        <w:br/>
        <w:t>2: Severe exacerbation in the baseline year defined as a prescription for acute OCS, asthma-related ED visit or hospitalisation.</w:t>
      </w:r>
      <w:r w:rsidRPr="001839FB">
        <w:rPr>
          <w:rFonts w:ascii="Arial" w:eastAsia="Aptos" w:hAnsi="Arial" w:cs="Arial"/>
          <w:kern w:val="2"/>
          <w:sz w:val="20"/>
          <w:szCs w:val="20"/>
          <w:lang w:eastAsia="en-US"/>
          <w14:ligatures w14:val="standardContextual"/>
        </w:rPr>
        <w:br/>
        <w:t>3: Severe exacerbation in the outcome year defined as</w:t>
      </w:r>
      <w:r w:rsidRPr="001839FB">
        <w:rPr>
          <w:rFonts w:ascii="Aptos" w:eastAsia="Aptos" w:hAnsi="Aptos"/>
          <w:kern w:val="2"/>
          <w:lang w:eastAsia="en-US"/>
          <w14:ligatures w14:val="standardContextual"/>
        </w:rPr>
        <w:t xml:space="preserve"> </w:t>
      </w:r>
      <w:r w:rsidRPr="001839FB">
        <w:rPr>
          <w:rFonts w:ascii="Arial" w:eastAsia="Aptos" w:hAnsi="Arial" w:cs="Arial"/>
          <w:kern w:val="2"/>
          <w:sz w:val="20"/>
          <w:szCs w:val="20"/>
          <w:lang w:eastAsia="en-US"/>
          <w14:ligatures w14:val="standardContextual"/>
        </w:rPr>
        <w:t>a prescription for acute OCS, hospitalisation with asthma as the primary diagnosis, a respiratory-related ED visit and/or a recording of an acute exacerbation in the electronic medical record.</w:t>
      </w:r>
      <w:r w:rsidRPr="001839FB">
        <w:rPr>
          <w:rFonts w:ascii="Arial" w:eastAsia="Aptos" w:hAnsi="Arial" w:cs="Arial"/>
          <w:kern w:val="2"/>
          <w:sz w:val="20"/>
          <w:szCs w:val="20"/>
          <w:lang w:eastAsia="en-US"/>
          <w14:ligatures w14:val="standardContextual"/>
        </w:rPr>
        <w:br/>
        <w:t>4: Acute respiratory event in the outcome year defined as a hospitalisation with asthma as the primary diagnosis, a respiratory-related ED visit, a prescription for acute OCS, a recording of an acute exacerbation</w:t>
      </w:r>
      <w:r w:rsidRPr="001839FB">
        <w:rPr>
          <w:rFonts w:ascii="Aptos" w:eastAsia="Aptos" w:hAnsi="Aptos"/>
          <w:kern w:val="2"/>
          <w:lang w:eastAsia="en-US"/>
          <w14:ligatures w14:val="standardContextual"/>
        </w:rPr>
        <w:t xml:space="preserve"> </w:t>
      </w:r>
      <w:r w:rsidRPr="001839FB">
        <w:rPr>
          <w:rFonts w:ascii="Arial" w:eastAsia="Aptos" w:hAnsi="Arial" w:cs="Arial"/>
          <w:kern w:val="2"/>
          <w:sz w:val="20"/>
          <w:szCs w:val="20"/>
          <w:lang w:eastAsia="en-US"/>
          <w14:ligatures w14:val="standardContextual"/>
        </w:rPr>
        <w:t>in the electronic medical record, and/or prescription for antibiotics in conjunction with an asthma-related primary care consultation.</w:t>
      </w:r>
    </w:p>
    <w:p w14:paraId="5EC6D62C" w14:textId="77777777" w:rsidR="001839FB" w:rsidRDefault="001839FB">
      <w:pPr>
        <w:rPr>
          <w:rFonts w:ascii="Arial" w:eastAsia="Aptos" w:hAnsi="Arial" w:cs="Arial"/>
          <w:kern w:val="2"/>
          <w:sz w:val="20"/>
          <w:szCs w:val="20"/>
          <w:lang w:eastAsia="en-US"/>
          <w14:ligatures w14:val="standardContextual"/>
        </w:rPr>
      </w:pPr>
      <w:r>
        <w:rPr>
          <w:rFonts w:ascii="Arial" w:eastAsia="Aptos" w:hAnsi="Arial" w:cs="Arial"/>
          <w:kern w:val="2"/>
          <w:sz w:val="20"/>
          <w:szCs w:val="20"/>
          <w:lang w:eastAsia="en-US"/>
          <w14:ligatures w14:val="standardContextual"/>
        </w:rPr>
        <w:br w:type="page"/>
      </w:r>
    </w:p>
    <w:p w14:paraId="64E68C29" w14:textId="2878CC01" w:rsidR="00DE4BAF" w:rsidRDefault="00D712FC" w:rsidP="00D712FC">
      <w:pPr>
        <w:pStyle w:val="Heading1"/>
      </w:pPr>
      <w:bookmarkStart w:id="8" w:name="_Toc206596223"/>
      <w:r>
        <w:lastRenderedPageBreak/>
        <w:t xml:space="preserve">Appendix </w:t>
      </w:r>
      <w:r w:rsidR="00672318">
        <w:t>B</w:t>
      </w:r>
      <w:r>
        <w:t>: Consultation comments</w:t>
      </w:r>
      <w:bookmarkEnd w:id="8"/>
    </w:p>
    <w:tbl>
      <w:tblPr>
        <w:tblStyle w:val="TableGrid"/>
        <w:tblW w:w="14029" w:type="dxa"/>
        <w:tblLayout w:type="fixed"/>
        <w:tblLook w:val="04A0" w:firstRow="1" w:lastRow="0" w:firstColumn="1" w:lastColumn="0" w:noHBand="0" w:noVBand="1"/>
      </w:tblPr>
      <w:tblGrid>
        <w:gridCol w:w="562"/>
        <w:gridCol w:w="1701"/>
        <w:gridCol w:w="1560"/>
        <w:gridCol w:w="4110"/>
        <w:gridCol w:w="6096"/>
      </w:tblGrid>
      <w:tr w:rsidR="007707C9" w:rsidRPr="00215444" w14:paraId="1B19D44D" w14:textId="528A01A4" w:rsidTr="005A4609">
        <w:trPr>
          <w:tblHeader/>
        </w:trPr>
        <w:tc>
          <w:tcPr>
            <w:tcW w:w="562" w:type="dxa"/>
            <w:noWrap/>
            <w:hideMark/>
          </w:tcPr>
          <w:p w14:paraId="48985A53" w14:textId="77777777" w:rsidR="007707C9" w:rsidRPr="00BC04CD" w:rsidRDefault="007707C9" w:rsidP="00D712FC">
            <w:pPr>
              <w:pStyle w:val="Tabletext"/>
              <w:rPr>
                <w:b/>
                <w:bCs/>
              </w:rPr>
            </w:pPr>
            <w:r w:rsidRPr="00BC04CD">
              <w:rPr>
                <w:b/>
                <w:bCs/>
              </w:rPr>
              <w:t>ID</w:t>
            </w:r>
          </w:p>
        </w:tc>
        <w:tc>
          <w:tcPr>
            <w:tcW w:w="1701" w:type="dxa"/>
          </w:tcPr>
          <w:p w14:paraId="17CDF4E0" w14:textId="77777777" w:rsidR="007707C9" w:rsidRPr="00BC04CD" w:rsidRDefault="007707C9" w:rsidP="00D712FC">
            <w:pPr>
              <w:pStyle w:val="Tabletext"/>
              <w:rPr>
                <w:b/>
                <w:bCs/>
              </w:rPr>
            </w:pPr>
            <w:r w:rsidRPr="00BC04CD">
              <w:rPr>
                <w:b/>
                <w:bCs/>
              </w:rPr>
              <w:t>Proforma question no.</w:t>
            </w:r>
          </w:p>
        </w:tc>
        <w:tc>
          <w:tcPr>
            <w:tcW w:w="1560" w:type="dxa"/>
            <w:noWrap/>
            <w:hideMark/>
          </w:tcPr>
          <w:p w14:paraId="5337FD3B" w14:textId="39CFA066" w:rsidR="007707C9" w:rsidRPr="00BC04CD" w:rsidRDefault="007707C9" w:rsidP="00D712FC">
            <w:pPr>
              <w:pStyle w:val="Tabletext"/>
              <w:rPr>
                <w:b/>
                <w:bCs/>
              </w:rPr>
            </w:pPr>
            <w:r w:rsidRPr="00BC04CD">
              <w:rPr>
                <w:b/>
                <w:bCs/>
              </w:rPr>
              <w:t>Stakeholder organisation</w:t>
            </w:r>
          </w:p>
        </w:tc>
        <w:tc>
          <w:tcPr>
            <w:tcW w:w="4110" w:type="dxa"/>
            <w:hideMark/>
          </w:tcPr>
          <w:p w14:paraId="25FAA1B1" w14:textId="77777777" w:rsidR="007707C9" w:rsidRPr="00BC04CD" w:rsidRDefault="007707C9" w:rsidP="00D712FC">
            <w:pPr>
              <w:pStyle w:val="Tabletext"/>
              <w:rPr>
                <w:b/>
                <w:bCs/>
              </w:rPr>
            </w:pPr>
            <w:r w:rsidRPr="00BC04CD">
              <w:rPr>
                <w:b/>
                <w:bCs/>
              </w:rPr>
              <w:t>Comment</w:t>
            </w:r>
          </w:p>
        </w:tc>
        <w:tc>
          <w:tcPr>
            <w:tcW w:w="6096" w:type="dxa"/>
          </w:tcPr>
          <w:p w14:paraId="136DC76C" w14:textId="60604C57" w:rsidR="007707C9" w:rsidRPr="00BC04CD" w:rsidRDefault="007707C9" w:rsidP="00D712FC">
            <w:pPr>
              <w:pStyle w:val="Tabletext"/>
              <w:rPr>
                <w:b/>
                <w:bCs/>
              </w:rPr>
            </w:pPr>
            <w:r>
              <w:rPr>
                <w:b/>
                <w:bCs/>
              </w:rPr>
              <w:t>Response</w:t>
            </w:r>
          </w:p>
        </w:tc>
      </w:tr>
      <w:tr w:rsidR="007707C9" w:rsidRPr="00215444" w14:paraId="7557BB3F" w14:textId="53BA3FA7" w:rsidTr="005A4609">
        <w:tc>
          <w:tcPr>
            <w:tcW w:w="562" w:type="dxa"/>
            <w:noWrap/>
          </w:tcPr>
          <w:p w14:paraId="62B1A8C7" w14:textId="6EEC9614" w:rsidR="007707C9" w:rsidRDefault="007707C9" w:rsidP="00D712FC">
            <w:pPr>
              <w:pStyle w:val="Tabletext"/>
            </w:pPr>
            <w:r>
              <w:t>1</w:t>
            </w:r>
          </w:p>
        </w:tc>
        <w:tc>
          <w:tcPr>
            <w:tcW w:w="1701" w:type="dxa"/>
          </w:tcPr>
          <w:p w14:paraId="54A4C404" w14:textId="0986E1AC" w:rsidR="007707C9" w:rsidRPr="00215444" w:rsidRDefault="007707C9" w:rsidP="00D712FC">
            <w:pPr>
              <w:pStyle w:val="Tabletext"/>
            </w:pPr>
            <w:r>
              <w:t>1</w:t>
            </w:r>
            <w:r>
              <w:rPr>
                <w:szCs w:val="18"/>
              </w:rPr>
              <w:t xml:space="preserve">: </w:t>
            </w:r>
            <w:r w:rsidRPr="00B9530C">
              <w:rPr>
                <w:szCs w:val="18"/>
              </w:rPr>
              <w:t>Do you think there are any barriers to implementing the care described by these indicators?</w:t>
            </w:r>
          </w:p>
        </w:tc>
        <w:tc>
          <w:tcPr>
            <w:tcW w:w="1560" w:type="dxa"/>
            <w:noWrap/>
          </w:tcPr>
          <w:p w14:paraId="5000B29B" w14:textId="09F36165" w:rsidR="007707C9" w:rsidRPr="00215444" w:rsidRDefault="007707C9" w:rsidP="00D712FC">
            <w:pPr>
              <w:pStyle w:val="Tabletext"/>
            </w:pPr>
            <w:r>
              <w:t xml:space="preserve">Individual </w:t>
            </w:r>
            <w:proofErr w:type="gramStart"/>
            <w:r>
              <w:t>1</w:t>
            </w:r>
            <w:proofErr w:type="gramEnd"/>
          </w:p>
        </w:tc>
        <w:tc>
          <w:tcPr>
            <w:tcW w:w="4110" w:type="dxa"/>
          </w:tcPr>
          <w:p w14:paraId="79F125F0" w14:textId="77777777" w:rsidR="007707C9" w:rsidRDefault="007707C9" w:rsidP="00CC64E9">
            <w:pPr>
              <w:pStyle w:val="Tabletext"/>
            </w:pPr>
            <w:r>
              <w:t>The risk factor based on SABA will not be applicable for patients on MART.</w:t>
            </w:r>
          </w:p>
          <w:p w14:paraId="3B7AE3F4" w14:textId="77777777" w:rsidR="007707C9" w:rsidRDefault="007707C9" w:rsidP="00CC64E9">
            <w:pPr>
              <w:pStyle w:val="Tabletext"/>
            </w:pPr>
            <w:r>
              <w:t xml:space="preserve">I have asked primary care to identify these patients int eh past and there has been poor </w:t>
            </w:r>
            <w:proofErr w:type="gramStart"/>
            <w:r>
              <w:t>engagement</w:t>
            </w:r>
            <w:proofErr w:type="gramEnd"/>
            <w:r>
              <w:t xml:space="preserve"> so I assume there are barriers, </w:t>
            </w:r>
            <w:proofErr w:type="gramStart"/>
            <w:r>
              <w:t>largely related</w:t>
            </w:r>
            <w:proofErr w:type="gramEnd"/>
            <w:r>
              <w:t xml:space="preserve"> to time and </w:t>
            </w:r>
            <w:proofErr w:type="gramStart"/>
            <w:r>
              <w:t>manpower</w:t>
            </w:r>
            <w:proofErr w:type="gramEnd"/>
            <w:r>
              <w:t xml:space="preserve">. I suspect (sadly in </w:t>
            </w:r>
            <w:proofErr w:type="gramStart"/>
            <w:r>
              <w:t>some</w:t>
            </w:r>
            <w:proofErr w:type="gramEnd"/>
            <w:r>
              <w:t xml:space="preserve"> respect) that linking this request to QoF will motivate overcoming these barriers.</w:t>
            </w:r>
          </w:p>
          <w:p w14:paraId="19FC3337" w14:textId="77777777" w:rsidR="007707C9" w:rsidRDefault="007707C9" w:rsidP="00CC64E9">
            <w:pPr>
              <w:pStyle w:val="Tabletext"/>
            </w:pPr>
          </w:p>
          <w:p w14:paraId="45D0C664" w14:textId="662C866A" w:rsidR="007707C9" w:rsidRPr="00215444" w:rsidRDefault="007707C9" w:rsidP="00CC64E9">
            <w:pPr>
              <w:pStyle w:val="Tabletext"/>
            </w:pPr>
            <w:r w:rsidRPr="009B727A">
              <w:t xml:space="preserve">Asthma </w:t>
            </w:r>
            <w:proofErr w:type="gramStart"/>
            <w:r w:rsidRPr="009B727A">
              <w:t>is badly coded</w:t>
            </w:r>
            <w:proofErr w:type="gramEnd"/>
            <w:r w:rsidRPr="009B727A">
              <w:t xml:space="preserve"> in </w:t>
            </w:r>
            <w:proofErr w:type="gramStart"/>
            <w:r w:rsidRPr="009B727A">
              <w:t>some</w:t>
            </w:r>
            <w:proofErr w:type="gramEnd"/>
            <w:r w:rsidRPr="009B727A">
              <w:t xml:space="preserve"> </w:t>
            </w:r>
            <w:proofErr w:type="gramStart"/>
            <w:r w:rsidRPr="009B727A">
              <w:t>EDs</w:t>
            </w:r>
            <w:proofErr w:type="gramEnd"/>
            <w:r w:rsidRPr="009B727A">
              <w:t xml:space="preserve"> and this may limit the numbers identified.</w:t>
            </w:r>
          </w:p>
        </w:tc>
        <w:tc>
          <w:tcPr>
            <w:tcW w:w="6096" w:type="dxa"/>
          </w:tcPr>
          <w:p w14:paraId="559971DB" w14:textId="77777777" w:rsidR="007707C9" w:rsidRDefault="009F1DB9" w:rsidP="00CC64E9">
            <w:pPr>
              <w:pStyle w:val="Tabletext"/>
            </w:pPr>
            <w:r>
              <w:t>T</w:t>
            </w:r>
            <w:r w:rsidRPr="009F1DB9">
              <w:t>hank you for your comment.</w:t>
            </w:r>
          </w:p>
          <w:p w14:paraId="2FE30A98" w14:textId="1B4447B6" w:rsidR="00CE4FC9" w:rsidRDefault="00EA782C" w:rsidP="00CC64E9">
            <w:pPr>
              <w:pStyle w:val="Tabletext"/>
            </w:pPr>
            <w:r>
              <w:t xml:space="preserve">The risk factors </w:t>
            </w:r>
            <w:r w:rsidR="005A4609">
              <w:t xml:space="preserve">for poor outcomes </w:t>
            </w:r>
            <w:proofErr w:type="gramStart"/>
            <w:r>
              <w:t>are taken</w:t>
            </w:r>
            <w:proofErr w:type="gramEnd"/>
            <w:r>
              <w:t xml:space="preserve"> from the </w:t>
            </w:r>
            <w:r w:rsidR="008D19B4">
              <w:t xml:space="preserve">BTS/NICE/SIGN asthma </w:t>
            </w:r>
            <w:r w:rsidR="007C641B">
              <w:t>guideline recommendation on risk-stratified care</w:t>
            </w:r>
            <w:r w:rsidR="00520EC4">
              <w:t>,</w:t>
            </w:r>
            <w:r w:rsidR="007C641B">
              <w:t xml:space="preserve"> which is why </w:t>
            </w:r>
            <w:r w:rsidR="00621B51">
              <w:t xml:space="preserve">short-acting beta2 </w:t>
            </w:r>
            <w:r w:rsidR="00F868AB">
              <w:t>agonists (</w:t>
            </w:r>
            <w:r w:rsidR="007C641B">
              <w:t>SABAs</w:t>
            </w:r>
            <w:r w:rsidR="00F868AB">
              <w:t>)</w:t>
            </w:r>
            <w:r w:rsidR="007C641B">
              <w:t xml:space="preserve"> </w:t>
            </w:r>
            <w:proofErr w:type="gramStart"/>
            <w:r w:rsidR="007C641B">
              <w:t>are</w:t>
            </w:r>
            <w:r w:rsidR="00520EC4">
              <w:t xml:space="preserve"> included</w:t>
            </w:r>
            <w:proofErr w:type="gramEnd"/>
            <w:r w:rsidR="00520EC4">
              <w:t xml:space="preserve"> as risk factors in the indicators. </w:t>
            </w:r>
            <w:r w:rsidR="001B72C9">
              <w:t xml:space="preserve">The other </w:t>
            </w:r>
            <w:proofErr w:type="gramStart"/>
            <w:r w:rsidR="003A7092">
              <w:t>3</w:t>
            </w:r>
            <w:proofErr w:type="gramEnd"/>
            <w:r w:rsidR="003A7092">
              <w:t xml:space="preserve"> </w:t>
            </w:r>
            <w:r w:rsidR="001B72C9">
              <w:t xml:space="preserve">risk factors will </w:t>
            </w:r>
            <w:r w:rsidR="003A7092">
              <w:t xml:space="preserve">still </w:t>
            </w:r>
            <w:r w:rsidR="001B72C9">
              <w:t xml:space="preserve">enable </w:t>
            </w:r>
            <w:r w:rsidR="00172849">
              <w:t>m</w:t>
            </w:r>
            <w:r w:rsidR="00172849" w:rsidRPr="00172849">
              <w:t xml:space="preserve">aintenance and </w:t>
            </w:r>
            <w:r w:rsidR="00172849">
              <w:t>r</w:t>
            </w:r>
            <w:r w:rsidR="00172849" w:rsidRPr="00172849">
              <w:t xml:space="preserve">eliever </w:t>
            </w:r>
            <w:r w:rsidR="00172849">
              <w:t>t</w:t>
            </w:r>
            <w:r w:rsidR="00172849" w:rsidRPr="00172849">
              <w:t>herapy</w:t>
            </w:r>
            <w:r w:rsidR="00172849">
              <w:t xml:space="preserve"> (</w:t>
            </w:r>
            <w:r w:rsidR="004308AA">
              <w:t>MART</w:t>
            </w:r>
            <w:r w:rsidR="00172849">
              <w:t>)</w:t>
            </w:r>
            <w:r w:rsidR="004308AA">
              <w:t xml:space="preserve"> users to </w:t>
            </w:r>
            <w:proofErr w:type="gramStart"/>
            <w:r w:rsidR="004308AA">
              <w:t xml:space="preserve">be </w:t>
            </w:r>
            <w:r w:rsidR="003A7092">
              <w:t>identified</w:t>
            </w:r>
            <w:proofErr w:type="gramEnd"/>
            <w:r w:rsidR="003A7092">
              <w:t xml:space="preserve"> as being at risk of poor outcomes</w:t>
            </w:r>
            <w:r w:rsidR="00763B32">
              <w:t xml:space="preserve"> and included in the indicator.</w:t>
            </w:r>
            <w:r w:rsidR="005A4609">
              <w:t xml:space="preserve"> </w:t>
            </w:r>
            <w:proofErr w:type="gramStart"/>
            <w:r w:rsidR="005A4609">
              <w:t>Additionally</w:t>
            </w:r>
            <w:proofErr w:type="gramEnd"/>
            <w:r w:rsidR="005A4609">
              <w:t xml:space="preserve"> the existing NICE indicator on annual review in all patients (IND273) </w:t>
            </w:r>
            <w:r w:rsidR="005A4609" w:rsidRPr="005A4609">
              <w:t xml:space="preserve">will </w:t>
            </w:r>
            <w:proofErr w:type="gramStart"/>
            <w:r w:rsidR="005A4609" w:rsidRPr="005A4609">
              <w:t>continue on</w:t>
            </w:r>
            <w:proofErr w:type="gramEnd"/>
            <w:r w:rsidR="005A4609" w:rsidRPr="005A4609">
              <w:t xml:space="preserve"> the NICE menu.</w:t>
            </w:r>
          </w:p>
          <w:p w14:paraId="12B4DDED" w14:textId="77777777" w:rsidR="00763B32" w:rsidRDefault="00763B32" w:rsidP="00CC64E9">
            <w:pPr>
              <w:pStyle w:val="Tabletext"/>
            </w:pPr>
            <w:r>
              <w:t xml:space="preserve">We agree </w:t>
            </w:r>
            <w:r w:rsidR="009E649B">
              <w:t>implementation of</w:t>
            </w:r>
            <w:r w:rsidR="00621B51">
              <w:t xml:space="preserve"> these indicators </w:t>
            </w:r>
            <w:r w:rsidR="006C2FC2">
              <w:t xml:space="preserve">will help to increase the identification of patients at risk of poor outcomes so they can </w:t>
            </w:r>
            <w:proofErr w:type="gramStart"/>
            <w:r w:rsidR="006C2FC2">
              <w:t>be offered</w:t>
            </w:r>
            <w:proofErr w:type="gramEnd"/>
            <w:r w:rsidR="006C2FC2">
              <w:t xml:space="preserve"> </w:t>
            </w:r>
            <w:r w:rsidR="009E649B">
              <w:t>suitable interventions.</w:t>
            </w:r>
          </w:p>
          <w:p w14:paraId="2B28D62A" w14:textId="0536D9DB" w:rsidR="009E649B" w:rsidRDefault="009E649B" w:rsidP="00CC64E9">
            <w:pPr>
              <w:pStyle w:val="Tabletext"/>
            </w:pPr>
            <w:r>
              <w:t xml:space="preserve">The indicators advisory committee (IAC) </w:t>
            </w:r>
            <w:r w:rsidR="003C7B33">
              <w:t>we</w:t>
            </w:r>
            <w:r>
              <w:t xml:space="preserve">re aware of the shortcomings with the coding </w:t>
            </w:r>
            <w:r w:rsidR="00BD48E6">
              <w:t xml:space="preserve">of emergency department (ED) visits </w:t>
            </w:r>
            <w:r w:rsidR="004D5094">
              <w:t xml:space="preserve">and hospital admissions, and the transmission of this data to </w:t>
            </w:r>
            <w:r w:rsidR="00D97F1C">
              <w:t>general practice</w:t>
            </w:r>
            <w:r w:rsidR="004D5094">
              <w:t xml:space="preserve">. They agreed it was </w:t>
            </w:r>
            <w:r w:rsidR="00D97F1C">
              <w:t>useful</w:t>
            </w:r>
            <w:r w:rsidR="004D5094">
              <w:t xml:space="preserve"> to i</w:t>
            </w:r>
            <w:r w:rsidR="00D97F1C">
              <w:t>nclude</w:t>
            </w:r>
            <w:r w:rsidR="004D5094">
              <w:t xml:space="preserve"> those patients</w:t>
            </w:r>
            <w:r w:rsidR="00085D25">
              <w:t xml:space="preserve"> who have been</w:t>
            </w:r>
            <w:r w:rsidR="008D5AA5">
              <w:t xml:space="preserve"> correctly coded,</w:t>
            </w:r>
            <w:r w:rsidR="004D5094">
              <w:t xml:space="preserve"> </w:t>
            </w:r>
            <w:proofErr w:type="gramStart"/>
            <w:r w:rsidR="004D5094">
              <w:t>than</w:t>
            </w:r>
            <w:proofErr w:type="gramEnd"/>
            <w:r w:rsidR="004D5094">
              <w:t xml:space="preserve"> not to include hospital activity as risk factors. </w:t>
            </w:r>
            <w:r w:rsidR="002F6163">
              <w:t xml:space="preserve">The </w:t>
            </w:r>
            <w:r w:rsidR="00051ADE">
              <w:t xml:space="preserve">10 Year Health Plan for England </w:t>
            </w:r>
            <w:r w:rsidR="00045F0B">
              <w:t>highlights a shi</w:t>
            </w:r>
            <w:r w:rsidR="008D5AA5">
              <w:t>f</w:t>
            </w:r>
            <w:r w:rsidR="00045F0B">
              <w:t>t from analogue to digital and transforming use of health data</w:t>
            </w:r>
            <w:r w:rsidR="008D5AA5">
              <w:t>,</w:t>
            </w:r>
            <w:r w:rsidR="00045F0B">
              <w:t xml:space="preserve"> which may help to improve data gathering and sharing.</w:t>
            </w:r>
          </w:p>
        </w:tc>
      </w:tr>
      <w:tr w:rsidR="007707C9" w:rsidRPr="00215444" w14:paraId="77C38574" w14:textId="78169FA0" w:rsidTr="005A4609">
        <w:tc>
          <w:tcPr>
            <w:tcW w:w="562" w:type="dxa"/>
            <w:noWrap/>
          </w:tcPr>
          <w:p w14:paraId="0ADAC299" w14:textId="05466B57" w:rsidR="007707C9" w:rsidRDefault="007707C9" w:rsidP="00D712FC">
            <w:pPr>
              <w:pStyle w:val="Tabletext"/>
            </w:pPr>
            <w:r>
              <w:t>2</w:t>
            </w:r>
          </w:p>
        </w:tc>
        <w:tc>
          <w:tcPr>
            <w:tcW w:w="1701" w:type="dxa"/>
          </w:tcPr>
          <w:p w14:paraId="056824E1" w14:textId="22AFBC56" w:rsidR="007707C9" w:rsidRPr="00215444" w:rsidRDefault="007707C9" w:rsidP="00D712FC">
            <w:pPr>
              <w:pStyle w:val="Tabletext"/>
            </w:pPr>
            <w:r>
              <w:t>2</w:t>
            </w:r>
            <w:r>
              <w:rPr>
                <w:szCs w:val="18"/>
              </w:rPr>
              <w:t xml:space="preserve">: </w:t>
            </w:r>
            <w:r w:rsidRPr="009C6BDD">
              <w:rPr>
                <w:szCs w:val="18"/>
              </w:rPr>
              <w:t xml:space="preserve">Do you think there are potential </w:t>
            </w:r>
            <w:r w:rsidRPr="009C6BDD">
              <w:rPr>
                <w:szCs w:val="18"/>
              </w:rPr>
              <w:lastRenderedPageBreak/>
              <w:t>unintended consequences to implementing/ using any of these indicators?</w:t>
            </w:r>
          </w:p>
        </w:tc>
        <w:tc>
          <w:tcPr>
            <w:tcW w:w="1560" w:type="dxa"/>
            <w:noWrap/>
          </w:tcPr>
          <w:p w14:paraId="075B6F2F" w14:textId="1655A854" w:rsidR="007707C9" w:rsidRPr="00215444" w:rsidRDefault="007707C9" w:rsidP="00D712FC">
            <w:pPr>
              <w:pStyle w:val="Tabletext"/>
            </w:pPr>
            <w:r w:rsidRPr="00D15F11">
              <w:lastRenderedPageBreak/>
              <w:t xml:space="preserve">Individual </w:t>
            </w:r>
            <w:proofErr w:type="gramStart"/>
            <w:r w:rsidRPr="00D15F11">
              <w:t>1</w:t>
            </w:r>
            <w:proofErr w:type="gramEnd"/>
          </w:p>
        </w:tc>
        <w:tc>
          <w:tcPr>
            <w:tcW w:w="4110" w:type="dxa"/>
          </w:tcPr>
          <w:p w14:paraId="1E8EA52A" w14:textId="39C074E4" w:rsidR="007707C9" w:rsidRDefault="007707C9" w:rsidP="00D41E32">
            <w:pPr>
              <w:pStyle w:val="Tabletext"/>
            </w:pPr>
            <w:r>
              <w:t xml:space="preserve">There could be further demonisation of SABA which can alienate families who have complex lives and require SABA </w:t>
            </w:r>
            <w:r>
              <w:lastRenderedPageBreak/>
              <w:t xml:space="preserve">across a number </w:t>
            </w:r>
            <w:proofErr w:type="gramStart"/>
            <w:r>
              <w:t>of  addresses</w:t>
            </w:r>
            <w:proofErr w:type="gramEnd"/>
            <w:r>
              <w:t>/</w:t>
            </w:r>
            <w:proofErr w:type="gramStart"/>
            <w:r>
              <w:t>locations</w:t>
            </w:r>
            <w:proofErr w:type="gramEnd"/>
          </w:p>
          <w:p w14:paraId="61630709" w14:textId="77777777" w:rsidR="007707C9" w:rsidRDefault="007707C9" w:rsidP="00D41E32">
            <w:pPr>
              <w:pStyle w:val="Tabletext"/>
            </w:pPr>
          </w:p>
          <w:p w14:paraId="59C50E54" w14:textId="2F11C8C0" w:rsidR="007707C9" w:rsidRPr="00215444" w:rsidRDefault="007707C9" w:rsidP="00D41E32">
            <w:pPr>
              <w:pStyle w:val="Tabletext"/>
            </w:pPr>
            <w:r>
              <w:t>It may lead to less recognition of other risk factors such as food allergy</w:t>
            </w:r>
          </w:p>
        </w:tc>
        <w:tc>
          <w:tcPr>
            <w:tcW w:w="6096" w:type="dxa"/>
          </w:tcPr>
          <w:p w14:paraId="6D8F31CE" w14:textId="77777777" w:rsidR="007707C9" w:rsidRDefault="009F1DB9" w:rsidP="00D41E32">
            <w:pPr>
              <w:pStyle w:val="Tabletext"/>
            </w:pPr>
            <w:r>
              <w:lastRenderedPageBreak/>
              <w:t>T</w:t>
            </w:r>
            <w:r w:rsidRPr="009F1DB9">
              <w:t>hank you for your comment.</w:t>
            </w:r>
          </w:p>
          <w:p w14:paraId="7EF62C22" w14:textId="77777777" w:rsidR="00A026D0" w:rsidRDefault="00A026D0" w:rsidP="00D41E32">
            <w:pPr>
              <w:pStyle w:val="Tabletext"/>
            </w:pPr>
            <w:r>
              <w:t xml:space="preserve">The intention of including SABA </w:t>
            </w:r>
            <w:r w:rsidR="00DB69D1">
              <w:t xml:space="preserve">use as a risk factor in the indicators is to enable those showing signs of uncontrolled </w:t>
            </w:r>
            <w:r w:rsidR="00DB69D1">
              <w:lastRenderedPageBreak/>
              <w:t>asthma</w:t>
            </w:r>
            <w:r w:rsidR="00D139C6">
              <w:t>, such as multiple SABA prescriptions per year,</w:t>
            </w:r>
            <w:r w:rsidR="00DB69D1">
              <w:t xml:space="preserve"> to </w:t>
            </w:r>
            <w:proofErr w:type="gramStart"/>
            <w:r w:rsidR="00DB69D1">
              <w:t>be identified</w:t>
            </w:r>
            <w:proofErr w:type="gramEnd"/>
            <w:r w:rsidR="00DB69D1">
              <w:t xml:space="preserve"> and offered suitable interventions</w:t>
            </w:r>
            <w:r w:rsidR="003D3B79">
              <w:t xml:space="preserve">. It is not to </w:t>
            </w:r>
            <w:r w:rsidR="005076B0">
              <w:t xml:space="preserve">criticise or prevent use of multiple SABAs where there is </w:t>
            </w:r>
            <w:r w:rsidR="009931C8">
              <w:t xml:space="preserve">a valid clinical need. </w:t>
            </w:r>
            <w:r w:rsidR="00273C4D">
              <w:t>For</w:t>
            </w:r>
            <w:r w:rsidR="00B31AD1">
              <w:t xml:space="preserve"> patients picked up by the SABA risk factor</w:t>
            </w:r>
            <w:r w:rsidR="004F3149">
              <w:t xml:space="preserve">, </w:t>
            </w:r>
            <w:r w:rsidR="008977CF">
              <w:t>the</w:t>
            </w:r>
            <w:r w:rsidR="00DF6BEB">
              <w:t xml:space="preserve"> intervention</w:t>
            </w:r>
            <w:r w:rsidR="004F3149">
              <w:t xml:space="preserve"> in the indicator </w:t>
            </w:r>
            <w:r w:rsidR="008977CF">
              <w:t xml:space="preserve">can </w:t>
            </w:r>
            <w:proofErr w:type="gramStart"/>
            <w:r w:rsidR="008977CF">
              <w:t xml:space="preserve">be </w:t>
            </w:r>
            <w:r w:rsidR="004F3149">
              <w:t>declined</w:t>
            </w:r>
            <w:proofErr w:type="gramEnd"/>
            <w:r w:rsidR="004F3149">
              <w:t xml:space="preserve"> or </w:t>
            </w:r>
            <w:r w:rsidR="008977CF">
              <w:t xml:space="preserve">may not </w:t>
            </w:r>
            <w:r w:rsidR="00DC7FA2">
              <w:t xml:space="preserve">be </w:t>
            </w:r>
            <w:r w:rsidR="008977CF">
              <w:t>appropriate</w:t>
            </w:r>
            <w:r w:rsidR="00CB14E6">
              <w:t xml:space="preserve"> – which can </w:t>
            </w:r>
            <w:proofErr w:type="gramStart"/>
            <w:r w:rsidR="00CB14E6">
              <w:t>be managed</w:t>
            </w:r>
            <w:proofErr w:type="gramEnd"/>
            <w:r w:rsidR="00CB14E6">
              <w:t xml:space="preserve"> by p</w:t>
            </w:r>
            <w:r w:rsidR="00CB14E6" w:rsidRPr="00CB14E6">
              <w:t>ersonalised care adjustments or exception reporting</w:t>
            </w:r>
            <w:r w:rsidR="00CB14E6">
              <w:t>.</w:t>
            </w:r>
          </w:p>
          <w:p w14:paraId="16F6B4CA" w14:textId="2B8E2F81" w:rsidR="00DC7FA2" w:rsidRDefault="00400355" w:rsidP="00D41E32">
            <w:pPr>
              <w:pStyle w:val="Tabletext"/>
            </w:pPr>
            <w:r>
              <w:t>The intention of</w:t>
            </w:r>
            <w:r w:rsidR="00060D86">
              <w:t xml:space="preserve"> </w:t>
            </w:r>
            <w:r>
              <w:t>the</w:t>
            </w:r>
            <w:r w:rsidR="00060D86">
              <w:t xml:space="preserve"> risk factors </w:t>
            </w:r>
            <w:r>
              <w:t xml:space="preserve">in the indicator is </w:t>
            </w:r>
            <w:r w:rsidR="00060D86">
              <w:t>not</w:t>
            </w:r>
            <w:r>
              <w:t xml:space="preserve"> to overshadow other risk factors, and </w:t>
            </w:r>
            <w:r w:rsidR="00511204">
              <w:t xml:space="preserve">healthcare practitioners are </w:t>
            </w:r>
            <w:r w:rsidR="003523D8">
              <w:t xml:space="preserve">still able to identify </w:t>
            </w:r>
            <w:r>
              <w:t>other</w:t>
            </w:r>
            <w:r w:rsidR="000D3AFA">
              <w:t xml:space="preserve"> risk factors</w:t>
            </w:r>
            <w:r w:rsidR="003523D8">
              <w:t xml:space="preserve"> and </w:t>
            </w:r>
            <w:r w:rsidR="00AE7434">
              <w:t xml:space="preserve">take appropriate action </w:t>
            </w:r>
            <w:r w:rsidR="00CE657E">
              <w:t>if required</w:t>
            </w:r>
            <w:r w:rsidR="00123C79">
              <w:t xml:space="preserve"> (for example, atopic </w:t>
            </w:r>
            <w:r w:rsidR="00091248">
              <w:t>disorders</w:t>
            </w:r>
            <w:r w:rsidR="00201DE0">
              <w:t xml:space="preserve"> [such as food allergies]</w:t>
            </w:r>
            <w:r w:rsidR="00091248">
              <w:t xml:space="preserve"> are referred to in the BTS/NICE/SIGN asthma guideline</w:t>
            </w:r>
            <w:r w:rsidR="002F29B7">
              <w:t>).</w:t>
            </w:r>
          </w:p>
        </w:tc>
      </w:tr>
      <w:tr w:rsidR="007707C9" w:rsidRPr="00215444" w14:paraId="4D890CA3" w14:textId="7F6F4103" w:rsidTr="005A4609">
        <w:tc>
          <w:tcPr>
            <w:tcW w:w="562" w:type="dxa"/>
            <w:noWrap/>
          </w:tcPr>
          <w:p w14:paraId="50361B0C" w14:textId="410D37ED" w:rsidR="007707C9" w:rsidRDefault="008977CF" w:rsidP="00D712FC">
            <w:pPr>
              <w:pStyle w:val="Tabletext"/>
            </w:pPr>
            <w:r>
              <w:lastRenderedPageBreak/>
              <w:t xml:space="preserve"> </w:t>
            </w:r>
            <w:r w:rsidR="007707C9">
              <w:t>3</w:t>
            </w:r>
          </w:p>
        </w:tc>
        <w:tc>
          <w:tcPr>
            <w:tcW w:w="1701" w:type="dxa"/>
          </w:tcPr>
          <w:p w14:paraId="46B88695" w14:textId="731E1E97" w:rsidR="007707C9" w:rsidRPr="00215444" w:rsidRDefault="007707C9" w:rsidP="00D712FC">
            <w:pPr>
              <w:pStyle w:val="Tabletext"/>
            </w:pPr>
            <w:r>
              <w:t>3:</w:t>
            </w:r>
            <w:r w:rsidRPr="00E27F70">
              <w:rPr>
                <w:szCs w:val="18"/>
              </w:rPr>
              <w:t xml:space="preserve"> Do you think there is potential for differential impact (in respect of age, disability, gender and gender reassignment, pregnancy and maternity, race, religion or belief, and </w:t>
            </w:r>
            <w:r w:rsidRPr="00E27F70">
              <w:rPr>
                <w:szCs w:val="18"/>
              </w:rPr>
              <w:lastRenderedPageBreak/>
              <w:t xml:space="preserve">sexual orientation)? </w:t>
            </w:r>
          </w:p>
        </w:tc>
        <w:tc>
          <w:tcPr>
            <w:tcW w:w="1560" w:type="dxa"/>
            <w:noWrap/>
          </w:tcPr>
          <w:p w14:paraId="300FD932" w14:textId="58C3213E" w:rsidR="007707C9" w:rsidRPr="00215444" w:rsidRDefault="007707C9" w:rsidP="00D712FC">
            <w:pPr>
              <w:pStyle w:val="Tabletext"/>
            </w:pPr>
            <w:r w:rsidRPr="00D15F11">
              <w:lastRenderedPageBreak/>
              <w:t xml:space="preserve">Individual </w:t>
            </w:r>
            <w:proofErr w:type="gramStart"/>
            <w:r w:rsidRPr="00D15F11">
              <w:t>1</w:t>
            </w:r>
            <w:proofErr w:type="gramEnd"/>
          </w:p>
        </w:tc>
        <w:tc>
          <w:tcPr>
            <w:tcW w:w="4110" w:type="dxa"/>
          </w:tcPr>
          <w:p w14:paraId="56F06F48" w14:textId="77777777" w:rsidR="007707C9" w:rsidRDefault="007707C9" w:rsidP="002043D9">
            <w:pPr>
              <w:pStyle w:val="Tabletext"/>
            </w:pPr>
            <w:r>
              <w:t xml:space="preserve">I suspect OCS prescription will differentially detect children as </w:t>
            </w:r>
            <w:proofErr w:type="gramStart"/>
            <w:r>
              <w:t>high risk</w:t>
            </w:r>
            <w:proofErr w:type="gramEnd"/>
            <w:r>
              <w:t xml:space="preserve">. This is no </w:t>
            </w:r>
            <w:proofErr w:type="gramStart"/>
            <w:r>
              <w:t>bad thing</w:t>
            </w:r>
            <w:proofErr w:type="gramEnd"/>
            <w:r>
              <w:t xml:space="preserve"> but will be most effective if linked to an intervention that is appropriate for improving asthma care in young people.</w:t>
            </w:r>
          </w:p>
          <w:p w14:paraId="60EA0933" w14:textId="77777777" w:rsidR="007707C9" w:rsidRDefault="007707C9" w:rsidP="002043D9">
            <w:pPr>
              <w:pStyle w:val="Tabletext"/>
            </w:pPr>
          </w:p>
          <w:p w14:paraId="6B0C2F8C" w14:textId="0D6FE6E3" w:rsidR="007707C9" w:rsidRPr="00215444" w:rsidRDefault="007707C9" w:rsidP="002043D9">
            <w:pPr>
              <w:pStyle w:val="Tabletext"/>
            </w:pPr>
            <w:r>
              <w:t xml:space="preserve">Children are poorly coded in ED often even beyond 6 years coded as wheeze rather than asthma so may not </w:t>
            </w:r>
            <w:proofErr w:type="gramStart"/>
            <w:r>
              <w:t>be identified</w:t>
            </w:r>
            <w:proofErr w:type="gramEnd"/>
            <w:r>
              <w:t>.</w:t>
            </w:r>
          </w:p>
        </w:tc>
        <w:tc>
          <w:tcPr>
            <w:tcW w:w="6096" w:type="dxa"/>
          </w:tcPr>
          <w:p w14:paraId="3EF559A4" w14:textId="77777777" w:rsidR="007707C9" w:rsidRDefault="009F1DB9" w:rsidP="002043D9">
            <w:pPr>
              <w:pStyle w:val="Tabletext"/>
            </w:pPr>
            <w:r>
              <w:t>T</w:t>
            </w:r>
            <w:r w:rsidRPr="009F1DB9">
              <w:t>hank you for your comment.</w:t>
            </w:r>
          </w:p>
          <w:p w14:paraId="7AE3F5C0" w14:textId="0CD8CC50" w:rsidR="001F04D1" w:rsidRDefault="006B66BA" w:rsidP="002043D9">
            <w:pPr>
              <w:pStyle w:val="Tabletext"/>
            </w:pPr>
            <w:r>
              <w:t xml:space="preserve">Children with </w:t>
            </w:r>
            <w:proofErr w:type="gramStart"/>
            <w:r w:rsidR="003E631B">
              <w:t>2</w:t>
            </w:r>
            <w:proofErr w:type="gramEnd"/>
            <w:r w:rsidR="003E631B">
              <w:t xml:space="preserve"> or more oral corticosteroid (OCS) prescriptions per year </w:t>
            </w:r>
            <w:r w:rsidR="005A6CC7">
              <w:t xml:space="preserve">would fall within the indicator for annual review in higher risk patients. The review is an opportunity </w:t>
            </w:r>
            <w:r w:rsidR="001F04D1">
              <w:t xml:space="preserve">to assess the child’s asthma and </w:t>
            </w:r>
            <w:r w:rsidR="005150BA">
              <w:t>ensure that the</w:t>
            </w:r>
            <w:r w:rsidR="001F04D1">
              <w:t>y are receiving the most suitable interventions.</w:t>
            </w:r>
          </w:p>
          <w:p w14:paraId="77DF46DA" w14:textId="78D59A75" w:rsidR="001F04D1" w:rsidRDefault="003C7B33" w:rsidP="002043D9">
            <w:pPr>
              <w:pStyle w:val="Tabletext"/>
            </w:pPr>
            <w:r w:rsidRPr="003C7B33">
              <w:t>The</w:t>
            </w:r>
            <w:r>
              <w:t xml:space="preserve"> IAC</w:t>
            </w:r>
            <w:r w:rsidRPr="003C7B33">
              <w:t xml:space="preserve"> </w:t>
            </w:r>
            <w:r>
              <w:t>we</w:t>
            </w:r>
            <w:r w:rsidRPr="003C7B33">
              <w:t xml:space="preserve">re aware of the shortcomings with the coding of ED visits and hospital admissions, and the transmission of this data to </w:t>
            </w:r>
            <w:r w:rsidR="00D97F1C">
              <w:t>general practice</w:t>
            </w:r>
            <w:r w:rsidRPr="003C7B33">
              <w:t xml:space="preserve">. They agreed it was </w:t>
            </w:r>
            <w:r w:rsidR="00D97F1C">
              <w:t>useful</w:t>
            </w:r>
            <w:r w:rsidRPr="003C7B33">
              <w:t xml:space="preserve"> to i</w:t>
            </w:r>
            <w:r w:rsidR="00D97F1C">
              <w:t>nclude</w:t>
            </w:r>
            <w:r w:rsidRPr="003C7B33">
              <w:t xml:space="preserve"> those patients who have been correctly coded, </w:t>
            </w:r>
            <w:proofErr w:type="gramStart"/>
            <w:r w:rsidRPr="003C7B33">
              <w:t>than</w:t>
            </w:r>
            <w:proofErr w:type="gramEnd"/>
            <w:r w:rsidRPr="003C7B33">
              <w:t xml:space="preserve"> not to include hospital activity as risk factors. The 10 Year Health Plan for England highlights a shift from analogue to digital and transforming use of health data, which may help to improve data gathering and sharing.</w:t>
            </w:r>
          </w:p>
          <w:p w14:paraId="6A1E1469" w14:textId="3D3BFEC4" w:rsidR="00DC7FA2" w:rsidRDefault="00DC7FA2" w:rsidP="002043D9">
            <w:pPr>
              <w:pStyle w:val="Tabletext"/>
            </w:pPr>
          </w:p>
        </w:tc>
      </w:tr>
      <w:tr w:rsidR="007707C9" w:rsidRPr="00215444" w14:paraId="7545F114" w14:textId="694133FF" w:rsidTr="005A4609">
        <w:tc>
          <w:tcPr>
            <w:tcW w:w="562" w:type="dxa"/>
            <w:noWrap/>
          </w:tcPr>
          <w:p w14:paraId="08B78869" w14:textId="3AC96E6C" w:rsidR="007707C9" w:rsidRDefault="007707C9" w:rsidP="00D712FC">
            <w:pPr>
              <w:pStyle w:val="Tabletext"/>
            </w:pPr>
            <w:r>
              <w:t>4</w:t>
            </w:r>
          </w:p>
        </w:tc>
        <w:tc>
          <w:tcPr>
            <w:tcW w:w="1701" w:type="dxa"/>
          </w:tcPr>
          <w:p w14:paraId="03F8DA52" w14:textId="685BC781" w:rsidR="007707C9" w:rsidRPr="00215444" w:rsidRDefault="007707C9" w:rsidP="00D712FC">
            <w:pPr>
              <w:pStyle w:val="Tabletext"/>
            </w:pPr>
            <w:r>
              <w:t xml:space="preserve">4: </w:t>
            </w:r>
            <w:r w:rsidRPr="003C0D55">
              <w:t xml:space="preserve">If you think any of these indicators may have an adverse impact in </w:t>
            </w:r>
            <w:proofErr w:type="gramStart"/>
            <w:r w:rsidRPr="003C0D55">
              <w:t>different groups</w:t>
            </w:r>
            <w:proofErr w:type="gramEnd"/>
            <w:r w:rsidRPr="003C0D55">
              <w:t xml:space="preserve"> in the community, can you suggest how the indicator might </w:t>
            </w:r>
            <w:proofErr w:type="gramStart"/>
            <w:r w:rsidRPr="003C0D55">
              <w:t>be delivered</w:t>
            </w:r>
            <w:proofErr w:type="gramEnd"/>
            <w:r w:rsidRPr="003C0D55">
              <w:t xml:space="preserve"> differently to </w:t>
            </w:r>
            <w:proofErr w:type="gramStart"/>
            <w:r w:rsidRPr="003C0D55">
              <w:t>different groups</w:t>
            </w:r>
            <w:proofErr w:type="gramEnd"/>
            <w:r w:rsidRPr="003C0D55">
              <w:t xml:space="preserve"> to reduce health inequalities?</w:t>
            </w:r>
          </w:p>
        </w:tc>
        <w:tc>
          <w:tcPr>
            <w:tcW w:w="1560" w:type="dxa"/>
            <w:noWrap/>
          </w:tcPr>
          <w:p w14:paraId="7CDC3BC6" w14:textId="51B99BBB" w:rsidR="007707C9" w:rsidRPr="00215444" w:rsidRDefault="007707C9" w:rsidP="00D712FC">
            <w:pPr>
              <w:pStyle w:val="Tabletext"/>
            </w:pPr>
            <w:r w:rsidRPr="00D15F11">
              <w:t xml:space="preserve">Individual </w:t>
            </w:r>
            <w:proofErr w:type="gramStart"/>
            <w:r w:rsidRPr="00D15F11">
              <w:t>1</w:t>
            </w:r>
            <w:proofErr w:type="gramEnd"/>
          </w:p>
        </w:tc>
        <w:tc>
          <w:tcPr>
            <w:tcW w:w="4110" w:type="dxa"/>
          </w:tcPr>
          <w:p w14:paraId="27EE1FC8" w14:textId="5FEB0A2A" w:rsidR="007707C9" w:rsidRPr="00215444" w:rsidRDefault="007707C9" w:rsidP="00D712FC">
            <w:pPr>
              <w:pStyle w:val="Tabletext"/>
            </w:pPr>
            <w:r w:rsidRPr="00E7762F">
              <w:t xml:space="preserve">The biggest inequality relates to not actually being on the asthma register. This is a problem for children where objective testing </w:t>
            </w:r>
            <w:proofErr w:type="gramStart"/>
            <w:r w:rsidRPr="00E7762F">
              <w:t>is inconsistently provided</w:t>
            </w:r>
            <w:proofErr w:type="gramEnd"/>
            <w:r w:rsidRPr="00E7762F">
              <w:t xml:space="preserve"> and can lead to underdiagnosis.</w:t>
            </w:r>
          </w:p>
        </w:tc>
        <w:tc>
          <w:tcPr>
            <w:tcW w:w="6096" w:type="dxa"/>
          </w:tcPr>
          <w:p w14:paraId="2F83691C" w14:textId="77777777" w:rsidR="007707C9" w:rsidRDefault="009F1DB9" w:rsidP="00D712FC">
            <w:pPr>
              <w:pStyle w:val="Tabletext"/>
            </w:pPr>
            <w:r w:rsidRPr="009F1DB9">
              <w:t>Thank you for your comment.</w:t>
            </w:r>
          </w:p>
          <w:p w14:paraId="5A8C9AC0" w14:textId="5FD5AC4E" w:rsidR="00FB0388" w:rsidRDefault="00FB0388" w:rsidP="00D712FC">
            <w:pPr>
              <w:pStyle w:val="Tabletext"/>
            </w:pPr>
            <w:r>
              <w:t>We understand your concern that children not on the asthma register will</w:t>
            </w:r>
            <w:r w:rsidR="00AB5C92">
              <w:t xml:space="preserve"> not </w:t>
            </w:r>
            <w:proofErr w:type="gramStart"/>
            <w:r w:rsidR="00AB5C92">
              <w:t>be identified</w:t>
            </w:r>
            <w:proofErr w:type="gramEnd"/>
            <w:r w:rsidR="00AB5C92">
              <w:t xml:space="preserve"> by the indicators.</w:t>
            </w:r>
          </w:p>
          <w:p w14:paraId="0574AEA2" w14:textId="132E9574" w:rsidR="00E4533C" w:rsidRPr="00E7762F" w:rsidRDefault="00E87AA6" w:rsidP="00D712FC">
            <w:pPr>
              <w:pStyle w:val="Tabletext"/>
            </w:pPr>
            <w:r>
              <w:t xml:space="preserve">NICE indicator IND272 </w:t>
            </w:r>
            <w:r w:rsidR="006C71F2" w:rsidRPr="006C71F2">
              <w:t>Asthma: objective tests</w:t>
            </w:r>
            <w:r w:rsidR="006C71F2">
              <w:t xml:space="preserve"> </w:t>
            </w:r>
            <w:proofErr w:type="gramStart"/>
            <w:r w:rsidR="006C71F2">
              <w:t>a</w:t>
            </w:r>
            <w:r w:rsidR="006C71F2" w:rsidRPr="006C71F2">
              <w:t>ims</w:t>
            </w:r>
            <w:proofErr w:type="gramEnd"/>
            <w:r w:rsidR="006C71F2" w:rsidRPr="006C71F2">
              <w:t xml:space="preserve"> to encourage the use of objective tests to confirm asthma diagnosis.</w:t>
            </w:r>
            <w:r w:rsidR="00A42ED4">
              <w:t xml:space="preserve"> Additionally, NICE indicator IND186 </w:t>
            </w:r>
            <w:r w:rsidR="00A42ED4" w:rsidRPr="00A42ED4">
              <w:t>Asthma: register</w:t>
            </w:r>
            <w:r w:rsidR="00A42ED4">
              <w:t xml:space="preserve"> </w:t>
            </w:r>
            <w:r w:rsidR="00A42ED4" w:rsidRPr="00A42ED4">
              <w:t>aim</w:t>
            </w:r>
            <w:r w:rsidR="00A42ED4">
              <w:t>s</w:t>
            </w:r>
            <w:r w:rsidR="00A42ED4" w:rsidRPr="00A42ED4">
              <w:t xml:space="preserve"> </w:t>
            </w:r>
            <w:r w:rsidR="00A42ED4">
              <w:t>t</w:t>
            </w:r>
            <w:r w:rsidR="00A42ED4" w:rsidRPr="00A42ED4">
              <w:t>o encourage practices to record the diagnosis of asthma and to use that register of patients to inform the care they deliver.</w:t>
            </w:r>
          </w:p>
        </w:tc>
      </w:tr>
      <w:tr w:rsidR="007707C9" w:rsidRPr="00215444" w14:paraId="07A310CC" w14:textId="14764FA4" w:rsidTr="005A4609">
        <w:tc>
          <w:tcPr>
            <w:tcW w:w="562" w:type="dxa"/>
            <w:noWrap/>
          </w:tcPr>
          <w:p w14:paraId="29BBC45C" w14:textId="5C9E07C3" w:rsidR="007707C9" w:rsidRDefault="007707C9" w:rsidP="00D712FC">
            <w:pPr>
              <w:pStyle w:val="Tabletext"/>
            </w:pPr>
            <w:r>
              <w:t>5</w:t>
            </w:r>
          </w:p>
        </w:tc>
        <w:tc>
          <w:tcPr>
            <w:tcW w:w="1701" w:type="dxa"/>
          </w:tcPr>
          <w:p w14:paraId="2368CEB9" w14:textId="5D31BD96" w:rsidR="007707C9" w:rsidRPr="00215444" w:rsidRDefault="007707C9" w:rsidP="00D712FC">
            <w:pPr>
              <w:pStyle w:val="Tabletext"/>
            </w:pPr>
            <w:r w:rsidRPr="003C0D55">
              <w:t>IND</w:t>
            </w:r>
            <w:r>
              <w:t>315</w:t>
            </w:r>
          </w:p>
        </w:tc>
        <w:tc>
          <w:tcPr>
            <w:tcW w:w="1560" w:type="dxa"/>
            <w:noWrap/>
          </w:tcPr>
          <w:p w14:paraId="06CF45C2" w14:textId="6811AA25" w:rsidR="007707C9" w:rsidRPr="00215444" w:rsidRDefault="007707C9" w:rsidP="00D712FC">
            <w:pPr>
              <w:pStyle w:val="Tabletext"/>
            </w:pPr>
            <w:r w:rsidRPr="00161F3C">
              <w:t>Association of Respiratory Nurses (ARNS)</w:t>
            </w:r>
          </w:p>
        </w:tc>
        <w:tc>
          <w:tcPr>
            <w:tcW w:w="4110" w:type="dxa"/>
          </w:tcPr>
          <w:p w14:paraId="3A8285BE" w14:textId="04B1BFEA" w:rsidR="007707C9" w:rsidRDefault="007707C9" w:rsidP="005C3F3B">
            <w:pPr>
              <w:pStyle w:val="Tabletext"/>
            </w:pPr>
            <w:r>
              <w:t xml:space="preserve">In the absence of mandatory training and competencies in asthma, all patients in primary care are at risk of their review being a 'box-ticking' exercise, with some clinicians having no real insight into what should be done and why, when it comes to identifying </w:t>
            </w:r>
            <w:r>
              <w:lastRenderedPageBreak/>
              <w:t>and managing high risk cases.  Access to FeNO is highly variable for diagnostics, never mind as part of the annual review</w:t>
            </w:r>
            <w:proofErr w:type="gramStart"/>
            <w:r>
              <w:t xml:space="preserve">.  </w:t>
            </w:r>
            <w:proofErr w:type="gramEnd"/>
            <w:r>
              <w:t xml:space="preserve">The BTS/SIGN/NICE guidelines simply the process of diagnosing asthma but only if clinicians have access to FeNO or spirometry. The management of asthma is much more straightforward too, but we need an informed and competent workforce to implement them. </w:t>
            </w:r>
            <w:proofErr w:type="gramStart"/>
            <w:r>
              <w:t>As long as</w:t>
            </w:r>
            <w:proofErr w:type="gramEnd"/>
            <w:r>
              <w:t xml:space="preserve"> anyone can undertake the asthma annual review, trained or not, and </w:t>
            </w:r>
            <w:proofErr w:type="gramStart"/>
            <w:r>
              <w:t>as long as</w:t>
            </w:r>
            <w:proofErr w:type="gramEnd"/>
            <w:r>
              <w:t xml:space="preserve"> primary care continues to </w:t>
            </w:r>
            <w:proofErr w:type="gramStart"/>
            <w:r>
              <w:t>be delivered</w:t>
            </w:r>
            <w:proofErr w:type="gramEnd"/>
            <w:r>
              <w:t xml:space="preserve"> by multiple small business with varying levels of commitment to training and development, health inequalities will persist. Respiratory diseases are too important to treat in this casual way. </w:t>
            </w:r>
          </w:p>
          <w:p w14:paraId="3C519F38" w14:textId="77777777" w:rsidR="007707C9" w:rsidRDefault="007707C9" w:rsidP="005C3F3B">
            <w:pPr>
              <w:pStyle w:val="Tabletext"/>
            </w:pPr>
          </w:p>
          <w:p w14:paraId="58B3DFF1" w14:textId="321C1E1E" w:rsidR="007707C9" w:rsidRPr="00215444" w:rsidRDefault="007707C9" w:rsidP="005C3F3B">
            <w:pPr>
              <w:pStyle w:val="Tabletext"/>
            </w:pPr>
            <w:r>
              <w:t xml:space="preserve">FeNO should </w:t>
            </w:r>
            <w:proofErr w:type="gramStart"/>
            <w:r>
              <w:t>be included</w:t>
            </w:r>
            <w:proofErr w:type="gramEnd"/>
            <w:r>
              <w:t xml:space="preserve"> in annual reviews and patients who are more at risk should have more frequent than annual reviews.</w:t>
            </w:r>
          </w:p>
        </w:tc>
        <w:tc>
          <w:tcPr>
            <w:tcW w:w="6096" w:type="dxa"/>
          </w:tcPr>
          <w:p w14:paraId="4E63C7E9" w14:textId="77777777" w:rsidR="007707C9" w:rsidRDefault="009F1DB9" w:rsidP="005C3F3B">
            <w:pPr>
              <w:pStyle w:val="Tabletext"/>
            </w:pPr>
            <w:r w:rsidRPr="009F1DB9">
              <w:lastRenderedPageBreak/>
              <w:t>Thank you for your comment.</w:t>
            </w:r>
          </w:p>
          <w:p w14:paraId="6FAF8C4E" w14:textId="0EE80A98" w:rsidR="00505217" w:rsidRDefault="00CE1464" w:rsidP="00014890">
            <w:pPr>
              <w:pStyle w:val="Tabletext"/>
            </w:pPr>
            <w:r>
              <w:t xml:space="preserve">Training and competency of staff undertaking reviews of people with asthma is not within the remit of NICE. </w:t>
            </w:r>
          </w:p>
          <w:p w14:paraId="22587B80" w14:textId="6A9E6425" w:rsidR="00125615" w:rsidRDefault="00CF1C53" w:rsidP="00014890">
            <w:pPr>
              <w:pStyle w:val="Tabletext"/>
            </w:pPr>
            <w:r>
              <w:t>F</w:t>
            </w:r>
            <w:r w:rsidR="006D01A8" w:rsidRPr="006D01A8">
              <w:t>ractional exhaled nitric oxide (FeNO)</w:t>
            </w:r>
            <w:r>
              <w:t xml:space="preserve"> monitoring</w:t>
            </w:r>
            <w:r w:rsidR="006D01A8" w:rsidRPr="006D01A8">
              <w:t xml:space="preserve"> has not </w:t>
            </w:r>
            <w:proofErr w:type="gramStart"/>
            <w:r w:rsidR="006D01A8" w:rsidRPr="006D01A8">
              <w:t>been included</w:t>
            </w:r>
            <w:proofErr w:type="gramEnd"/>
            <w:r w:rsidR="006D01A8" w:rsidRPr="006D01A8">
              <w:t xml:space="preserve"> as a means of assessing asthma control within an asthma review</w:t>
            </w:r>
            <w:r>
              <w:t xml:space="preserve"> as </w:t>
            </w:r>
            <w:r w:rsidR="00A8137E">
              <w:t xml:space="preserve">the recommendation in the NICE/BTS/SIGN guideline is only to </w:t>
            </w:r>
            <w:r w:rsidR="00A8137E" w:rsidRPr="008B37B1">
              <w:rPr>
                <w:u w:val="single"/>
              </w:rPr>
              <w:t>consider</w:t>
            </w:r>
            <w:r w:rsidR="00A8137E">
              <w:t xml:space="preserve"> </w:t>
            </w:r>
            <w:r w:rsidR="00014890">
              <w:t xml:space="preserve">FeNO </w:t>
            </w:r>
            <w:r w:rsidR="00014890">
              <w:lastRenderedPageBreak/>
              <w:t>monitoring for adults with asthma at their regular review</w:t>
            </w:r>
            <w:r w:rsidR="008B37B1">
              <w:t>.</w:t>
            </w:r>
            <w:r w:rsidR="00014890">
              <w:t xml:space="preserve"> </w:t>
            </w:r>
            <w:r w:rsidR="005A4609">
              <w:t>T</w:t>
            </w:r>
            <w:r w:rsidR="005A4609" w:rsidRPr="005A4609">
              <w:t>he guideline committee not</w:t>
            </w:r>
            <w:r w:rsidR="005A4609">
              <w:t>ed</w:t>
            </w:r>
            <w:r w:rsidR="005A4609" w:rsidRPr="005A4609">
              <w:t xml:space="preserve"> only a minority of GP practices have on-site access</w:t>
            </w:r>
            <w:r w:rsidR="005A4609">
              <w:t>.</w:t>
            </w:r>
          </w:p>
          <w:p w14:paraId="19DA0452" w14:textId="041380E1" w:rsidR="006D01A8" w:rsidRDefault="00E57F94" w:rsidP="005C3F3B">
            <w:pPr>
              <w:pStyle w:val="Tabletext"/>
            </w:pPr>
            <w:r>
              <w:t>Healthcare professionals can choose to review patients more frequently than annually if there is a valid clinical need.</w:t>
            </w:r>
          </w:p>
        </w:tc>
      </w:tr>
      <w:tr w:rsidR="007707C9" w:rsidRPr="00215444" w14:paraId="0D57AE9E" w14:textId="282AF9A8" w:rsidTr="005A4609">
        <w:tc>
          <w:tcPr>
            <w:tcW w:w="562" w:type="dxa"/>
            <w:noWrap/>
          </w:tcPr>
          <w:p w14:paraId="2F0BFFD8" w14:textId="359CBE93" w:rsidR="007707C9" w:rsidRDefault="007707C9" w:rsidP="00E079FB">
            <w:pPr>
              <w:pStyle w:val="Tabletext"/>
            </w:pPr>
            <w:r>
              <w:lastRenderedPageBreak/>
              <w:t>6</w:t>
            </w:r>
          </w:p>
        </w:tc>
        <w:tc>
          <w:tcPr>
            <w:tcW w:w="1701" w:type="dxa"/>
          </w:tcPr>
          <w:p w14:paraId="7A62D071" w14:textId="13E8D415" w:rsidR="007707C9" w:rsidRPr="00215444" w:rsidRDefault="007707C9" w:rsidP="00E079FB">
            <w:pPr>
              <w:pStyle w:val="Tabletext"/>
            </w:pPr>
            <w:r w:rsidRPr="00334C54">
              <w:t>IND315</w:t>
            </w:r>
          </w:p>
        </w:tc>
        <w:tc>
          <w:tcPr>
            <w:tcW w:w="1560" w:type="dxa"/>
            <w:noWrap/>
          </w:tcPr>
          <w:p w14:paraId="3BE36A20" w14:textId="64ECEFAD" w:rsidR="007707C9" w:rsidRPr="00215444" w:rsidRDefault="007707C9" w:rsidP="00E079FB">
            <w:pPr>
              <w:pStyle w:val="Tabletext"/>
            </w:pPr>
            <w:r w:rsidRPr="00725F30">
              <w:t xml:space="preserve">Asthma + </w:t>
            </w:r>
            <w:r>
              <w:t>Lung UK</w:t>
            </w:r>
          </w:p>
        </w:tc>
        <w:tc>
          <w:tcPr>
            <w:tcW w:w="4110" w:type="dxa"/>
          </w:tcPr>
          <w:p w14:paraId="64A48AFE" w14:textId="206CEF39" w:rsidR="007707C9" w:rsidRDefault="007707C9" w:rsidP="00E079FB">
            <w:pPr>
              <w:pStyle w:val="Tabletext"/>
            </w:pPr>
            <w:r>
              <w:t xml:space="preserve">Asthma + Lung UK welcomes the opportunity to submit to this consultation to aid the implementation of the NICE/SIGN/BTS asthma </w:t>
            </w:r>
            <w:r>
              <w:lastRenderedPageBreak/>
              <w:t>guideline and improve asthma care for the 7.2 million people in the UK with asthma.</w:t>
            </w:r>
          </w:p>
          <w:p w14:paraId="17750F56" w14:textId="77777777" w:rsidR="007707C9" w:rsidRDefault="007707C9" w:rsidP="00E079FB">
            <w:pPr>
              <w:pStyle w:val="Tabletext"/>
            </w:pPr>
            <w:r>
              <w:t xml:space="preserve"> </w:t>
            </w:r>
          </w:p>
          <w:p w14:paraId="00DA20A6" w14:textId="77777777" w:rsidR="007707C9" w:rsidRDefault="007707C9" w:rsidP="00E079FB">
            <w:pPr>
              <w:pStyle w:val="Tabletext"/>
            </w:pPr>
            <w:r>
              <w:t xml:space="preserve">The draft indicator's inclusion of SABA overuse as a risk factor is appropriate, but the threshold of six or more SABAs annually is too high. In line with the SABINA study and the NICE/SIGN/BTS asthma guideline, </w:t>
            </w:r>
            <w:proofErr w:type="gramStart"/>
            <w:r>
              <w:t>we'd</w:t>
            </w:r>
            <w:proofErr w:type="gramEnd"/>
            <w:r>
              <w:t xml:space="preserve"> advocate for the threshold to </w:t>
            </w:r>
            <w:proofErr w:type="gramStart"/>
            <w:r>
              <w:t>be amended</w:t>
            </w:r>
            <w:proofErr w:type="gramEnd"/>
            <w:r>
              <w:t xml:space="preserve"> to two or more SABAs per year. We note that NICE concludes that this would identify too many people with asthma as being </w:t>
            </w:r>
            <w:proofErr w:type="gramStart"/>
            <w:r>
              <w:t>high risk</w:t>
            </w:r>
            <w:proofErr w:type="gramEnd"/>
            <w:r>
              <w:t xml:space="preserve"> patients; this is not a suitable reason to amend the SABA overuse threshold, and everyone who is at risk of overusing SABA deserves appropriate care and support.</w:t>
            </w:r>
          </w:p>
          <w:p w14:paraId="22A598E4" w14:textId="6783E661" w:rsidR="007707C9" w:rsidRDefault="007707C9" w:rsidP="00E079FB">
            <w:pPr>
              <w:pStyle w:val="Tabletext"/>
            </w:pPr>
            <w:r>
              <w:t xml:space="preserve">The draft indicator's inclusion of oral corticosteroid (OCS) </w:t>
            </w:r>
            <w:proofErr w:type="gramStart"/>
            <w:r>
              <w:t>use</w:t>
            </w:r>
            <w:proofErr w:type="gramEnd"/>
            <w:r>
              <w:t xml:space="preserve"> as a risk factor is appropriate. </w:t>
            </w:r>
          </w:p>
          <w:p w14:paraId="45E715B4" w14:textId="77777777" w:rsidR="007707C9" w:rsidRDefault="007707C9" w:rsidP="00E079FB">
            <w:pPr>
              <w:pStyle w:val="Tabletext"/>
            </w:pPr>
            <w:r>
              <w:t xml:space="preserve"> </w:t>
            </w:r>
          </w:p>
          <w:p w14:paraId="1E6B16D5" w14:textId="0E222844" w:rsidR="007707C9" w:rsidRPr="00215444" w:rsidRDefault="007707C9" w:rsidP="00E079FB">
            <w:pPr>
              <w:pStyle w:val="Tabletext"/>
            </w:pPr>
            <w:r>
              <w:t xml:space="preserve">The draft indicator's inclusion of emergency admission and hospital admission as risk factors is appropriate. While the thresholds reflect those included in the NICE/SIGN/BTS asthma </w:t>
            </w:r>
            <w:r>
              <w:lastRenderedPageBreak/>
              <w:t xml:space="preserve">guideline, Asthma + Lung UK wishes to highlight than any unplanned admission is a sign of </w:t>
            </w:r>
            <w:proofErr w:type="gramStart"/>
            <w:r>
              <w:t>high risk</w:t>
            </w:r>
            <w:proofErr w:type="gramEnd"/>
            <w:r>
              <w:t xml:space="preserve">. The National Review of Asthma Deaths highlights that prior admission was a common factor in 47% of the fatal cases analysed. A single unplanned admission quantifies </w:t>
            </w:r>
            <w:proofErr w:type="gramStart"/>
            <w:r>
              <w:t>high risk</w:t>
            </w:r>
            <w:proofErr w:type="gramEnd"/>
            <w:r>
              <w:t xml:space="preserve"> in a person with asthma and highlights that their treatment must be reviewed (and </w:t>
            </w:r>
            <w:proofErr w:type="gramStart"/>
            <w:r>
              <w:t>likely amended</w:t>
            </w:r>
            <w:proofErr w:type="gramEnd"/>
            <w:r>
              <w:t>) urgently.</w:t>
            </w:r>
          </w:p>
        </w:tc>
        <w:tc>
          <w:tcPr>
            <w:tcW w:w="6096" w:type="dxa"/>
          </w:tcPr>
          <w:p w14:paraId="6A7AA356" w14:textId="77777777" w:rsidR="007707C9" w:rsidRDefault="009F1DB9" w:rsidP="00E079FB">
            <w:pPr>
              <w:pStyle w:val="Tabletext"/>
            </w:pPr>
            <w:r w:rsidRPr="009F1DB9">
              <w:lastRenderedPageBreak/>
              <w:t>Thank you for your comment.</w:t>
            </w:r>
          </w:p>
          <w:p w14:paraId="0CC9793C" w14:textId="27D238DF" w:rsidR="00233A76" w:rsidRDefault="003C37C8" w:rsidP="00E079FB">
            <w:pPr>
              <w:pStyle w:val="Tabletext"/>
            </w:pPr>
            <w:r w:rsidRPr="006D2257">
              <w:t>We recognise that</w:t>
            </w:r>
            <w:r w:rsidR="00E3213D" w:rsidRPr="006D2257">
              <w:t xml:space="preserve"> the BTS/NICE/SIGN </w:t>
            </w:r>
            <w:r w:rsidR="00B07E17" w:rsidRPr="006D2257">
              <w:t xml:space="preserve">asthma </w:t>
            </w:r>
            <w:r w:rsidR="00E3213D" w:rsidRPr="006D2257">
              <w:t xml:space="preserve">guideline </w:t>
            </w:r>
            <w:r w:rsidR="00A42ED4" w:rsidRPr="006D2257">
              <w:t>defines</w:t>
            </w:r>
            <w:r w:rsidR="007F199A" w:rsidRPr="006D2257">
              <w:t xml:space="preserve"> </w:t>
            </w:r>
            <w:r w:rsidR="00C37037" w:rsidRPr="006D2257">
              <w:t xml:space="preserve">over-use of SABA inhalers </w:t>
            </w:r>
            <w:r w:rsidR="00A42ED4" w:rsidRPr="006D2257">
              <w:t>as</w:t>
            </w:r>
            <w:r w:rsidR="00C37037" w:rsidRPr="006D2257">
              <w:t xml:space="preserve"> more than </w:t>
            </w:r>
            <w:proofErr w:type="gramStart"/>
            <w:r w:rsidR="00C37037" w:rsidRPr="006D2257">
              <w:t>2</w:t>
            </w:r>
            <w:proofErr w:type="gramEnd"/>
            <w:r w:rsidR="00C37037" w:rsidRPr="006D2257">
              <w:t xml:space="preserve"> inhalers per year. However</w:t>
            </w:r>
            <w:r w:rsidR="00404938" w:rsidRPr="006D2257">
              <w:t xml:space="preserve">, </w:t>
            </w:r>
            <w:r w:rsidR="00A36445" w:rsidRPr="006D2257">
              <w:t xml:space="preserve">the committee agreed that using 6 or </w:t>
            </w:r>
            <w:r w:rsidR="00A36445" w:rsidRPr="006D2257">
              <w:lastRenderedPageBreak/>
              <w:t xml:space="preserve">more SABAs was a pragmatic approach to identify a higher risk population given that </w:t>
            </w:r>
            <w:r w:rsidR="00722E29" w:rsidRPr="006D2257">
              <w:t xml:space="preserve">testing </w:t>
            </w:r>
            <w:r w:rsidR="0054382B" w:rsidRPr="006D2257">
              <w:t xml:space="preserve">in </w:t>
            </w:r>
            <w:r w:rsidR="00E04579" w:rsidRPr="006D2257">
              <w:t>Clinical Practice Research Datalink (</w:t>
            </w:r>
            <w:r w:rsidR="0054382B" w:rsidRPr="006D2257">
              <w:t>CPRD</w:t>
            </w:r>
            <w:r w:rsidR="00E04579" w:rsidRPr="006D2257">
              <w:t>)</w:t>
            </w:r>
            <w:r w:rsidR="0054382B" w:rsidRPr="006D2257">
              <w:t xml:space="preserve"> Aurum </w:t>
            </w:r>
            <w:r w:rsidR="00E04579" w:rsidRPr="006D2257">
              <w:t xml:space="preserve">found that </w:t>
            </w:r>
            <w:r w:rsidR="001F26D7" w:rsidRPr="006D2257">
              <w:t xml:space="preserve">45% of people </w:t>
            </w:r>
            <w:r w:rsidR="00B07E17" w:rsidRPr="006D2257">
              <w:t xml:space="preserve">aged 6 or over </w:t>
            </w:r>
            <w:r w:rsidR="001F26D7" w:rsidRPr="006D2257">
              <w:t xml:space="preserve">with asthma </w:t>
            </w:r>
            <w:r w:rsidR="00B07E17" w:rsidRPr="006D2257">
              <w:t xml:space="preserve">on the register </w:t>
            </w:r>
            <w:r w:rsidR="001F26D7" w:rsidRPr="006D2257">
              <w:t xml:space="preserve">were prescribed more than 2 SABAs per year. </w:t>
            </w:r>
            <w:r w:rsidR="00404938" w:rsidRPr="006D2257">
              <w:t xml:space="preserve">When other risk factors </w:t>
            </w:r>
            <w:proofErr w:type="gramStart"/>
            <w:r w:rsidR="00404938" w:rsidRPr="006D2257">
              <w:t>are added</w:t>
            </w:r>
            <w:proofErr w:type="gramEnd"/>
            <w:r w:rsidR="00404938" w:rsidRPr="006D2257">
              <w:t xml:space="preserve"> to this, it</w:t>
            </w:r>
            <w:r w:rsidR="001F26D7" w:rsidRPr="006D2257">
              <w:t xml:space="preserve"> </w:t>
            </w:r>
            <w:proofErr w:type="gramStart"/>
            <w:r w:rsidR="000C41B1" w:rsidRPr="006D2257">
              <w:t xml:space="preserve">was </w:t>
            </w:r>
            <w:r w:rsidR="00A36445" w:rsidRPr="006D2257">
              <w:t>thought</w:t>
            </w:r>
            <w:proofErr w:type="gramEnd"/>
            <w:r w:rsidR="000C41B1" w:rsidRPr="006D2257">
              <w:t xml:space="preserve"> to </w:t>
            </w:r>
            <w:r w:rsidR="00404938" w:rsidRPr="006D2257">
              <w:t>identify</w:t>
            </w:r>
            <w:r w:rsidR="000C41B1" w:rsidRPr="006D2257">
              <w:t xml:space="preserve"> </w:t>
            </w:r>
            <w:r w:rsidR="00BA7F78" w:rsidRPr="006D2257">
              <w:t>too high a</w:t>
            </w:r>
            <w:r w:rsidR="000C41B1" w:rsidRPr="006D2257">
              <w:t xml:space="preserve"> proportion of asthma patients to be </w:t>
            </w:r>
            <w:proofErr w:type="gramStart"/>
            <w:r w:rsidR="00A36445" w:rsidRPr="006D2257">
              <w:t>substantially different</w:t>
            </w:r>
            <w:proofErr w:type="gramEnd"/>
            <w:r w:rsidR="00A36445" w:rsidRPr="006D2257">
              <w:t xml:space="preserve"> to existing indicator IND273</w:t>
            </w:r>
            <w:r w:rsidR="000B776F" w:rsidRPr="006D2257">
              <w:t>.</w:t>
            </w:r>
            <w:r w:rsidR="00D214BE" w:rsidRPr="006D2257">
              <w:t xml:space="preserve"> </w:t>
            </w:r>
            <w:r w:rsidR="00A36445" w:rsidRPr="006D2257">
              <w:t>The committee</w:t>
            </w:r>
            <w:r w:rsidR="00D461FC" w:rsidRPr="006D2257">
              <w:t xml:space="preserve"> agree that everyone who is at risk of overusing SABA deserves appropriate care and support</w:t>
            </w:r>
            <w:r w:rsidR="0091435D" w:rsidRPr="006D2257">
              <w:t xml:space="preserve">. </w:t>
            </w:r>
            <w:r w:rsidR="00114FA6" w:rsidRPr="006D2257">
              <w:t>The BTS/NICE/SIGN guideline</w:t>
            </w:r>
            <w:r w:rsidR="00353D8C" w:rsidRPr="006D2257">
              <w:t xml:space="preserve"> </w:t>
            </w:r>
            <w:r w:rsidR="00D173F8" w:rsidRPr="006D2257">
              <w:t xml:space="preserve">recommends that patients </w:t>
            </w:r>
            <w:r w:rsidR="00B07E17" w:rsidRPr="006D2257">
              <w:t xml:space="preserve">aged </w:t>
            </w:r>
            <w:proofErr w:type="gramStart"/>
            <w:r w:rsidR="00B07E17" w:rsidRPr="006D2257">
              <w:t>12</w:t>
            </w:r>
            <w:proofErr w:type="gramEnd"/>
            <w:r w:rsidR="00B07E17" w:rsidRPr="006D2257">
              <w:t xml:space="preserve"> and over </w:t>
            </w:r>
            <w:proofErr w:type="gramStart"/>
            <w:r w:rsidR="00D173F8" w:rsidRPr="006D2257">
              <w:t xml:space="preserve">are </w:t>
            </w:r>
            <w:r w:rsidR="00CF2416" w:rsidRPr="006D2257">
              <w:t>offered</w:t>
            </w:r>
            <w:proofErr w:type="gramEnd"/>
            <w:r w:rsidR="00CF2416" w:rsidRPr="006D2257">
              <w:t xml:space="preserve"> SABA-free</w:t>
            </w:r>
            <w:r w:rsidR="00DC5CA7" w:rsidRPr="006D2257">
              <w:t xml:space="preserve"> </w:t>
            </w:r>
            <w:r w:rsidR="005C79FA" w:rsidRPr="006D2257">
              <w:t xml:space="preserve">combination </w:t>
            </w:r>
            <w:r w:rsidR="00DC5CA7" w:rsidRPr="006D2257">
              <w:t xml:space="preserve">regimens such as </w:t>
            </w:r>
            <w:r w:rsidR="00ED663F" w:rsidRPr="006D2257">
              <w:t>anti-inflammatory reliever (</w:t>
            </w:r>
            <w:r w:rsidR="00DC5CA7" w:rsidRPr="006D2257">
              <w:t>AIR</w:t>
            </w:r>
            <w:r w:rsidR="00ED663F" w:rsidRPr="006D2257">
              <w:t>)</w:t>
            </w:r>
            <w:r w:rsidR="00693BE1" w:rsidRPr="006D2257">
              <w:t xml:space="preserve"> therapy</w:t>
            </w:r>
            <w:r w:rsidR="00ED663F" w:rsidRPr="006D2257">
              <w:t xml:space="preserve"> or </w:t>
            </w:r>
            <w:proofErr w:type="gramStart"/>
            <w:r w:rsidR="00ED663F" w:rsidRPr="006D2257">
              <w:t>MART</w:t>
            </w:r>
            <w:r w:rsidR="00D173F8" w:rsidRPr="006D2257">
              <w:t>, or</w:t>
            </w:r>
            <w:proofErr w:type="gramEnd"/>
            <w:r w:rsidR="00D173F8" w:rsidRPr="006D2257">
              <w:t xml:space="preserve"> </w:t>
            </w:r>
            <w:r w:rsidR="00C44AC2" w:rsidRPr="006D2257">
              <w:t xml:space="preserve">switched </w:t>
            </w:r>
            <w:r w:rsidR="003E40F9" w:rsidRPr="006D2257">
              <w:t xml:space="preserve">away </w:t>
            </w:r>
            <w:r w:rsidR="00C44AC2" w:rsidRPr="006D2257">
              <w:t>from</w:t>
            </w:r>
            <w:r w:rsidR="00E50373" w:rsidRPr="006D2257">
              <w:t xml:space="preserve"> SABA-containing regimens</w:t>
            </w:r>
            <w:r w:rsidR="00A42ED4" w:rsidRPr="006D2257">
              <w:t xml:space="preserve"> in treatment pathways from previous guidelines</w:t>
            </w:r>
            <w:r w:rsidR="00D0365D" w:rsidRPr="006D2257">
              <w:t>. The guideline also states do not prescribe SABAs to people of any age with asthma without a concomitant prescription of an ICS. H</w:t>
            </w:r>
            <w:r w:rsidR="00114FA6" w:rsidRPr="006D2257">
              <w:t xml:space="preserve">ealthcare professionals </w:t>
            </w:r>
            <w:proofErr w:type="gramStart"/>
            <w:r w:rsidR="00114FA6" w:rsidRPr="006D2257">
              <w:t>are</w:t>
            </w:r>
            <w:r w:rsidR="00E50373" w:rsidRPr="006D2257">
              <w:t xml:space="preserve"> encouraged</w:t>
            </w:r>
            <w:proofErr w:type="gramEnd"/>
            <w:r w:rsidR="00E50373" w:rsidRPr="006D2257">
              <w:t xml:space="preserve"> to follow</w:t>
            </w:r>
            <w:r w:rsidR="00921473" w:rsidRPr="006D2257">
              <w:t xml:space="preserve"> these recommendations.</w:t>
            </w:r>
            <w:r w:rsidR="00F32DD5" w:rsidRPr="006D2257">
              <w:t xml:space="preserve"> </w:t>
            </w:r>
            <w:r w:rsidR="00CE1464" w:rsidRPr="006D2257">
              <w:t>Th</w:t>
            </w:r>
            <w:r w:rsidR="00A36445" w:rsidRPr="006D2257">
              <w:t>e</w:t>
            </w:r>
            <w:r w:rsidR="00CE1464" w:rsidRPr="006D2257">
              <w:t xml:space="preserve"> </w:t>
            </w:r>
            <w:r w:rsidR="00A36445" w:rsidRPr="006D2257">
              <w:t xml:space="preserve">new </w:t>
            </w:r>
            <w:r w:rsidR="00CE1464" w:rsidRPr="006D2257">
              <w:t>indicator</w:t>
            </w:r>
            <w:r w:rsidR="00A36445" w:rsidRPr="006D2257">
              <w:t>s</w:t>
            </w:r>
            <w:r w:rsidR="00CE1464" w:rsidRPr="006D2257">
              <w:t xml:space="preserve"> </w:t>
            </w:r>
            <w:r w:rsidR="00A36445" w:rsidRPr="006D2257">
              <w:t>are</w:t>
            </w:r>
            <w:r w:rsidR="00CE1464" w:rsidRPr="006D2257">
              <w:t xml:space="preserve"> complementary to </w:t>
            </w:r>
            <w:r w:rsidR="00F32DD5" w:rsidRPr="006D2257">
              <w:t>NICE indicator IND273</w:t>
            </w:r>
            <w:r w:rsidR="003E15E4" w:rsidRPr="006D2257">
              <w:t xml:space="preserve"> </w:t>
            </w:r>
            <w:r w:rsidR="00AA71E8" w:rsidRPr="006D2257">
              <w:t xml:space="preserve">on annual review </w:t>
            </w:r>
            <w:r w:rsidR="00CE1464" w:rsidRPr="006D2257">
              <w:t xml:space="preserve">for </w:t>
            </w:r>
            <w:r w:rsidR="00AA71E8" w:rsidRPr="006D2257">
              <w:t>all patients</w:t>
            </w:r>
            <w:r w:rsidR="000C7119" w:rsidRPr="006D2257">
              <w:t xml:space="preserve">, which includes </w:t>
            </w:r>
            <w:r w:rsidR="00A5741D" w:rsidRPr="006D2257">
              <w:t>checking medicines adherence and assessing asthma control,</w:t>
            </w:r>
            <w:r w:rsidR="00AA71E8" w:rsidRPr="006D2257">
              <w:t xml:space="preserve"> </w:t>
            </w:r>
            <w:r w:rsidR="006D2257" w:rsidRPr="006D2257">
              <w:t xml:space="preserve">and which </w:t>
            </w:r>
            <w:r w:rsidR="00AA71E8" w:rsidRPr="006D2257">
              <w:t xml:space="preserve">will continue </w:t>
            </w:r>
            <w:r w:rsidR="000C7119" w:rsidRPr="006D2257">
              <w:t>alongside the new indicators.</w:t>
            </w:r>
          </w:p>
          <w:p w14:paraId="13B857AF" w14:textId="46509E4C" w:rsidR="009B030F" w:rsidRDefault="00C346C9" w:rsidP="00E079FB">
            <w:pPr>
              <w:pStyle w:val="Tabletext"/>
            </w:pPr>
            <w:r>
              <w:t xml:space="preserve">An unplanned </w:t>
            </w:r>
            <w:r w:rsidR="00851C3D">
              <w:t xml:space="preserve">hospital </w:t>
            </w:r>
            <w:r w:rsidR="00505E77" w:rsidRPr="00505E77">
              <w:t xml:space="preserve">admission </w:t>
            </w:r>
            <w:r>
              <w:t xml:space="preserve">for asthma has </w:t>
            </w:r>
            <w:proofErr w:type="gramStart"/>
            <w:r>
              <w:t>been retained</w:t>
            </w:r>
            <w:proofErr w:type="gramEnd"/>
            <w:r>
              <w:t xml:space="preserve"> as a risk factor in the final indicator. </w:t>
            </w:r>
          </w:p>
        </w:tc>
      </w:tr>
      <w:tr w:rsidR="007707C9" w:rsidRPr="00215444" w14:paraId="190269F2" w14:textId="2D5F8D05" w:rsidTr="005A4609">
        <w:tc>
          <w:tcPr>
            <w:tcW w:w="562" w:type="dxa"/>
            <w:noWrap/>
          </w:tcPr>
          <w:p w14:paraId="7F363262" w14:textId="5947D51C" w:rsidR="007707C9" w:rsidRDefault="007707C9" w:rsidP="00E079FB">
            <w:pPr>
              <w:pStyle w:val="Tabletext"/>
            </w:pPr>
            <w:r>
              <w:lastRenderedPageBreak/>
              <w:t>7</w:t>
            </w:r>
          </w:p>
        </w:tc>
        <w:tc>
          <w:tcPr>
            <w:tcW w:w="1701" w:type="dxa"/>
          </w:tcPr>
          <w:p w14:paraId="5D37D528" w14:textId="7D2748CC" w:rsidR="007707C9" w:rsidRPr="00215444" w:rsidRDefault="007707C9" w:rsidP="00E079FB">
            <w:pPr>
              <w:pStyle w:val="Tabletext"/>
            </w:pPr>
            <w:r w:rsidRPr="00334C54">
              <w:t>IND315</w:t>
            </w:r>
          </w:p>
        </w:tc>
        <w:tc>
          <w:tcPr>
            <w:tcW w:w="1560" w:type="dxa"/>
            <w:noWrap/>
          </w:tcPr>
          <w:p w14:paraId="41F94D9A" w14:textId="3B0341D6" w:rsidR="007707C9" w:rsidRPr="00215444" w:rsidRDefault="007707C9" w:rsidP="00E079FB">
            <w:pPr>
              <w:pStyle w:val="Tabletext"/>
            </w:pPr>
            <w:r w:rsidRPr="00161F3C">
              <w:t>AstraZeneca UK Ltd.</w:t>
            </w:r>
          </w:p>
        </w:tc>
        <w:tc>
          <w:tcPr>
            <w:tcW w:w="4110" w:type="dxa"/>
          </w:tcPr>
          <w:p w14:paraId="5A150325" w14:textId="777F74D8" w:rsidR="007707C9" w:rsidRDefault="007707C9" w:rsidP="00E079FB">
            <w:pPr>
              <w:pStyle w:val="Tabletext"/>
            </w:pPr>
            <w:r>
              <w:t xml:space="preserve">AstraZeneca welcomes this proposed high-risk annual review asthma indicator which if implemented via QOF and regional/local incentives, will help to implement the BTS/NICE/SIGN asthma guideline (NG245) and embed a more </w:t>
            </w:r>
            <w:proofErr w:type="gramStart"/>
            <w:r>
              <w:t>proactive</w:t>
            </w:r>
            <w:proofErr w:type="gramEnd"/>
            <w:r>
              <w:t>, risk and outcome-based approach to asthma care and treatment.</w:t>
            </w:r>
          </w:p>
          <w:p w14:paraId="732692FB" w14:textId="77777777" w:rsidR="007707C9" w:rsidRDefault="007707C9" w:rsidP="00E079FB">
            <w:pPr>
              <w:pStyle w:val="Tabletext"/>
            </w:pPr>
          </w:p>
          <w:p w14:paraId="29E1A0A5" w14:textId="77777777" w:rsidR="007707C9" w:rsidRDefault="007707C9" w:rsidP="00E079FB">
            <w:pPr>
              <w:pStyle w:val="Tabletext"/>
            </w:pPr>
            <w:r>
              <w:t xml:space="preserve">In England, 81% of asthma patients receive an annual review [1]. Despite this, seven out of ten (69%) people are not receiving basic asthma care [2], access to that care is highly variable across England’s ICSs [3] and 40% of patients who have been admitted to </w:t>
            </w:r>
            <w:r>
              <w:lastRenderedPageBreak/>
              <w:t>hospital due to an asthma attack, do not have a follow up appointment within a 28-day period [4] As such, this proposed indicator, alongside aligned NICE quality standards, is an opportunity to reinforce the key elements of a high-quality review.</w:t>
            </w:r>
          </w:p>
          <w:p w14:paraId="4FDC9E5A" w14:textId="77777777" w:rsidR="007707C9" w:rsidRDefault="007707C9" w:rsidP="00E079FB">
            <w:pPr>
              <w:pStyle w:val="Tabletext"/>
            </w:pPr>
          </w:p>
          <w:p w14:paraId="5DB3B650" w14:textId="77777777" w:rsidR="007707C9" w:rsidRDefault="007707C9" w:rsidP="00E079FB">
            <w:pPr>
              <w:pStyle w:val="Tabletext"/>
            </w:pPr>
            <w:r>
              <w:t xml:space="preserve">Currently, the proposed indicator defines an annual review as including an assessment of asthma control, a recording of the number of exacerbations, an assessment of inhaler technique and a written personalised action plan. The accompanying specification would benefit from a clearer description of what “an assessment of asthma control” entails. A comprehensive annual review must include an assessment of existing treatment (per NG245 – monitoring control) to assess reliever inhaler and OCS use and ensure patients </w:t>
            </w:r>
            <w:proofErr w:type="gramStart"/>
            <w:r>
              <w:t>are optimised</w:t>
            </w:r>
            <w:proofErr w:type="gramEnd"/>
            <w:r>
              <w:t xml:space="preserve"> on the right treatment. Anecdotes of patients receiving a text message asking them on a scale of 1-5 whether their asthma is controlled, may not be sufficient for uncontrolled patients and for patients </w:t>
            </w:r>
            <w:r>
              <w:lastRenderedPageBreak/>
              <w:t>who are being switched to a new inhaled treatment (e.g. MDI SABA monotherapy to DPI AIR), education on inhaler technique is essential to ensure patients are confident using their new inhaler and that they are effectively adhering to their new treatment. Real world evidence from the asthma quality improvement programme, SENTINEL, demonstrates that regular medical reviews, asthma education, discouraging SABA overuse and implementation of personal asthma action plans, can support patients in recognizing when their asthma control is deteriorating and can further assist in curbing SABA overuse [5,6].</w:t>
            </w:r>
          </w:p>
          <w:p w14:paraId="5266102D" w14:textId="77777777" w:rsidR="007707C9" w:rsidRDefault="007707C9" w:rsidP="00E079FB">
            <w:pPr>
              <w:pStyle w:val="Tabletext"/>
            </w:pPr>
          </w:p>
          <w:p w14:paraId="30876484" w14:textId="77777777" w:rsidR="007707C9" w:rsidRDefault="007707C9" w:rsidP="00E079FB">
            <w:pPr>
              <w:pStyle w:val="Tabletext"/>
            </w:pPr>
            <w:r>
              <w:t xml:space="preserve">Patient stories highlight the importance of a comprehensive annual review and the importance of patient education and </w:t>
            </w:r>
            <w:proofErr w:type="gramStart"/>
            <w:r>
              <w:t>proactive</w:t>
            </w:r>
            <w:proofErr w:type="gramEnd"/>
            <w:r>
              <w:t xml:space="preserve"> HCP care. Asthma and Lung UK reported in 2022, that Paul Wilson, 47, from Beith near Glasgow, has asthma and says that during periods of poor asthma management he was “overmedicating” on his reliever inhaler, using up around one a month [7]. Paul ended up in hospital </w:t>
            </w:r>
            <w:proofErr w:type="gramStart"/>
            <w:r>
              <w:t>48</w:t>
            </w:r>
            <w:proofErr w:type="gramEnd"/>
            <w:r>
              <w:t xml:space="preserve"> times because </w:t>
            </w:r>
            <w:r>
              <w:lastRenderedPageBreak/>
              <w:t xml:space="preserve">of his asthma and had to </w:t>
            </w:r>
            <w:proofErr w:type="gramStart"/>
            <w:r>
              <w:t>be resuscitated</w:t>
            </w:r>
            <w:proofErr w:type="gramEnd"/>
            <w:r>
              <w:t xml:space="preserve"> on </w:t>
            </w:r>
            <w:proofErr w:type="gramStart"/>
            <w:r>
              <w:t>25</w:t>
            </w:r>
            <w:proofErr w:type="gramEnd"/>
            <w:r>
              <w:t xml:space="preserve"> occasions</w:t>
            </w:r>
            <w:proofErr w:type="gramStart"/>
            <w:r>
              <w:t xml:space="preserve">.  </w:t>
            </w:r>
            <w:proofErr w:type="gramEnd"/>
          </w:p>
          <w:p w14:paraId="5527F172" w14:textId="77777777" w:rsidR="007707C9" w:rsidRDefault="007707C9" w:rsidP="00E079FB">
            <w:pPr>
              <w:pStyle w:val="Tabletext"/>
            </w:pPr>
          </w:p>
          <w:p w14:paraId="786685EA" w14:textId="77777777" w:rsidR="007707C9" w:rsidRDefault="007707C9" w:rsidP="00E079FB">
            <w:pPr>
              <w:pStyle w:val="Tabletext"/>
            </w:pPr>
            <w:r>
              <w:t xml:space="preserve">We welcome the inclusion of SABA overuse as a risk factor for poor outcomes, in line with NG245, the MHRA’s drug safety update for SABA, and a wealth of clinical evidence including from the global study SABINA [8]. </w:t>
            </w:r>
          </w:p>
          <w:p w14:paraId="102C6A9B" w14:textId="77777777" w:rsidR="007707C9" w:rsidRDefault="007707C9" w:rsidP="00E079FB">
            <w:pPr>
              <w:pStyle w:val="Tabletext"/>
            </w:pPr>
          </w:p>
          <w:p w14:paraId="130274E2" w14:textId="77777777" w:rsidR="007707C9" w:rsidRDefault="007707C9" w:rsidP="00E079FB">
            <w:pPr>
              <w:pStyle w:val="Tabletext"/>
            </w:pPr>
            <w:r>
              <w:t xml:space="preserve">As acknowledged in NG245, the systemic overuse of SABA remains a challenge in the UK, putting patients at a higher risk of exacerbations and mortality. </w:t>
            </w:r>
          </w:p>
          <w:p w14:paraId="604ABAE5" w14:textId="77777777" w:rsidR="007707C9" w:rsidRDefault="007707C9" w:rsidP="00E079FB">
            <w:pPr>
              <w:pStyle w:val="Tabletext"/>
            </w:pPr>
            <w:r>
              <w:t>•</w:t>
            </w:r>
            <w:r>
              <w:tab/>
            </w:r>
            <w:proofErr w:type="gramStart"/>
            <w:r>
              <w:t>Approximately twice</w:t>
            </w:r>
            <w:proofErr w:type="gramEnd"/>
            <w:r>
              <w:t xml:space="preserve"> as </w:t>
            </w:r>
            <w:proofErr w:type="gramStart"/>
            <w:r>
              <w:t>many</w:t>
            </w:r>
            <w:proofErr w:type="gramEnd"/>
            <w:r>
              <w:t xml:space="preserve"> exacerbations occur in patients who </w:t>
            </w:r>
            <w:proofErr w:type="gramStart"/>
            <w:r>
              <w:t>are prescribed</w:t>
            </w:r>
            <w:proofErr w:type="gramEnd"/>
            <w:r>
              <w:t xml:space="preserve"> ≥3 SABAs/year versus 0–2 SABAs/year. Despite this, 38% of patients in the UK </w:t>
            </w:r>
            <w:proofErr w:type="gramStart"/>
            <w:r>
              <w:t>are still prescribed</w:t>
            </w:r>
            <w:proofErr w:type="gramEnd"/>
            <w:r>
              <w:t xml:space="preserve"> ≥3 SABAs/year [9].</w:t>
            </w:r>
          </w:p>
          <w:p w14:paraId="2DF0D742" w14:textId="77777777" w:rsidR="007707C9" w:rsidRDefault="007707C9" w:rsidP="00E079FB">
            <w:pPr>
              <w:pStyle w:val="Tabletext"/>
            </w:pPr>
            <w:r>
              <w:t>•</w:t>
            </w:r>
            <w:r>
              <w:tab/>
            </w:r>
            <w:proofErr w:type="gramStart"/>
            <w:r>
              <w:t>45%</w:t>
            </w:r>
            <w:proofErr w:type="gramEnd"/>
            <w:r>
              <w:t xml:space="preserve"> of people with asthma </w:t>
            </w:r>
            <w:proofErr w:type="gramStart"/>
            <w:r>
              <w:t>were prescribed</w:t>
            </w:r>
            <w:proofErr w:type="gramEnd"/>
            <w:r>
              <w:t xml:space="preserve"> ≥3 SABAs per year, as demonstrated by the testing in CPRD Aurum for this proposed indicator. </w:t>
            </w:r>
          </w:p>
          <w:p w14:paraId="0B7EC051" w14:textId="77777777" w:rsidR="007707C9" w:rsidRDefault="007707C9" w:rsidP="00E079FB">
            <w:pPr>
              <w:pStyle w:val="Tabletext"/>
            </w:pPr>
            <w:r>
              <w:lastRenderedPageBreak/>
              <w:t>•</w:t>
            </w:r>
            <w:r>
              <w:tab/>
              <w:t xml:space="preserve">IQVIA data shows that as of June 2025, in the UK over the past 12 months, there remain over 500,000 patients with asthma* prescribed SABA monotherapy. In line with NG245, these patients should </w:t>
            </w:r>
            <w:proofErr w:type="gramStart"/>
            <w:r>
              <w:t>be moved</w:t>
            </w:r>
            <w:proofErr w:type="gramEnd"/>
            <w:r>
              <w:t xml:space="preserve"> to AIR [10]. </w:t>
            </w:r>
          </w:p>
          <w:p w14:paraId="18A4A5E4" w14:textId="77777777" w:rsidR="007707C9" w:rsidRDefault="007707C9" w:rsidP="00E079FB">
            <w:pPr>
              <w:pStyle w:val="Tabletext"/>
            </w:pPr>
            <w:r>
              <w:t>•</w:t>
            </w:r>
            <w:r>
              <w:tab/>
              <w:t xml:space="preserve">IQVIA data shows that as of June 2025, in the UK over the past 12 months, there remains over </w:t>
            </w:r>
            <w:proofErr w:type="gramStart"/>
            <w:r>
              <w:t>3</w:t>
            </w:r>
            <w:proofErr w:type="gramEnd"/>
            <w:r>
              <w:t xml:space="preserve"> million patients with asthma* on prescribed a SABA-containing prescription. In line with NG245, these patients should </w:t>
            </w:r>
            <w:proofErr w:type="gramStart"/>
            <w:r>
              <w:t>be moved</w:t>
            </w:r>
            <w:proofErr w:type="gramEnd"/>
            <w:r>
              <w:t xml:space="preserve"> to MART [10]. </w:t>
            </w:r>
          </w:p>
          <w:p w14:paraId="7F7CD3B9" w14:textId="77777777" w:rsidR="007707C9" w:rsidRDefault="007707C9" w:rsidP="00E079FB">
            <w:pPr>
              <w:pStyle w:val="Tabletext"/>
            </w:pPr>
            <w:r>
              <w:t>•</w:t>
            </w:r>
            <w:r>
              <w:tab/>
              <w:t xml:space="preserve">IQVIA data shows that as of June 2025, in the UK over the past 12 months, 570,000 patients with asthma* </w:t>
            </w:r>
            <w:proofErr w:type="gramStart"/>
            <w:r>
              <w:t>are prescribed</w:t>
            </w:r>
            <w:proofErr w:type="gramEnd"/>
            <w:r>
              <w:t xml:space="preserve"> 3-5 SABAs and 414,000 patients with asthma* </w:t>
            </w:r>
            <w:proofErr w:type="gramStart"/>
            <w:r>
              <w:t>are prescribed</w:t>
            </w:r>
            <w:proofErr w:type="gramEnd"/>
            <w:r>
              <w:t xml:space="preserve"> ≥6 SABAs [10]. Those using ≥3 SABAs per year have twice as </w:t>
            </w:r>
            <w:proofErr w:type="gramStart"/>
            <w:r>
              <w:t>many</w:t>
            </w:r>
            <w:proofErr w:type="gramEnd"/>
            <w:r>
              <w:t xml:space="preserve"> exacerbations, compared to low SABA users [8].</w:t>
            </w:r>
          </w:p>
          <w:p w14:paraId="72D34D60" w14:textId="77777777" w:rsidR="007707C9" w:rsidRDefault="007707C9" w:rsidP="00E079FB">
            <w:pPr>
              <w:pStyle w:val="Tabletext"/>
            </w:pPr>
          </w:p>
          <w:p w14:paraId="2F4C4EBE" w14:textId="77777777" w:rsidR="007707C9" w:rsidRDefault="007707C9" w:rsidP="00E079FB">
            <w:pPr>
              <w:pStyle w:val="Tabletext"/>
            </w:pPr>
            <w:r>
              <w:t>*Patients diagnosed with asthma (excluding patients who also have a COPD diagnosis)</w:t>
            </w:r>
          </w:p>
          <w:p w14:paraId="1D759409" w14:textId="77777777" w:rsidR="007707C9" w:rsidRDefault="007707C9" w:rsidP="00E079FB">
            <w:pPr>
              <w:pStyle w:val="Tabletext"/>
            </w:pPr>
          </w:p>
          <w:p w14:paraId="42BCDBE9" w14:textId="77777777" w:rsidR="007707C9" w:rsidRDefault="007707C9" w:rsidP="00E079FB">
            <w:pPr>
              <w:pStyle w:val="Tabletext"/>
            </w:pPr>
            <w:r>
              <w:lastRenderedPageBreak/>
              <w:t xml:space="preserve">This demonstrates the scale of prescribing practice change yet to </w:t>
            </w:r>
            <w:proofErr w:type="gramStart"/>
            <w:r>
              <w:t>be achieved</w:t>
            </w:r>
            <w:proofErr w:type="gramEnd"/>
            <w:r>
              <w:t xml:space="preserve"> and as such the need for this indicator to be ambitious in its efforts to eradicate SABA over-use. NG245 clearly states that patients are at an increased risk of exacerbations if they use more than 2 SABA inhalers per week and as such AstraZeneca strongly recommend that the cutoff for this proposed indicator should </w:t>
            </w:r>
            <w:proofErr w:type="gramStart"/>
            <w:r>
              <w:t>be drawn</w:t>
            </w:r>
            <w:proofErr w:type="gramEnd"/>
            <w:r>
              <w:t xml:space="preserve"> at more than 2 SABA inhalers.</w:t>
            </w:r>
          </w:p>
          <w:p w14:paraId="624D4DCA" w14:textId="77777777" w:rsidR="007707C9" w:rsidRDefault="007707C9" w:rsidP="00E079FB">
            <w:pPr>
              <w:pStyle w:val="Tabletext"/>
            </w:pPr>
          </w:p>
          <w:p w14:paraId="4AAE178C" w14:textId="77777777" w:rsidR="007707C9" w:rsidRDefault="007707C9" w:rsidP="00E079FB">
            <w:pPr>
              <w:pStyle w:val="Tabletext"/>
            </w:pPr>
            <w:r>
              <w:t xml:space="preserve">NICE states that feedback from NHS England noted that for data extraction purposes, a high prescription count could cause issues for IT system suppliers and hence a cutoff of 6 or more SABAs has </w:t>
            </w:r>
            <w:proofErr w:type="gramStart"/>
            <w:r>
              <w:t>been adopted</w:t>
            </w:r>
            <w:proofErr w:type="gramEnd"/>
            <w:r>
              <w:t xml:space="preserve">. Effective implementation of BTS/NICE/SIGN and the move of hundreds of thousands of patients using multiple SABA inhalers to single combination inhalers, could reduce the number of prescriptions issued. </w:t>
            </w:r>
          </w:p>
          <w:p w14:paraId="13CA358C" w14:textId="77777777" w:rsidR="007707C9" w:rsidRDefault="007707C9" w:rsidP="00E079FB">
            <w:pPr>
              <w:pStyle w:val="Tabletext"/>
            </w:pPr>
          </w:p>
          <w:p w14:paraId="4F74ED9C" w14:textId="77777777" w:rsidR="007707C9" w:rsidRDefault="007707C9" w:rsidP="00E079FB">
            <w:pPr>
              <w:pStyle w:val="Tabletext"/>
            </w:pPr>
            <w:r>
              <w:t xml:space="preserve">For those with severe asthma, we welcome the inclusion of OCS as a risk </w:t>
            </w:r>
            <w:r>
              <w:lastRenderedPageBreak/>
              <w:t xml:space="preserve">factor for poor outcomes. This should state </w:t>
            </w:r>
            <w:proofErr w:type="gramStart"/>
            <w:r>
              <w:t>2</w:t>
            </w:r>
            <w:proofErr w:type="gramEnd"/>
            <w:r>
              <w:t xml:space="preserve"> or more courses of maintenance OCS, as a necessary diagnostic and criteria for the identification and referral of patients with severe asthma to specialist centres for biologic initiation. This approach is in line with the NG245.</w:t>
            </w:r>
          </w:p>
          <w:p w14:paraId="53CC6AE3" w14:textId="77777777" w:rsidR="007707C9" w:rsidRDefault="007707C9" w:rsidP="00E079FB">
            <w:pPr>
              <w:pStyle w:val="Tabletext"/>
            </w:pPr>
          </w:p>
          <w:p w14:paraId="642D71E9" w14:textId="77777777" w:rsidR="007707C9" w:rsidRDefault="007707C9" w:rsidP="00E079FB">
            <w:pPr>
              <w:pStyle w:val="Tabletext"/>
            </w:pPr>
            <w:r>
              <w:t>Regarding implementation of this indicator, this proposed indicator should sit alongside the existing annual review indicator (IND273) to ensure that every person living with asthma receives an asthma review, regardless of severity of disease and risk factors. This proposed indicator, if implemented via QOF, would then ensure that for those with more severe disease, who are uncontrolled and at risk of admissions, that primary care practitioners know how to identify them and conduct high-quality reviews to improve disease control for those patients.</w:t>
            </w:r>
          </w:p>
          <w:p w14:paraId="3E77E39E" w14:textId="77777777" w:rsidR="007707C9" w:rsidRDefault="007707C9" w:rsidP="00E079FB">
            <w:pPr>
              <w:pStyle w:val="Tabletext"/>
            </w:pPr>
          </w:p>
          <w:p w14:paraId="1863F46D" w14:textId="77777777" w:rsidR="007707C9" w:rsidRDefault="007707C9" w:rsidP="00E079FB">
            <w:pPr>
              <w:pStyle w:val="Tabletext"/>
            </w:pPr>
            <w:r>
              <w:t>References:</w:t>
            </w:r>
          </w:p>
          <w:p w14:paraId="4DA4ACC6" w14:textId="77777777" w:rsidR="007707C9" w:rsidRDefault="007707C9" w:rsidP="00E079FB">
            <w:pPr>
              <w:pStyle w:val="Tabletext"/>
            </w:pPr>
            <w:r>
              <w:t>1.</w:t>
            </w:r>
            <w:r>
              <w:tab/>
              <w:t xml:space="preserve">NHS England, “QOF database,” 2024. [Online]. Available: </w:t>
            </w:r>
            <w:r>
              <w:lastRenderedPageBreak/>
              <w:t>https://www.gpcontract.co.uk/timeline/ENG/AST007.</w:t>
            </w:r>
          </w:p>
          <w:p w14:paraId="41850417" w14:textId="77777777" w:rsidR="007707C9" w:rsidRDefault="007707C9" w:rsidP="00E079FB">
            <w:pPr>
              <w:pStyle w:val="Tabletext"/>
            </w:pPr>
            <w:r>
              <w:t>2.</w:t>
            </w:r>
            <w:r>
              <w:tab/>
              <w:t>Asthma and Lung UK, “‘Asthma care is in crisis’ - charity sounds the siren as asthma death toll rises,” Apr. 2024. [Online]. Available: https://www.asthmaandlung.org.uk/media/press-releases/asthma-care-crisis-charity-sounds-siren-asthma-death-toll-rises.</w:t>
            </w:r>
          </w:p>
          <w:p w14:paraId="26FAD03B" w14:textId="77777777" w:rsidR="007707C9" w:rsidRDefault="007707C9" w:rsidP="00E079FB">
            <w:pPr>
              <w:pStyle w:val="Tabletext"/>
            </w:pPr>
            <w:r>
              <w:t>3.</w:t>
            </w:r>
            <w:r>
              <w:tab/>
              <w:t>Asthma and Lung UK, ""Half of Integrated Care Systems in England unable to meet demand for diagnosing lung conditions,"" Feb. 2025. [Online]. Available: https://www.asthmaandlung.org.uk/media/press-releases/half-integrated-care-systems-england-unable-meet-demand-diagnosing-lung</w:t>
            </w:r>
          </w:p>
          <w:p w14:paraId="7F133428" w14:textId="77777777" w:rsidR="007707C9" w:rsidRDefault="007707C9" w:rsidP="00E079FB">
            <w:pPr>
              <w:pStyle w:val="Tabletext"/>
            </w:pPr>
            <w:r>
              <w:t>4.</w:t>
            </w:r>
            <w:r>
              <w:tab/>
              <w:t>D. Punyadasa et al., “</w:t>
            </w:r>
            <w:proofErr w:type="gramStart"/>
            <w:r>
              <w:t>Post-hospitalisation</w:t>
            </w:r>
            <w:proofErr w:type="gramEnd"/>
            <w:r>
              <w:t xml:space="preserve"> asthma management in primary care: a retrospective cohort study,” British Journal of General Practice, vol. 74, no. 743, pp. e355–e363, 2024.</w:t>
            </w:r>
          </w:p>
          <w:p w14:paraId="1EC4E2BC" w14:textId="77777777" w:rsidR="007707C9" w:rsidRDefault="007707C9" w:rsidP="00E079FB">
            <w:pPr>
              <w:pStyle w:val="Tabletext"/>
            </w:pPr>
            <w:r>
              <w:t>5.</w:t>
            </w:r>
            <w:r>
              <w:tab/>
              <w:t xml:space="preserve">M. Crooks et al., “Improving asthma care through implementation of the SENTINEL programme: findings </w:t>
            </w:r>
            <w:r>
              <w:lastRenderedPageBreak/>
              <w:t>from the pilot site,” ERJ Open Research, vol. 9, no. 3, pp. 00685-2022, 2023.</w:t>
            </w:r>
          </w:p>
          <w:p w14:paraId="023B180C" w14:textId="77777777" w:rsidR="007707C9" w:rsidRDefault="007707C9" w:rsidP="00E079FB">
            <w:pPr>
              <w:pStyle w:val="Tabletext"/>
            </w:pPr>
            <w:r>
              <w:t>6.</w:t>
            </w:r>
            <w:r>
              <w:tab/>
              <w:t>M. Crooks et al., “Reducing short-acting beta-agonist use in asthma: Impact of national incentives on prescribing practices in England and the findings from SENTINEL Plus early adopter sites,” NPJ Primary Care Respiratory Medicine, vol. 34, no. 1, p. 19, 2024.</w:t>
            </w:r>
          </w:p>
          <w:p w14:paraId="30163E5B" w14:textId="77777777" w:rsidR="007707C9" w:rsidRDefault="007707C9" w:rsidP="00E079FB">
            <w:pPr>
              <w:pStyle w:val="Tabletext"/>
            </w:pPr>
            <w:r>
              <w:t>7.</w:t>
            </w:r>
            <w:r>
              <w:tab/>
              <w:t>Asthma and Lung UK, “One million people in UK at risk of asthma attack because they could be relying on ‘wrong inhaler’,” Jul. 2022. [Online]. Available: https://www.asthmaandlung.org.uk/media/press-releases/one-million-people-uk-risk-asthma-attack-because-they-could-be-relying-wrong.</w:t>
            </w:r>
          </w:p>
          <w:p w14:paraId="6062F32A" w14:textId="77777777" w:rsidR="007707C9" w:rsidRDefault="007707C9" w:rsidP="00E079FB">
            <w:pPr>
              <w:pStyle w:val="Tabletext"/>
            </w:pPr>
            <w:r>
              <w:t>8.</w:t>
            </w:r>
            <w:r>
              <w:tab/>
              <w:t>C. Janson et al., “SABINA: An Overview of Short-Acting β2-Agonist Use in Asthma in European Countries,” Advances in Therapy, vol. 37, no. 3, pp. 1124–1135, 2020.</w:t>
            </w:r>
          </w:p>
          <w:p w14:paraId="4F177563" w14:textId="77777777" w:rsidR="007707C9" w:rsidRDefault="007707C9" w:rsidP="00E079FB">
            <w:pPr>
              <w:pStyle w:val="Tabletext"/>
            </w:pPr>
            <w:r>
              <w:t>9.</w:t>
            </w:r>
            <w:r>
              <w:tab/>
              <w:t xml:space="preserve">C. Bloom et al., “Asthma-Related Health Outcomes Associated with Short-Acting β2-Agonist Inhaler </w:t>
            </w:r>
            <w:r>
              <w:lastRenderedPageBreak/>
              <w:t>Use: An Observational UK Study as Part of the SABINA Global Program,” Advances in Therapy, vol. 37, no. 10, pp. 4190–4208, 2020.</w:t>
            </w:r>
          </w:p>
          <w:p w14:paraId="1422E045" w14:textId="27BC2260" w:rsidR="007707C9" w:rsidRPr="00215444" w:rsidRDefault="007707C9" w:rsidP="00E079FB">
            <w:pPr>
              <w:pStyle w:val="Tabletext"/>
            </w:pPr>
            <w:r>
              <w:t>10.</w:t>
            </w:r>
            <w:r>
              <w:tab/>
              <w:t>IQVIA Ltd, Longitudinal Patient Data, June 2025. Accessed: Jun. 29, 2025.</w:t>
            </w:r>
          </w:p>
        </w:tc>
        <w:tc>
          <w:tcPr>
            <w:tcW w:w="6096" w:type="dxa"/>
          </w:tcPr>
          <w:p w14:paraId="6C1BFB49" w14:textId="77777777" w:rsidR="007707C9" w:rsidRDefault="009F1DB9" w:rsidP="00E079FB">
            <w:pPr>
              <w:pStyle w:val="Tabletext"/>
            </w:pPr>
            <w:r w:rsidRPr="009F1DB9">
              <w:lastRenderedPageBreak/>
              <w:t>Thank you for your comment.</w:t>
            </w:r>
          </w:p>
          <w:p w14:paraId="5AB5B8E9" w14:textId="77777777" w:rsidR="00ED3041" w:rsidRDefault="003234F0" w:rsidP="00E079FB">
            <w:pPr>
              <w:pStyle w:val="Tabletext"/>
            </w:pPr>
            <w:r w:rsidRPr="003234F0">
              <w:t xml:space="preserve">The rationale section of the </w:t>
            </w:r>
            <w:r>
              <w:t xml:space="preserve">annual review </w:t>
            </w:r>
            <w:r w:rsidRPr="003234F0">
              <w:t xml:space="preserve">indicator has </w:t>
            </w:r>
            <w:proofErr w:type="gramStart"/>
            <w:r w:rsidRPr="003234F0">
              <w:t>been updated</w:t>
            </w:r>
            <w:proofErr w:type="gramEnd"/>
            <w:r w:rsidRPr="003234F0">
              <w:t xml:space="preserve"> to provide a description of the components that should </w:t>
            </w:r>
            <w:proofErr w:type="gramStart"/>
            <w:r w:rsidRPr="003234F0">
              <w:t>be included</w:t>
            </w:r>
            <w:proofErr w:type="gramEnd"/>
            <w:r w:rsidRPr="003234F0">
              <w:t xml:space="preserve"> in </w:t>
            </w:r>
            <w:r w:rsidR="007E2F41">
              <w:t xml:space="preserve">an </w:t>
            </w:r>
            <w:r w:rsidRPr="003234F0">
              <w:t>annual review</w:t>
            </w:r>
            <w:r w:rsidR="00F35E4E">
              <w:t xml:space="preserve"> </w:t>
            </w:r>
            <w:r w:rsidR="00F35E4E" w:rsidRPr="00F35E4E">
              <w:t xml:space="preserve">(including checking medicines, assessing asthma control, observing inhaler </w:t>
            </w:r>
            <w:proofErr w:type="gramStart"/>
            <w:r w:rsidR="00F35E4E" w:rsidRPr="00F35E4E">
              <w:t>technique</w:t>
            </w:r>
            <w:proofErr w:type="gramEnd"/>
            <w:r w:rsidR="00F35E4E" w:rsidRPr="00F35E4E">
              <w:t xml:space="preserve"> and checking other reasons for uncontrolled asthma)</w:t>
            </w:r>
            <w:r w:rsidR="007E2F41">
              <w:t>.</w:t>
            </w:r>
          </w:p>
          <w:p w14:paraId="4B388E2A" w14:textId="1C918ED3" w:rsidR="003A079F" w:rsidRDefault="003A079F" w:rsidP="00E079FB">
            <w:pPr>
              <w:pStyle w:val="Tabletext"/>
            </w:pPr>
            <w:r>
              <w:t xml:space="preserve">We agree with </w:t>
            </w:r>
            <w:r w:rsidRPr="003A079F">
              <w:t>the importance of a comprehensive annual review</w:t>
            </w:r>
            <w:r>
              <w:t xml:space="preserve"> and </w:t>
            </w:r>
            <w:r w:rsidR="007B0C66">
              <w:t xml:space="preserve">the </w:t>
            </w:r>
            <w:r w:rsidR="00320080">
              <w:t xml:space="preserve">aim of </w:t>
            </w:r>
            <w:r w:rsidR="007C7435">
              <w:t xml:space="preserve">the </w:t>
            </w:r>
            <w:r w:rsidR="007B0C66">
              <w:t xml:space="preserve">new annual review indicator </w:t>
            </w:r>
            <w:r w:rsidR="00320080">
              <w:t xml:space="preserve">is to improve delivery in higher </w:t>
            </w:r>
            <w:r w:rsidR="007C7435">
              <w:t>risk patients.</w:t>
            </w:r>
          </w:p>
          <w:p w14:paraId="1F458E5C" w14:textId="77777777" w:rsidR="006D2257" w:rsidRDefault="006D2257" w:rsidP="00E079FB">
            <w:pPr>
              <w:pStyle w:val="Tabletext"/>
            </w:pPr>
            <w:r w:rsidRPr="006D2257">
              <w:t xml:space="preserve">We recognise that the BTS/NICE/SIGN asthma guideline defines over-use of SABA inhalers as more than </w:t>
            </w:r>
            <w:proofErr w:type="gramStart"/>
            <w:r w:rsidRPr="006D2257">
              <w:t>2</w:t>
            </w:r>
            <w:proofErr w:type="gramEnd"/>
            <w:r w:rsidRPr="006D2257">
              <w:t xml:space="preserve"> inhalers per year. However, the committee agreed that using 6 or more SABAs was a pragmatic approach to identify a higher risk population given that testing in Clinical Practice Research Datalink (CPRD) Aurum found that 45% of people aged 6 or over with asthma on the register were prescribed </w:t>
            </w:r>
            <w:r w:rsidRPr="006D2257">
              <w:lastRenderedPageBreak/>
              <w:t xml:space="preserve">more than 2 SABAs per year. When other risk factors </w:t>
            </w:r>
            <w:proofErr w:type="gramStart"/>
            <w:r w:rsidRPr="006D2257">
              <w:t>are added</w:t>
            </w:r>
            <w:proofErr w:type="gramEnd"/>
            <w:r w:rsidRPr="006D2257">
              <w:t xml:space="preserve"> to this, it </w:t>
            </w:r>
            <w:proofErr w:type="gramStart"/>
            <w:r w:rsidRPr="006D2257">
              <w:t>was thought</w:t>
            </w:r>
            <w:proofErr w:type="gramEnd"/>
            <w:r w:rsidRPr="006D2257">
              <w:t xml:space="preserve"> to identify too high a proportion of asthma patients to be </w:t>
            </w:r>
            <w:proofErr w:type="gramStart"/>
            <w:r w:rsidRPr="006D2257">
              <w:t>substantially different</w:t>
            </w:r>
            <w:proofErr w:type="gramEnd"/>
            <w:r w:rsidRPr="006D2257">
              <w:t xml:space="preserve"> to existing indicator IND273. The committee agree that everyone who is at risk of overusing SABA deserves appropriate care and support. The BTS/NICE/SIGN guideline recommends that patients aged </w:t>
            </w:r>
            <w:proofErr w:type="gramStart"/>
            <w:r w:rsidRPr="006D2257">
              <w:t>12</w:t>
            </w:r>
            <w:proofErr w:type="gramEnd"/>
            <w:r w:rsidRPr="006D2257">
              <w:t xml:space="preserve"> and over </w:t>
            </w:r>
            <w:proofErr w:type="gramStart"/>
            <w:r w:rsidRPr="006D2257">
              <w:t>are offered</w:t>
            </w:r>
            <w:proofErr w:type="gramEnd"/>
            <w:r w:rsidRPr="006D2257">
              <w:t xml:space="preserve"> SABA-free combination regimens such as anti-inflammatory reliever (AIR) therapy or </w:t>
            </w:r>
            <w:proofErr w:type="gramStart"/>
            <w:r w:rsidRPr="006D2257">
              <w:t>MART, or</w:t>
            </w:r>
            <w:proofErr w:type="gramEnd"/>
            <w:r w:rsidRPr="006D2257">
              <w:t xml:space="preserve"> switched away from SABA-containing regimens in treatment pathways from previous guidelines. The guideline also states do not prescribe SABAs to people of any age with asthma without a concomitant prescription of an ICS. Healthcare professionals </w:t>
            </w:r>
            <w:proofErr w:type="gramStart"/>
            <w:r w:rsidRPr="006D2257">
              <w:t>are encouraged</w:t>
            </w:r>
            <w:proofErr w:type="gramEnd"/>
            <w:r w:rsidRPr="006D2257">
              <w:t xml:space="preserve"> to follow these recommendations. The new indicators are complementary to NICE indicator IND273 on annual review for all patients, which includes checking medicines adherence and assessing asthma control, and which will continue alongside the new indicators.</w:t>
            </w:r>
          </w:p>
          <w:p w14:paraId="21CB9D69" w14:textId="6263872C" w:rsidR="000940D4" w:rsidRDefault="00F83647" w:rsidP="00E079FB">
            <w:pPr>
              <w:pStyle w:val="Tabletext"/>
            </w:pPr>
            <w:r w:rsidRPr="00F83647">
              <w:t xml:space="preserve">OCS </w:t>
            </w:r>
            <w:r w:rsidR="00F2577C">
              <w:t>use is</w:t>
            </w:r>
            <w:r w:rsidR="00AA47FB">
              <w:t xml:space="preserve"> one</w:t>
            </w:r>
            <w:r w:rsidRPr="00F83647">
              <w:t xml:space="preserve"> of a set of risk factors to identify high</w:t>
            </w:r>
            <w:r w:rsidR="00F2577C">
              <w:t>er</w:t>
            </w:r>
            <w:r w:rsidRPr="00F83647">
              <w:t xml:space="preserve"> risk p</w:t>
            </w:r>
            <w:r w:rsidR="00F2577C">
              <w:t>atient</w:t>
            </w:r>
            <w:r w:rsidRPr="00F83647">
              <w:t xml:space="preserve">s. The </w:t>
            </w:r>
            <w:r w:rsidR="00277FC7">
              <w:t xml:space="preserve">new </w:t>
            </w:r>
            <w:r w:rsidRPr="00F83647">
              <w:t>indicator will help ensure these high</w:t>
            </w:r>
            <w:r w:rsidR="00277FC7">
              <w:t>er</w:t>
            </w:r>
            <w:r w:rsidRPr="00F83647">
              <w:t xml:space="preserve"> risk patients </w:t>
            </w:r>
            <w:r w:rsidR="00277FC7">
              <w:t xml:space="preserve">receive </w:t>
            </w:r>
            <w:r w:rsidRPr="00F83647">
              <w:t>an annual review</w:t>
            </w:r>
            <w:r w:rsidR="00AC69D7">
              <w:t xml:space="preserve">, </w:t>
            </w:r>
            <w:r w:rsidRPr="00F83647">
              <w:t xml:space="preserve">where </w:t>
            </w:r>
            <w:r w:rsidR="00AC69D7">
              <w:t xml:space="preserve">asthma </w:t>
            </w:r>
            <w:r w:rsidRPr="00F83647">
              <w:t xml:space="preserve">control and appropriate medication can </w:t>
            </w:r>
            <w:proofErr w:type="gramStart"/>
            <w:r w:rsidRPr="00F83647">
              <w:t>be discussed</w:t>
            </w:r>
            <w:proofErr w:type="gramEnd"/>
            <w:r w:rsidR="0077707D">
              <w:t>.</w:t>
            </w:r>
            <w:r w:rsidRPr="00F83647">
              <w:t xml:space="preserve"> If asthma remains uncontrolled </w:t>
            </w:r>
            <w:r w:rsidR="0077707D">
              <w:t xml:space="preserve">despite </w:t>
            </w:r>
            <w:r w:rsidR="008D0EB7">
              <w:t xml:space="preserve">optimised </w:t>
            </w:r>
            <w:r w:rsidR="003870B6">
              <w:t xml:space="preserve">pharmaceutical </w:t>
            </w:r>
            <w:r w:rsidR="00964658">
              <w:t xml:space="preserve">therapy, </w:t>
            </w:r>
            <w:r w:rsidRPr="00F83647">
              <w:t>then the</w:t>
            </w:r>
            <w:r w:rsidR="00A426A8">
              <w:t xml:space="preserve"> patient </w:t>
            </w:r>
            <w:r w:rsidRPr="00F83647">
              <w:t xml:space="preserve">should </w:t>
            </w:r>
            <w:proofErr w:type="gramStart"/>
            <w:r w:rsidRPr="00F83647">
              <w:t>be referred</w:t>
            </w:r>
            <w:proofErr w:type="gramEnd"/>
            <w:r w:rsidRPr="00F83647">
              <w:t xml:space="preserve"> to a specialist</w:t>
            </w:r>
            <w:r w:rsidR="00FF2323">
              <w:t xml:space="preserve"> as per </w:t>
            </w:r>
            <w:r w:rsidR="00FF2323" w:rsidRPr="00FF2323">
              <w:t>the BTS/NICE/SIGN asthma guideline</w:t>
            </w:r>
            <w:r w:rsidRPr="00F83647">
              <w:t xml:space="preserve">. </w:t>
            </w:r>
            <w:r w:rsidR="00FF2323">
              <w:t>It is not the aim of the indicator to</w:t>
            </w:r>
            <w:r w:rsidRPr="00F83647">
              <w:t xml:space="preserve"> re-iterate all relevant treatment pathways from the guideline</w:t>
            </w:r>
            <w:r w:rsidR="00FF2323">
              <w:t>.</w:t>
            </w:r>
          </w:p>
          <w:p w14:paraId="30168F80" w14:textId="7C88F913" w:rsidR="0077508B" w:rsidRDefault="0077508B" w:rsidP="00E079FB">
            <w:pPr>
              <w:pStyle w:val="Tabletext"/>
            </w:pPr>
            <w:r>
              <w:lastRenderedPageBreak/>
              <w:t xml:space="preserve">As you suggest, the new </w:t>
            </w:r>
            <w:r w:rsidRPr="0077508B">
              <w:t xml:space="preserve">indicator </w:t>
            </w:r>
            <w:r>
              <w:t>will</w:t>
            </w:r>
            <w:r w:rsidRPr="0077508B">
              <w:t xml:space="preserve"> sit alongside the existing annual review indicator (IND273)</w:t>
            </w:r>
            <w:r w:rsidR="008637B3">
              <w:t xml:space="preserve"> which will </w:t>
            </w:r>
            <w:proofErr w:type="gramStart"/>
            <w:r w:rsidR="008637B3">
              <w:t>continue on</w:t>
            </w:r>
            <w:proofErr w:type="gramEnd"/>
            <w:r w:rsidR="008637B3">
              <w:t xml:space="preserve"> the NICE menu.</w:t>
            </w:r>
          </w:p>
          <w:p w14:paraId="41555E9C" w14:textId="77777777" w:rsidR="007C7435" w:rsidRDefault="007C7435" w:rsidP="00E079FB">
            <w:pPr>
              <w:pStyle w:val="Tabletext"/>
            </w:pPr>
          </w:p>
          <w:p w14:paraId="45B1D188" w14:textId="0BF508F4" w:rsidR="00143AC3" w:rsidRDefault="00143AC3" w:rsidP="00E079FB">
            <w:pPr>
              <w:pStyle w:val="Tabletext"/>
            </w:pPr>
          </w:p>
        </w:tc>
      </w:tr>
      <w:tr w:rsidR="007707C9" w:rsidRPr="00215444" w14:paraId="47BEB15C" w14:textId="6E38E5D6" w:rsidTr="005A4609">
        <w:tc>
          <w:tcPr>
            <w:tcW w:w="562" w:type="dxa"/>
            <w:noWrap/>
          </w:tcPr>
          <w:p w14:paraId="5F3B2343" w14:textId="33C7667E" w:rsidR="007707C9" w:rsidRDefault="007707C9" w:rsidP="00E079FB">
            <w:pPr>
              <w:pStyle w:val="Tabletext"/>
            </w:pPr>
            <w:r>
              <w:lastRenderedPageBreak/>
              <w:t>8</w:t>
            </w:r>
          </w:p>
        </w:tc>
        <w:tc>
          <w:tcPr>
            <w:tcW w:w="1701" w:type="dxa"/>
          </w:tcPr>
          <w:p w14:paraId="7AC4A058" w14:textId="1FFFD08E" w:rsidR="007707C9" w:rsidRPr="00215444" w:rsidRDefault="007707C9" w:rsidP="00E079FB">
            <w:pPr>
              <w:pStyle w:val="Tabletext"/>
            </w:pPr>
            <w:r w:rsidRPr="006947C5">
              <w:t>IND315</w:t>
            </w:r>
          </w:p>
        </w:tc>
        <w:tc>
          <w:tcPr>
            <w:tcW w:w="1560" w:type="dxa"/>
            <w:noWrap/>
          </w:tcPr>
          <w:p w14:paraId="64485C75" w14:textId="4CD8CE00" w:rsidR="007707C9" w:rsidRPr="00215444" w:rsidRDefault="007707C9" w:rsidP="00E079FB">
            <w:pPr>
              <w:pStyle w:val="Tabletext"/>
            </w:pPr>
            <w:r w:rsidRPr="000466BB">
              <w:t>AstraZeneca UK Ltd.</w:t>
            </w:r>
          </w:p>
        </w:tc>
        <w:tc>
          <w:tcPr>
            <w:tcW w:w="4110" w:type="dxa"/>
          </w:tcPr>
          <w:p w14:paraId="28BAA5BB" w14:textId="5D102597" w:rsidR="007707C9" w:rsidRDefault="007707C9" w:rsidP="00E079FB">
            <w:pPr>
              <w:pStyle w:val="Tabletext"/>
            </w:pPr>
            <w:r>
              <w:t xml:space="preserve">Given the data join-up constraints, we agree with the proposed approach to identify patients with these risk factors using SNOMED codes in general practice records. </w:t>
            </w:r>
          </w:p>
          <w:p w14:paraId="1B74AC83" w14:textId="77777777" w:rsidR="007707C9" w:rsidRDefault="007707C9" w:rsidP="00E079FB">
            <w:pPr>
              <w:pStyle w:val="Tabletext"/>
            </w:pPr>
          </w:p>
          <w:p w14:paraId="470FE486" w14:textId="660ACC31" w:rsidR="007707C9" w:rsidRPr="00215444" w:rsidRDefault="007707C9" w:rsidP="00E079FB">
            <w:pPr>
              <w:pStyle w:val="Tabletext"/>
            </w:pPr>
            <w:r>
              <w:t xml:space="preserve">NICE should highlight to DHSC and NHS England, that the lack of health data join-up across primary and secondary asthma care, is hindering the identification of patients at risk of admissions and poor outcomes from uncontrolled asthma. The 10 Year Health Plan commits to shifting from analogue to digital and transforming how the NHS uses health data and digital – this is an example of where benefits would be </w:t>
            </w:r>
            <w:proofErr w:type="gramStart"/>
            <w:r>
              <w:t>felt, if</w:t>
            </w:r>
            <w:proofErr w:type="gramEnd"/>
            <w:r>
              <w:t xml:space="preserve"> this were to </w:t>
            </w:r>
            <w:proofErr w:type="gramStart"/>
            <w:r>
              <w:t>be successfully implemented</w:t>
            </w:r>
            <w:proofErr w:type="gramEnd"/>
            <w:r>
              <w:t>."</w:t>
            </w:r>
          </w:p>
        </w:tc>
        <w:tc>
          <w:tcPr>
            <w:tcW w:w="6096" w:type="dxa"/>
          </w:tcPr>
          <w:p w14:paraId="757255B2" w14:textId="77777777" w:rsidR="007707C9" w:rsidRDefault="009F1DB9" w:rsidP="00E079FB">
            <w:pPr>
              <w:pStyle w:val="Tabletext"/>
            </w:pPr>
            <w:r w:rsidRPr="009F1DB9">
              <w:t>Thank you for your comment.</w:t>
            </w:r>
          </w:p>
          <w:p w14:paraId="7E652327" w14:textId="77777777" w:rsidR="008637B3" w:rsidRDefault="00380486" w:rsidP="00E079FB">
            <w:pPr>
              <w:pStyle w:val="Tabletext"/>
            </w:pPr>
            <w:r>
              <w:t>NHS England are aware of the issues you raise</w:t>
            </w:r>
            <w:r w:rsidR="002B3B0B">
              <w:t xml:space="preserve"> around health data join-</w:t>
            </w:r>
            <w:proofErr w:type="gramStart"/>
            <w:r w:rsidR="002B3B0B">
              <w:t>up, and</w:t>
            </w:r>
            <w:proofErr w:type="gramEnd"/>
            <w:r w:rsidR="002B3B0B">
              <w:t xml:space="preserve"> are i</w:t>
            </w:r>
            <w:r w:rsidR="00430E97">
              <w:t>nvolved with the IAC.</w:t>
            </w:r>
          </w:p>
          <w:p w14:paraId="17D64352" w14:textId="24030854" w:rsidR="00642E4C" w:rsidRDefault="00642E4C" w:rsidP="00E079FB">
            <w:pPr>
              <w:pStyle w:val="Tabletext"/>
            </w:pPr>
            <w:r>
              <w:t>As you note, t</w:t>
            </w:r>
            <w:r w:rsidRPr="00642E4C">
              <w:t>he 10 Year Health Plan commits to shifting from analogue to digital and transforming how the NHS uses health data and digital</w:t>
            </w:r>
            <w:r w:rsidR="00F60DCD">
              <w:t xml:space="preserve">, which </w:t>
            </w:r>
            <w:r w:rsidR="00505217">
              <w:t>may lead</w:t>
            </w:r>
            <w:r w:rsidR="00F60DCD">
              <w:t xml:space="preserve"> to improvements in the gathering and sharing of data in the NHS.</w:t>
            </w:r>
          </w:p>
        </w:tc>
      </w:tr>
      <w:tr w:rsidR="009F1DB9" w:rsidRPr="00215444" w14:paraId="429B5EC0" w14:textId="479D2B57" w:rsidTr="005A4609">
        <w:tc>
          <w:tcPr>
            <w:tcW w:w="562" w:type="dxa"/>
            <w:noWrap/>
          </w:tcPr>
          <w:p w14:paraId="17BBDC90" w14:textId="03B3C904" w:rsidR="009F1DB9" w:rsidRDefault="009F1DB9" w:rsidP="009F1DB9">
            <w:pPr>
              <w:pStyle w:val="Tabletext"/>
            </w:pPr>
            <w:r>
              <w:t>9</w:t>
            </w:r>
          </w:p>
        </w:tc>
        <w:tc>
          <w:tcPr>
            <w:tcW w:w="1701" w:type="dxa"/>
          </w:tcPr>
          <w:p w14:paraId="1D0933DE" w14:textId="30F67540" w:rsidR="009F1DB9" w:rsidRPr="00215444" w:rsidRDefault="009F1DB9" w:rsidP="009F1DB9">
            <w:pPr>
              <w:pStyle w:val="Tabletext"/>
            </w:pPr>
            <w:r w:rsidRPr="006947C5">
              <w:t>IND315</w:t>
            </w:r>
          </w:p>
        </w:tc>
        <w:tc>
          <w:tcPr>
            <w:tcW w:w="1560" w:type="dxa"/>
            <w:noWrap/>
          </w:tcPr>
          <w:p w14:paraId="05177DEE" w14:textId="3BD4704C" w:rsidR="009F1DB9" w:rsidRPr="00215444" w:rsidRDefault="009F1DB9" w:rsidP="009F1DB9">
            <w:pPr>
              <w:pStyle w:val="Tabletext"/>
            </w:pPr>
            <w:r>
              <w:t xml:space="preserve">Individual </w:t>
            </w:r>
            <w:proofErr w:type="gramStart"/>
            <w:r>
              <w:t>1</w:t>
            </w:r>
            <w:proofErr w:type="gramEnd"/>
          </w:p>
        </w:tc>
        <w:tc>
          <w:tcPr>
            <w:tcW w:w="4110" w:type="dxa"/>
          </w:tcPr>
          <w:p w14:paraId="7146C25D" w14:textId="02F6C076" w:rsidR="009F1DB9" w:rsidRPr="00215444" w:rsidRDefault="009F1DB9" w:rsidP="009F1DB9">
            <w:pPr>
              <w:pStyle w:val="Tabletext"/>
            </w:pPr>
            <w:r w:rsidRPr="00F30FF7">
              <w:t xml:space="preserve">It may be the </w:t>
            </w:r>
            <w:proofErr w:type="gramStart"/>
            <w:r w:rsidRPr="00F30FF7">
              <w:t>wording</w:t>
            </w:r>
            <w:proofErr w:type="gramEnd"/>
            <w:r w:rsidRPr="00F30FF7">
              <w:t xml:space="preserve"> but it sounds like the numerator and denominator have </w:t>
            </w:r>
            <w:proofErr w:type="gramStart"/>
            <w:r w:rsidRPr="00F30FF7">
              <w:lastRenderedPageBreak/>
              <w:t>been switched</w:t>
            </w:r>
            <w:proofErr w:type="gramEnd"/>
            <w:r w:rsidRPr="00F30FF7">
              <w:t xml:space="preserve"> surely it should be the number with a risk factor (numerator) divided by the number eligible because they have had the required assessments and are on the asthma register</w:t>
            </w:r>
          </w:p>
        </w:tc>
        <w:tc>
          <w:tcPr>
            <w:tcW w:w="6096" w:type="dxa"/>
          </w:tcPr>
          <w:p w14:paraId="47E5BDCA" w14:textId="77777777" w:rsidR="009F1DB9" w:rsidRDefault="009F1DB9" w:rsidP="009F1DB9">
            <w:pPr>
              <w:pStyle w:val="Tabletext"/>
            </w:pPr>
            <w:r w:rsidRPr="00DE4872">
              <w:lastRenderedPageBreak/>
              <w:t>Thank you for your comment.</w:t>
            </w:r>
          </w:p>
          <w:p w14:paraId="1BEF324B" w14:textId="768DE0FD" w:rsidR="007A7638" w:rsidRDefault="007A7638" w:rsidP="007A7638">
            <w:pPr>
              <w:pStyle w:val="Tabletext"/>
            </w:pPr>
            <w:r w:rsidRPr="007A7638">
              <w:lastRenderedPageBreak/>
              <w:t xml:space="preserve">A NICE indicator </w:t>
            </w:r>
            <w:proofErr w:type="gramStart"/>
            <w:r w:rsidRPr="007A7638">
              <w:t>is made</w:t>
            </w:r>
            <w:proofErr w:type="gramEnd"/>
            <w:r w:rsidRPr="007A7638">
              <w:t xml:space="preserve"> up of the following:</w:t>
            </w:r>
          </w:p>
          <w:p w14:paraId="48454D40" w14:textId="323E527C" w:rsidR="007A7638" w:rsidRDefault="007A7638" w:rsidP="007A7638">
            <w:pPr>
              <w:pStyle w:val="Tabletext"/>
              <w:numPr>
                <w:ilvl w:val="0"/>
                <w:numId w:val="25"/>
              </w:numPr>
            </w:pPr>
            <w:r>
              <w:t xml:space="preserve">a denominator, describing the target population included in an </w:t>
            </w:r>
            <w:proofErr w:type="gramStart"/>
            <w:r>
              <w:t>indicator</w:t>
            </w:r>
            <w:proofErr w:type="gramEnd"/>
          </w:p>
          <w:p w14:paraId="230514DE" w14:textId="2F165AC6" w:rsidR="007A7638" w:rsidRDefault="007A7638" w:rsidP="007A7638">
            <w:pPr>
              <w:pStyle w:val="Tabletext"/>
              <w:numPr>
                <w:ilvl w:val="0"/>
                <w:numId w:val="25"/>
              </w:numPr>
            </w:pPr>
            <w:r>
              <w:t xml:space="preserve">a numerator, describing the number of people in the denominator who have the specified intervention, </w:t>
            </w:r>
            <w:proofErr w:type="gramStart"/>
            <w:r>
              <w:t>treatment</w:t>
            </w:r>
            <w:proofErr w:type="gramEnd"/>
            <w:r>
              <w:t xml:space="preserve"> or outcome</w:t>
            </w:r>
            <w:r w:rsidR="00B73D1D">
              <w:t>.</w:t>
            </w:r>
          </w:p>
          <w:p w14:paraId="7394891C" w14:textId="45C2C47D" w:rsidR="003410FA" w:rsidRPr="00F30FF7" w:rsidRDefault="007A7638" w:rsidP="009F1DB9">
            <w:pPr>
              <w:pStyle w:val="Tabletext"/>
            </w:pPr>
            <w:r>
              <w:t>In this case, the de</w:t>
            </w:r>
            <w:r w:rsidR="00CC25BA">
              <w:t>nominator</w:t>
            </w:r>
            <w:r w:rsidR="00637DCF">
              <w:t xml:space="preserve"> (i.e. target population) is </w:t>
            </w:r>
            <w:r w:rsidR="008C2C28">
              <w:t>t</w:t>
            </w:r>
            <w:r w:rsidR="008C2C28" w:rsidRPr="008C2C28">
              <w:t>he number of patients on the asthma register with a risk factor for poor outcomes</w:t>
            </w:r>
            <w:r w:rsidR="008C2C28">
              <w:t xml:space="preserve">. The numerator (i.e. people within the </w:t>
            </w:r>
            <w:r w:rsidR="00115B68">
              <w:t>target population who have the intervention) is the number of patients</w:t>
            </w:r>
            <w:r w:rsidR="00356399">
              <w:t xml:space="preserve"> </w:t>
            </w:r>
            <w:r w:rsidR="00D74C14">
              <w:t xml:space="preserve">at risk of poor outcomes </w:t>
            </w:r>
            <w:r w:rsidR="00356399">
              <w:t>who have</w:t>
            </w:r>
            <w:r w:rsidR="00D74C14">
              <w:t xml:space="preserve"> had</w:t>
            </w:r>
            <w:r w:rsidR="00356399">
              <w:t xml:space="preserve"> an annual review. </w:t>
            </w:r>
            <w:r w:rsidR="0037105E">
              <w:t>The calculation (n</w:t>
            </w:r>
            <w:r w:rsidR="0037105E" w:rsidRPr="0037105E">
              <w:t xml:space="preserve">umerator divided by the denominator, multiplied by </w:t>
            </w:r>
            <w:proofErr w:type="gramStart"/>
            <w:r w:rsidR="0037105E" w:rsidRPr="0037105E">
              <w:t>100</w:t>
            </w:r>
            <w:proofErr w:type="gramEnd"/>
            <w:r w:rsidR="0037105E">
              <w:t>) gives the percentage of people at risk of poor outcomes who have had a review.</w:t>
            </w:r>
          </w:p>
        </w:tc>
      </w:tr>
      <w:tr w:rsidR="009F1DB9" w:rsidRPr="00215444" w14:paraId="0ABE83A2" w14:textId="1F7D99BF" w:rsidTr="005A4609">
        <w:tc>
          <w:tcPr>
            <w:tcW w:w="562" w:type="dxa"/>
            <w:noWrap/>
          </w:tcPr>
          <w:p w14:paraId="5D8EB40E" w14:textId="04C67306" w:rsidR="009F1DB9" w:rsidRDefault="009F1DB9" w:rsidP="009F1DB9">
            <w:pPr>
              <w:pStyle w:val="Tabletext"/>
            </w:pPr>
            <w:r>
              <w:lastRenderedPageBreak/>
              <w:t>10</w:t>
            </w:r>
          </w:p>
        </w:tc>
        <w:tc>
          <w:tcPr>
            <w:tcW w:w="1701" w:type="dxa"/>
          </w:tcPr>
          <w:p w14:paraId="469E61CA" w14:textId="7450F705" w:rsidR="009F1DB9" w:rsidRPr="00215444" w:rsidRDefault="009F1DB9" w:rsidP="009F1DB9">
            <w:pPr>
              <w:pStyle w:val="Tabletext"/>
            </w:pPr>
            <w:r w:rsidRPr="006947C5">
              <w:t>IND315</w:t>
            </w:r>
          </w:p>
        </w:tc>
        <w:tc>
          <w:tcPr>
            <w:tcW w:w="1560" w:type="dxa"/>
            <w:noWrap/>
          </w:tcPr>
          <w:p w14:paraId="451A6104" w14:textId="62D5224D" w:rsidR="009F1DB9" w:rsidRPr="00215444" w:rsidRDefault="009F1DB9" w:rsidP="009F1DB9">
            <w:pPr>
              <w:pStyle w:val="Tabletext"/>
            </w:pPr>
            <w:r w:rsidRPr="009C08FD">
              <w:t xml:space="preserve">Individual </w:t>
            </w:r>
            <w:proofErr w:type="gramStart"/>
            <w:r w:rsidRPr="009C08FD">
              <w:t>1</w:t>
            </w:r>
            <w:proofErr w:type="gramEnd"/>
          </w:p>
        </w:tc>
        <w:tc>
          <w:tcPr>
            <w:tcW w:w="4110" w:type="dxa"/>
          </w:tcPr>
          <w:p w14:paraId="2008C01B" w14:textId="2AEF051F" w:rsidR="009F1DB9" w:rsidRPr="00215444" w:rsidRDefault="009F1DB9" w:rsidP="009F1DB9">
            <w:pPr>
              <w:pStyle w:val="Tabletext"/>
            </w:pPr>
            <w:r w:rsidRPr="009C08FD">
              <w:t>QoF will encourage superficial engagement at best</w:t>
            </w:r>
          </w:p>
        </w:tc>
        <w:tc>
          <w:tcPr>
            <w:tcW w:w="6096" w:type="dxa"/>
          </w:tcPr>
          <w:p w14:paraId="1EB9A4E1" w14:textId="77777777" w:rsidR="009F1DB9" w:rsidRDefault="009F1DB9" w:rsidP="009F1DB9">
            <w:pPr>
              <w:pStyle w:val="Tabletext"/>
            </w:pPr>
            <w:r w:rsidRPr="00DE4872">
              <w:t>Thank you for your comment.</w:t>
            </w:r>
          </w:p>
          <w:p w14:paraId="4691821B" w14:textId="7AA9FF8A" w:rsidR="00E66788" w:rsidRDefault="00E66788" w:rsidP="009F1DB9">
            <w:pPr>
              <w:pStyle w:val="Tabletext"/>
            </w:pPr>
            <w:r>
              <w:t xml:space="preserve">The existing </w:t>
            </w:r>
            <w:r w:rsidR="009E130F">
              <w:t>QOF</w:t>
            </w:r>
            <w:r w:rsidR="00895F9B">
              <w:t xml:space="preserve"> indicator on annual review in all patients (</w:t>
            </w:r>
            <w:r w:rsidR="009E130F">
              <w:t>AST007</w:t>
            </w:r>
            <w:r w:rsidR="00895F9B">
              <w:t xml:space="preserve">) has seen an increase in </w:t>
            </w:r>
            <w:r w:rsidR="00AA203C">
              <w:t xml:space="preserve">the national intervention rate </w:t>
            </w:r>
            <w:r w:rsidR="0083423F">
              <w:t xml:space="preserve">from 52% in 2021/22 to </w:t>
            </w:r>
            <w:r w:rsidR="009E130F">
              <w:t>66% 2024/25.</w:t>
            </w:r>
            <w:r w:rsidR="00FD7DC9">
              <w:t xml:space="preserve"> </w:t>
            </w:r>
            <w:r w:rsidR="00F60BD1">
              <w:t xml:space="preserve">We hope that the new indicator on annual review in higher risk patients may bring about </w:t>
            </w:r>
            <w:r w:rsidR="005C7FD3">
              <w:t xml:space="preserve">a </w:t>
            </w:r>
            <w:r w:rsidR="00F60BD1">
              <w:t xml:space="preserve">similar </w:t>
            </w:r>
            <w:r w:rsidR="005C7FD3">
              <w:t>improvement.</w:t>
            </w:r>
          </w:p>
          <w:p w14:paraId="307FF580" w14:textId="0D3B15E6" w:rsidR="0058702F" w:rsidRPr="009C08FD" w:rsidRDefault="0058702F" w:rsidP="009F1DB9">
            <w:pPr>
              <w:pStyle w:val="Tabletext"/>
            </w:pPr>
          </w:p>
        </w:tc>
      </w:tr>
      <w:tr w:rsidR="009F1DB9" w:rsidRPr="00215444" w14:paraId="62524E77" w14:textId="05396FD3" w:rsidTr="005A4609">
        <w:tc>
          <w:tcPr>
            <w:tcW w:w="562" w:type="dxa"/>
            <w:noWrap/>
          </w:tcPr>
          <w:p w14:paraId="28FA903D" w14:textId="015357ED" w:rsidR="009F1DB9" w:rsidRDefault="009F1DB9" w:rsidP="009F1DB9">
            <w:pPr>
              <w:pStyle w:val="Tabletext"/>
            </w:pPr>
            <w:r>
              <w:t>11</w:t>
            </w:r>
          </w:p>
        </w:tc>
        <w:tc>
          <w:tcPr>
            <w:tcW w:w="1701" w:type="dxa"/>
          </w:tcPr>
          <w:p w14:paraId="2F7C2F48" w14:textId="5CB87DB7" w:rsidR="009F1DB9" w:rsidRPr="00215444" w:rsidRDefault="009F1DB9" w:rsidP="009F1DB9">
            <w:pPr>
              <w:pStyle w:val="Tabletext"/>
            </w:pPr>
            <w:r w:rsidRPr="006947C5">
              <w:t>IND315</w:t>
            </w:r>
          </w:p>
        </w:tc>
        <w:tc>
          <w:tcPr>
            <w:tcW w:w="1560" w:type="dxa"/>
            <w:noWrap/>
          </w:tcPr>
          <w:p w14:paraId="4A2E9CB2" w14:textId="7F363F36" w:rsidR="009F1DB9" w:rsidRPr="00215444" w:rsidRDefault="009F1DB9" w:rsidP="009F1DB9">
            <w:pPr>
              <w:pStyle w:val="Tabletext"/>
            </w:pPr>
            <w:r w:rsidRPr="0073662E">
              <w:t xml:space="preserve">Individual </w:t>
            </w:r>
            <w:proofErr w:type="gramStart"/>
            <w:r w:rsidRPr="0073662E">
              <w:t>1</w:t>
            </w:r>
            <w:proofErr w:type="gramEnd"/>
          </w:p>
        </w:tc>
        <w:tc>
          <w:tcPr>
            <w:tcW w:w="4110" w:type="dxa"/>
          </w:tcPr>
          <w:p w14:paraId="793E33B3" w14:textId="4250E89E" w:rsidR="009F1DB9" w:rsidRPr="00215444" w:rsidRDefault="009F1DB9" w:rsidP="009F1DB9">
            <w:pPr>
              <w:pStyle w:val="Tabletext"/>
            </w:pPr>
            <w:r w:rsidRPr="0073662E">
              <w:t xml:space="preserve">Rationale is sound, is this to eb linked to any intervention though, will it just result in those considered </w:t>
            </w:r>
            <w:proofErr w:type="gramStart"/>
            <w:r w:rsidRPr="0073662E">
              <w:t>low risk</w:t>
            </w:r>
            <w:proofErr w:type="gramEnd"/>
            <w:r w:rsidRPr="0073662E">
              <w:t xml:space="preserve"> being deprioritised?</w:t>
            </w:r>
          </w:p>
        </w:tc>
        <w:tc>
          <w:tcPr>
            <w:tcW w:w="6096" w:type="dxa"/>
          </w:tcPr>
          <w:p w14:paraId="3A9A3258" w14:textId="77777777" w:rsidR="009F1DB9" w:rsidRDefault="009F1DB9" w:rsidP="009F1DB9">
            <w:pPr>
              <w:pStyle w:val="Tabletext"/>
            </w:pPr>
            <w:r w:rsidRPr="00DE4872">
              <w:t>Thank you for your comment.</w:t>
            </w:r>
          </w:p>
          <w:p w14:paraId="5CDF9E51" w14:textId="77777777" w:rsidR="001143C0" w:rsidRDefault="001143C0" w:rsidP="009F1DB9">
            <w:pPr>
              <w:pStyle w:val="Tabletext"/>
            </w:pPr>
            <w:r>
              <w:t xml:space="preserve">The indicator </w:t>
            </w:r>
            <w:proofErr w:type="gramStart"/>
            <w:r>
              <w:t xml:space="preserve">is </w:t>
            </w:r>
            <w:r w:rsidR="006B257B">
              <w:t>linked</w:t>
            </w:r>
            <w:proofErr w:type="gramEnd"/>
            <w:r w:rsidR="006B257B">
              <w:t xml:space="preserve"> to annual review as the intervention. The annual review may </w:t>
            </w:r>
            <w:r w:rsidR="00FD6D47">
              <w:t xml:space="preserve">then </w:t>
            </w:r>
            <w:r w:rsidR="006B257B">
              <w:t xml:space="preserve">bring about further interventions such as </w:t>
            </w:r>
            <w:r w:rsidR="00FD6D47" w:rsidRPr="00FD6D47">
              <w:t>starting or adjusting medicines.</w:t>
            </w:r>
          </w:p>
          <w:p w14:paraId="0783A249" w14:textId="3E093212" w:rsidR="00AF6455" w:rsidRPr="0073662E" w:rsidRDefault="0005692E" w:rsidP="009F1DB9">
            <w:pPr>
              <w:pStyle w:val="Tabletext"/>
            </w:pPr>
            <w:r>
              <w:lastRenderedPageBreak/>
              <w:t>The intention is not to deprioritise</w:t>
            </w:r>
            <w:r w:rsidR="00AF6455">
              <w:t xml:space="preserve"> people at lower risk, </w:t>
            </w:r>
            <w:r>
              <w:t xml:space="preserve">and </w:t>
            </w:r>
            <w:r w:rsidR="00AF6455">
              <w:t xml:space="preserve">the existing NICE indicator on annual review in all patients (IND273) will </w:t>
            </w:r>
            <w:proofErr w:type="gramStart"/>
            <w:r w:rsidR="00AF6455">
              <w:t>continue on</w:t>
            </w:r>
            <w:proofErr w:type="gramEnd"/>
            <w:r w:rsidR="00AF6455">
              <w:t xml:space="preserve"> the NICE menu.</w:t>
            </w:r>
          </w:p>
        </w:tc>
      </w:tr>
      <w:tr w:rsidR="009F1DB9" w:rsidRPr="00215444" w14:paraId="5381780D" w14:textId="7DA05589" w:rsidTr="005A4609">
        <w:tc>
          <w:tcPr>
            <w:tcW w:w="562" w:type="dxa"/>
            <w:noWrap/>
          </w:tcPr>
          <w:p w14:paraId="0A990F90" w14:textId="1E1C4758" w:rsidR="009F1DB9" w:rsidRDefault="009F1DB9" w:rsidP="009F1DB9">
            <w:pPr>
              <w:pStyle w:val="Tabletext"/>
            </w:pPr>
            <w:r>
              <w:lastRenderedPageBreak/>
              <w:t>12</w:t>
            </w:r>
          </w:p>
        </w:tc>
        <w:tc>
          <w:tcPr>
            <w:tcW w:w="1701" w:type="dxa"/>
          </w:tcPr>
          <w:p w14:paraId="2CF6C31B" w14:textId="3BE4D90D" w:rsidR="009F1DB9" w:rsidRPr="00215444" w:rsidRDefault="009F1DB9" w:rsidP="009F1DB9">
            <w:pPr>
              <w:pStyle w:val="Tabletext"/>
            </w:pPr>
            <w:r w:rsidRPr="006947C5">
              <w:t>IND315</w:t>
            </w:r>
          </w:p>
        </w:tc>
        <w:tc>
          <w:tcPr>
            <w:tcW w:w="1560" w:type="dxa"/>
            <w:noWrap/>
          </w:tcPr>
          <w:p w14:paraId="11A7BAB4" w14:textId="5D53F2E6" w:rsidR="009F1DB9" w:rsidRPr="00215444" w:rsidRDefault="009F1DB9" w:rsidP="009F1DB9">
            <w:pPr>
              <w:pStyle w:val="Tabletext"/>
            </w:pPr>
            <w:r>
              <w:t>NHS England</w:t>
            </w:r>
          </w:p>
        </w:tc>
        <w:tc>
          <w:tcPr>
            <w:tcW w:w="4110" w:type="dxa"/>
          </w:tcPr>
          <w:p w14:paraId="6AB24156" w14:textId="13C2E92B" w:rsidR="009F1DB9" w:rsidRPr="00215444" w:rsidRDefault="009F1DB9" w:rsidP="009F1DB9">
            <w:pPr>
              <w:pStyle w:val="Tabletext"/>
            </w:pPr>
            <w:r w:rsidRPr="009E5181">
              <w:t xml:space="preserve">NHSE National Respiratory team </w:t>
            </w:r>
            <w:proofErr w:type="gramStart"/>
            <w:r w:rsidRPr="009E5181">
              <w:t>are  supportive</w:t>
            </w:r>
            <w:proofErr w:type="gramEnd"/>
            <w:r w:rsidRPr="009E5181">
              <w:t xml:space="preserve"> of these steps and supportive of development.</w:t>
            </w:r>
          </w:p>
        </w:tc>
        <w:tc>
          <w:tcPr>
            <w:tcW w:w="6096" w:type="dxa"/>
          </w:tcPr>
          <w:p w14:paraId="0AFE6D9F" w14:textId="29011A5F" w:rsidR="009F1DB9" w:rsidRPr="009E5181" w:rsidRDefault="009F1DB9" w:rsidP="009F1DB9">
            <w:pPr>
              <w:pStyle w:val="Tabletext"/>
            </w:pPr>
            <w:r w:rsidRPr="00DE4872">
              <w:t>Thank you for your comment.</w:t>
            </w:r>
          </w:p>
        </w:tc>
      </w:tr>
      <w:tr w:rsidR="009F1DB9" w:rsidRPr="00215444" w14:paraId="59525105" w14:textId="3B24A6ED" w:rsidTr="005A4609">
        <w:tc>
          <w:tcPr>
            <w:tcW w:w="562" w:type="dxa"/>
            <w:noWrap/>
          </w:tcPr>
          <w:p w14:paraId="28E77592" w14:textId="4DA465BC" w:rsidR="009F1DB9" w:rsidRDefault="009F1DB9" w:rsidP="009F1DB9">
            <w:pPr>
              <w:pStyle w:val="Tabletext"/>
            </w:pPr>
            <w:r>
              <w:t>13</w:t>
            </w:r>
          </w:p>
        </w:tc>
        <w:tc>
          <w:tcPr>
            <w:tcW w:w="1701" w:type="dxa"/>
          </w:tcPr>
          <w:p w14:paraId="52963CA0" w14:textId="01831BF3" w:rsidR="009F1DB9" w:rsidRPr="00215444" w:rsidRDefault="009F1DB9" w:rsidP="009F1DB9">
            <w:pPr>
              <w:pStyle w:val="Tabletext"/>
            </w:pPr>
            <w:r w:rsidRPr="006947C5">
              <w:t>IND315</w:t>
            </w:r>
          </w:p>
        </w:tc>
        <w:tc>
          <w:tcPr>
            <w:tcW w:w="1560" w:type="dxa"/>
            <w:noWrap/>
          </w:tcPr>
          <w:p w14:paraId="68A0B71D" w14:textId="68B91A54" w:rsidR="009F1DB9" w:rsidRPr="00215444" w:rsidRDefault="009F1DB9" w:rsidP="009F1DB9">
            <w:pPr>
              <w:pStyle w:val="Tabletext"/>
            </w:pPr>
            <w:r w:rsidRPr="00097655">
              <w:t>Primary Care Respiratory Society (PCRS)</w:t>
            </w:r>
          </w:p>
        </w:tc>
        <w:tc>
          <w:tcPr>
            <w:tcW w:w="4110" w:type="dxa"/>
          </w:tcPr>
          <w:p w14:paraId="3B49295A" w14:textId="77777777" w:rsidR="009F1DB9" w:rsidRDefault="009F1DB9" w:rsidP="009F1DB9">
            <w:pPr>
              <w:pStyle w:val="Tabletext"/>
            </w:pPr>
            <w:r>
              <w:t xml:space="preserve">Overall, this approach to target the high-risk patients </w:t>
            </w:r>
            <w:proofErr w:type="gramStart"/>
            <w:r>
              <w:t>is welcomed</w:t>
            </w:r>
            <w:proofErr w:type="gramEnd"/>
            <w:r>
              <w:t xml:space="preserve">. </w:t>
            </w:r>
          </w:p>
          <w:p w14:paraId="00C43CAA" w14:textId="77777777" w:rsidR="009F1DB9" w:rsidRDefault="009F1DB9" w:rsidP="009F1DB9">
            <w:pPr>
              <w:pStyle w:val="Tabletext"/>
            </w:pPr>
          </w:p>
          <w:p w14:paraId="0357E681" w14:textId="77777777" w:rsidR="009F1DB9" w:rsidRDefault="009F1DB9" w:rsidP="009F1DB9">
            <w:pPr>
              <w:pStyle w:val="Tabletext"/>
            </w:pPr>
            <w:r>
              <w:t>Practices try to meet the annual review quota but often those with the most controlled asthma are the ones undertaking the reviews.</w:t>
            </w:r>
          </w:p>
          <w:p w14:paraId="5E32A4CD" w14:textId="77777777" w:rsidR="009F1DB9" w:rsidRDefault="009F1DB9" w:rsidP="009F1DB9">
            <w:pPr>
              <w:pStyle w:val="Tabletext"/>
            </w:pPr>
          </w:p>
          <w:p w14:paraId="57E92BD0" w14:textId="77777777" w:rsidR="009F1DB9" w:rsidRDefault="009F1DB9" w:rsidP="009F1DB9">
            <w:pPr>
              <w:pStyle w:val="Tabletext"/>
            </w:pPr>
            <w:r>
              <w:t xml:space="preserve">However, the 28% is unclear. It is far too high for percentage meeting all the criteria in one year. If it is referring to those meeting at least one </w:t>
            </w:r>
            <w:proofErr w:type="gramStart"/>
            <w:r>
              <w:t>criteria</w:t>
            </w:r>
            <w:proofErr w:type="gramEnd"/>
            <w:r>
              <w:t xml:space="preserve">, this also does not make sense as below in the same document it says 45% meet 6 or more SABA criteria. This is therefore confusing. </w:t>
            </w:r>
          </w:p>
          <w:p w14:paraId="2742B543" w14:textId="77777777" w:rsidR="009F1DB9" w:rsidRDefault="009F1DB9" w:rsidP="009F1DB9">
            <w:pPr>
              <w:pStyle w:val="Tabletext"/>
            </w:pPr>
          </w:p>
          <w:p w14:paraId="453097FE" w14:textId="77777777" w:rsidR="009F1DB9" w:rsidRDefault="009F1DB9" w:rsidP="009F1DB9">
            <w:pPr>
              <w:pStyle w:val="Tabletext"/>
            </w:pPr>
            <w:r>
              <w:t xml:space="preserve">The last </w:t>
            </w:r>
            <w:proofErr w:type="gramStart"/>
            <w:r>
              <w:t>3</w:t>
            </w:r>
            <w:proofErr w:type="gramEnd"/>
            <w:r>
              <w:t xml:space="preserve"> definitions (oral steroids, </w:t>
            </w:r>
            <w:proofErr w:type="gramStart"/>
            <w:r>
              <w:t>AE</w:t>
            </w:r>
            <w:proofErr w:type="gramEnd"/>
            <w:r>
              <w:t xml:space="preserve"> and hospital) are the criteria most studies/guidelines use to define an asthma attack/exacerbation - meaning </w:t>
            </w:r>
            <w:r>
              <w:lastRenderedPageBreak/>
              <w:t xml:space="preserve">this data is saying around one third of all asthma patients have </w:t>
            </w:r>
            <w:proofErr w:type="gramStart"/>
            <w:r>
              <w:t>2</w:t>
            </w:r>
            <w:proofErr w:type="gramEnd"/>
            <w:r>
              <w:t xml:space="preserve"> or more asthma attacks a year or use 6 SABA. This is simply not true in any study. It is </w:t>
            </w:r>
            <w:proofErr w:type="gramStart"/>
            <w:r>
              <w:t>likely this</w:t>
            </w:r>
            <w:proofErr w:type="gramEnd"/>
            <w:r>
              <w:t xml:space="preserve"> 28% includes people misclassified as asthma when they </w:t>
            </w:r>
            <w:proofErr w:type="gramStart"/>
            <w:r>
              <w:t>actually have</w:t>
            </w:r>
            <w:proofErr w:type="gramEnd"/>
            <w:r>
              <w:t xml:space="preserve"> COPD - a common issue in CPRD studies. There are no methods with this single reported % to check the validity of this statement.</w:t>
            </w:r>
          </w:p>
          <w:p w14:paraId="7443BE24" w14:textId="77777777" w:rsidR="009F1DB9" w:rsidRDefault="009F1DB9" w:rsidP="009F1DB9">
            <w:pPr>
              <w:pStyle w:val="Tabletext"/>
            </w:pPr>
          </w:p>
          <w:p w14:paraId="789DD070" w14:textId="65E2673B" w:rsidR="009F1DB9" w:rsidRPr="00215444" w:rsidRDefault="009F1DB9" w:rsidP="009F1DB9">
            <w:pPr>
              <w:pStyle w:val="Tabletext"/>
            </w:pPr>
            <w:r>
              <w:t>See the following list of studies showing a much lower % with exacerbations and SABA use: PMID: 30765507, PMID: 38071524, PMID: 29074814, PMID: 34669568, PMID: 31550948, PMID: 32720299, PMID: 34211281</w:t>
            </w:r>
          </w:p>
        </w:tc>
        <w:tc>
          <w:tcPr>
            <w:tcW w:w="6096" w:type="dxa"/>
          </w:tcPr>
          <w:p w14:paraId="038D3F95" w14:textId="77777777" w:rsidR="009F1DB9" w:rsidRDefault="009F1DB9" w:rsidP="009F1DB9">
            <w:pPr>
              <w:pStyle w:val="Tabletext"/>
            </w:pPr>
            <w:r w:rsidRPr="00DE4872">
              <w:lastRenderedPageBreak/>
              <w:t>Thank you for your comment.</w:t>
            </w:r>
          </w:p>
          <w:p w14:paraId="25A7A263" w14:textId="0AFCDEBC" w:rsidR="00D16B54" w:rsidRDefault="00426226" w:rsidP="00B54367">
            <w:pPr>
              <w:pStyle w:val="Tabletext"/>
            </w:pPr>
            <w:r>
              <w:t>The fi</w:t>
            </w:r>
            <w:r w:rsidR="006F1EA0">
              <w:t xml:space="preserve">gure of 28% </w:t>
            </w:r>
            <w:r w:rsidR="00CD587B">
              <w:t>originated from NICE testing in CPRD Aurum</w:t>
            </w:r>
            <w:r w:rsidR="00453C65">
              <w:t xml:space="preserve">, </w:t>
            </w:r>
            <w:r w:rsidR="00CD587B">
              <w:t xml:space="preserve">and </w:t>
            </w:r>
            <w:r w:rsidR="00E10607">
              <w:t xml:space="preserve">refers to </w:t>
            </w:r>
            <w:r w:rsidR="00FB230A">
              <w:t xml:space="preserve">patients aged 6 or over who are on the asthma register and </w:t>
            </w:r>
            <w:r w:rsidR="00B54367">
              <w:t xml:space="preserve">have at least one of the following </w:t>
            </w:r>
            <w:r w:rsidR="00D16B54">
              <w:t>risk factors</w:t>
            </w:r>
            <w:r w:rsidR="003F0783">
              <w:t xml:space="preserve"> </w:t>
            </w:r>
            <w:r w:rsidR="00E61B62">
              <w:t xml:space="preserve">(the figures in brackets are the % of patients with </w:t>
            </w:r>
            <w:r w:rsidR="00D16B54">
              <w:t xml:space="preserve">that </w:t>
            </w:r>
            <w:r w:rsidR="00D44D43">
              <w:t>individual</w:t>
            </w:r>
            <w:r w:rsidR="00D16B54">
              <w:t xml:space="preserve"> factor</w:t>
            </w:r>
            <w:r w:rsidR="002C632B">
              <w:t xml:space="preserve"> from CPRD testing</w:t>
            </w:r>
            <w:r w:rsidR="00D16B54">
              <w:t>)</w:t>
            </w:r>
            <w:r w:rsidR="00B54367">
              <w:t xml:space="preserve">: </w:t>
            </w:r>
          </w:p>
          <w:p w14:paraId="550FAA60" w14:textId="2D697500" w:rsidR="00D16B54" w:rsidRDefault="00B54367" w:rsidP="00D16B54">
            <w:pPr>
              <w:pStyle w:val="Tabletext"/>
              <w:numPr>
                <w:ilvl w:val="0"/>
                <w:numId w:val="26"/>
              </w:numPr>
            </w:pPr>
            <w:r>
              <w:t>6+</w:t>
            </w:r>
            <w:r w:rsidR="000277D3">
              <w:t xml:space="preserve"> </w:t>
            </w:r>
            <w:r>
              <w:t>SABAs/yr</w:t>
            </w:r>
            <w:r w:rsidR="00D16B54">
              <w:t xml:space="preserve"> (</w:t>
            </w:r>
            <w:r w:rsidR="0022777F">
              <w:t>22%)</w:t>
            </w:r>
          </w:p>
          <w:p w14:paraId="1110423A" w14:textId="41BA4CE7" w:rsidR="00D16B54" w:rsidRDefault="00B54367" w:rsidP="00D16B54">
            <w:pPr>
              <w:pStyle w:val="Tabletext"/>
              <w:numPr>
                <w:ilvl w:val="0"/>
                <w:numId w:val="26"/>
              </w:numPr>
            </w:pPr>
            <w:r>
              <w:t>2+</w:t>
            </w:r>
            <w:r w:rsidR="000277D3">
              <w:t xml:space="preserve"> </w:t>
            </w:r>
            <w:r>
              <w:t>OCS/yr</w:t>
            </w:r>
            <w:r w:rsidR="0022777F">
              <w:t xml:space="preserve"> (</w:t>
            </w:r>
            <w:r w:rsidR="00D44D43">
              <w:t>10</w:t>
            </w:r>
            <w:r w:rsidR="0022777F">
              <w:t>%)</w:t>
            </w:r>
          </w:p>
          <w:p w14:paraId="20641192" w14:textId="2C0A7D4D" w:rsidR="00D16B54" w:rsidRDefault="00B54367" w:rsidP="00D16B54">
            <w:pPr>
              <w:pStyle w:val="Tabletext"/>
              <w:numPr>
                <w:ilvl w:val="0"/>
                <w:numId w:val="26"/>
              </w:numPr>
            </w:pPr>
            <w:r>
              <w:t>2+ visits to an ED for asthma</w:t>
            </w:r>
            <w:r w:rsidR="0022777F">
              <w:t xml:space="preserve"> (0.9%)</w:t>
            </w:r>
          </w:p>
          <w:p w14:paraId="4DE19E4A" w14:textId="77777777" w:rsidR="00426226" w:rsidRDefault="00B54367" w:rsidP="00D16B54">
            <w:pPr>
              <w:pStyle w:val="Tabletext"/>
              <w:numPr>
                <w:ilvl w:val="0"/>
                <w:numId w:val="26"/>
              </w:numPr>
            </w:pPr>
            <w:r>
              <w:t>any hospital admission for asthma</w:t>
            </w:r>
            <w:r w:rsidR="0022777F">
              <w:t xml:space="preserve"> (</w:t>
            </w:r>
            <w:r w:rsidR="005378EA">
              <w:t>1.3%)</w:t>
            </w:r>
          </w:p>
          <w:p w14:paraId="5A457089" w14:textId="115E5659" w:rsidR="007F006B" w:rsidRDefault="007F006B" w:rsidP="006412A1">
            <w:pPr>
              <w:pStyle w:val="Tabletext"/>
            </w:pPr>
            <w:r>
              <w:t>SABA and OCS use are based on prescription data</w:t>
            </w:r>
            <w:r w:rsidR="00B37DD6">
              <w:t xml:space="preserve">. ED visits and hospitalisations </w:t>
            </w:r>
            <w:r w:rsidR="000277D3">
              <w:t>a</w:t>
            </w:r>
            <w:r w:rsidR="00B37DD6">
              <w:t>re base</w:t>
            </w:r>
            <w:r w:rsidR="004E2F9C">
              <w:t xml:space="preserve">d on </w:t>
            </w:r>
            <w:r w:rsidR="002F636F">
              <w:t xml:space="preserve">codes for </w:t>
            </w:r>
            <w:r w:rsidR="0046020B" w:rsidRPr="0046020B">
              <w:t>asthma</w:t>
            </w:r>
            <w:r w:rsidR="002F636F">
              <w:t>-</w:t>
            </w:r>
            <w:r w:rsidR="0046020B" w:rsidRPr="0046020B">
              <w:t>specific</w:t>
            </w:r>
            <w:r w:rsidR="0046020B">
              <w:t xml:space="preserve"> </w:t>
            </w:r>
            <w:r w:rsidR="007F0088">
              <w:t>ED visit/hospital admission</w:t>
            </w:r>
            <w:r w:rsidR="0046020B" w:rsidRPr="0046020B">
              <w:t xml:space="preserve">, or </w:t>
            </w:r>
            <w:r w:rsidR="007F0088">
              <w:t xml:space="preserve">codes for </w:t>
            </w:r>
            <w:r w:rsidR="0046020B" w:rsidRPr="0046020B">
              <w:t>generic</w:t>
            </w:r>
            <w:r w:rsidR="007F0088">
              <w:t xml:space="preserve"> ED visit/hospital admission accompanied by</w:t>
            </w:r>
            <w:r w:rsidR="0046020B" w:rsidRPr="0046020B">
              <w:t xml:space="preserve"> </w:t>
            </w:r>
            <w:r w:rsidR="007F0088">
              <w:t>a</w:t>
            </w:r>
            <w:r w:rsidR="0046020B" w:rsidRPr="0046020B">
              <w:t xml:space="preserve"> </w:t>
            </w:r>
            <w:r w:rsidR="007F0088">
              <w:t xml:space="preserve">code for </w:t>
            </w:r>
            <w:r w:rsidR="0046020B" w:rsidRPr="0046020B">
              <w:t>same-day asthma/</w:t>
            </w:r>
            <w:r w:rsidR="00995239">
              <w:t>lower-respiratory tract infection</w:t>
            </w:r>
            <w:r w:rsidR="0046020B" w:rsidRPr="0046020B">
              <w:t xml:space="preserve"> diagnosis</w:t>
            </w:r>
            <w:r w:rsidR="007F0088">
              <w:t>.</w:t>
            </w:r>
          </w:p>
          <w:p w14:paraId="67E126B9" w14:textId="4B1887CD" w:rsidR="005802ED" w:rsidRDefault="005378EA" w:rsidP="006412A1">
            <w:pPr>
              <w:pStyle w:val="Tabletext"/>
            </w:pPr>
            <w:r>
              <w:t xml:space="preserve">We have </w:t>
            </w:r>
            <w:r w:rsidR="00DA4EB5">
              <w:t xml:space="preserve">validated these individual figures </w:t>
            </w:r>
            <w:r w:rsidR="00995239">
              <w:t xml:space="preserve">from CPRD testing </w:t>
            </w:r>
            <w:r w:rsidR="00CD587B">
              <w:t xml:space="preserve">against external data sources and found them to be </w:t>
            </w:r>
            <w:r w:rsidR="00044A05">
              <w:t xml:space="preserve">comparable (all </w:t>
            </w:r>
            <w:r w:rsidR="006E1A4D">
              <w:t>CPRD</w:t>
            </w:r>
            <w:r w:rsidR="00044A05">
              <w:t xml:space="preserve"> values were lower than the external source</w:t>
            </w:r>
            <w:r w:rsidR="006412A1">
              <w:t xml:space="preserve"> – for example, there are known </w:t>
            </w:r>
            <w:r w:rsidR="00C2084C" w:rsidRPr="00C2084C">
              <w:t xml:space="preserve">shortcomings with the coding of ED visits and hospital admissions, and the </w:t>
            </w:r>
            <w:r w:rsidR="00C2084C" w:rsidRPr="00C2084C">
              <w:lastRenderedPageBreak/>
              <w:t xml:space="preserve">transmission of this data to </w:t>
            </w:r>
            <w:r w:rsidR="00D97F1C">
              <w:t>general practice</w:t>
            </w:r>
            <w:r w:rsidR="006412A1">
              <w:t>, leading to underestimates in CPRD).</w:t>
            </w:r>
          </w:p>
          <w:p w14:paraId="0824AA11" w14:textId="49BAFBB8" w:rsidR="006412A1" w:rsidRDefault="00E0769C" w:rsidP="006412A1">
            <w:pPr>
              <w:pStyle w:val="Tabletext"/>
            </w:pPr>
            <w:r>
              <w:t>We have</w:t>
            </w:r>
            <w:r w:rsidRPr="00E0769C">
              <w:t xml:space="preserve"> </w:t>
            </w:r>
            <w:r w:rsidR="00C346C9">
              <w:t>reviewed</w:t>
            </w:r>
            <w:r w:rsidR="00C346C9" w:rsidRPr="00E0769C">
              <w:t xml:space="preserve"> </w:t>
            </w:r>
            <w:r w:rsidRPr="00E0769C">
              <w:t xml:space="preserve">the papers </w:t>
            </w:r>
            <w:r w:rsidR="00453C65">
              <w:t xml:space="preserve">you </w:t>
            </w:r>
            <w:proofErr w:type="gramStart"/>
            <w:r w:rsidR="00453C65">
              <w:t xml:space="preserve">supplied, </w:t>
            </w:r>
            <w:r w:rsidRPr="00E0769C">
              <w:t>and</w:t>
            </w:r>
            <w:proofErr w:type="gramEnd"/>
            <w:r w:rsidRPr="00E0769C">
              <w:t xml:space="preserve"> did not find any of the data for SABA, OCS, ED visits, hospital </w:t>
            </w:r>
            <w:proofErr w:type="gramStart"/>
            <w:r w:rsidRPr="00E0769C">
              <w:t>admissions</w:t>
            </w:r>
            <w:proofErr w:type="gramEnd"/>
            <w:r w:rsidRPr="00E0769C">
              <w:t xml:space="preserve"> or exacerbations to significantly challenge the figures from the NICE CPRD testing (see Appendix A for analysis of the papers).</w:t>
            </w:r>
          </w:p>
        </w:tc>
      </w:tr>
      <w:tr w:rsidR="009F1DB9" w:rsidRPr="00215444" w14:paraId="3227EDA5" w14:textId="49944238" w:rsidTr="005A4609">
        <w:tc>
          <w:tcPr>
            <w:tcW w:w="562" w:type="dxa"/>
            <w:noWrap/>
          </w:tcPr>
          <w:p w14:paraId="45FB223B" w14:textId="3F92CA9C" w:rsidR="009F1DB9" w:rsidRDefault="009F1DB9" w:rsidP="009F1DB9">
            <w:pPr>
              <w:pStyle w:val="Tabletext"/>
            </w:pPr>
            <w:r>
              <w:lastRenderedPageBreak/>
              <w:t>14</w:t>
            </w:r>
          </w:p>
        </w:tc>
        <w:tc>
          <w:tcPr>
            <w:tcW w:w="1701" w:type="dxa"/>
          </w:tcPr>
          <w:p w14:paraId="4E5CFD1C" w14:textId="0B6DD983" w:rsidR="009F1DB9" w:rsidRPr="00215444" w:rsidRDefault="009F1DB9" w:rsidP="009F1DB9">
            <w:pPr>
              <w:pStyle w:val="Tabletext"/>
            </w:pPr>
            <w:r w:rsidRPr="00554F9E">
              <w:t>IND315</w:t>
            </w:r>
          </w:p>
        </w:tc>
        <w:tc>
          <w:tcPr>
            <w:tcW w:w="1560" w:type="dxa"/>
            <w:noWrap/>
          </w:tcPr>
          <w:p w14:paraId="6067068B" w14:textId="03451A93" w:rsidR="009F1DB9" w:rsidRPr="00215444" w:rsidRDefault="009F1DB9" w:rsidP="009F1DB9">
            <w:pPr>
              <w:pStyle w:val="Tabletext"/>
            </w:pPr>
            <w:r w:rsidRPr="00620B1D">
              <w:t>Primary Care Respiratory Society (PCRS)</w:t>
            </w:r>
          </w:p>
        </w:tc>
        <w:tc>
          <w:tcPr>
            <w:tcW w:w="4110" w:type="dxa"/>
          </w:tcPr>
          <w:p w14:paraId="6B72E77F" w14:textId="1D4F724B" w:rsidR="009F1DB9" w:rsidRPr="00215444" w:rsidRDefault="009F1DB9" w:rsidP="009F1DB9">
            <w:pPr>
              <w:pStyle w:val="Tabletext"/>
            </w:pPr>
            <w:r w:rsidRPr="007A335F">
              <w:t xml:space="preserve">Section 1.3: Why </w:t>
            </w:r>
            <w:proofErr w:type="gramStart"/>
            <w:r w:rsidRPr="007A335F">
              <w:t>were validated</w:t>
            </w:r>
            <w:proofErr w:type="gramEnd"/>
            <w:r w:rsidRPr="007A335F">
              <w:t xml:space="preserve"> asthma control questionnaires also not included?</w:t>
            </w:r>
          </w:p>
        </w:tc>
        <w:tc>
          <w:tcPr>
            <w:tcW w:w="6096" w:type="dxa"/>
          </w:tcPr>
          <w:p w14:paraId="7640F806" w14:textId="77777777" w:rsidR="009F1DB9" w:rsidRDefault="009F1DB9" w:rsidP="009F1DB9">
            <w:pPr>
              <w:pStyle w:val="Tabletext"/>
            </w:pPr>
            <w:r w:rsidRPr="004F5082">
              <w:t>Thank you for your comment.</w:t>
            </w:r>
          </w:p>
          <w:p w14:paraId="2DBA29B7" w14:textId="5EC3CC73" w:rsidR="0096663F" w:rsidRDefault="0096663F" w:rsidP="0096663F">
            <w:pPr>
              <w:pStyle w:val="Tabletext"/>
            </w:pPr>
            <w:r>
              <w:t>In the BTS/NICE/SIGN asthma guideline, recommendation 1.5.2 on using a validated symptom questionnaire (for example, the Asthma Control Questionnaire, the Asthma Control Test or the Childhood Asthma Control Test) at any asthma review</w:t>
            </w:r>
            <w:r w:rsidR="00A60EE4">
              <w:t xml:space="preserve"> is a </w:t>
            </w:r>
            <w:r w:rsidR="00A60EE4" w:rsidRPr="0006260D">
              <w:rPr>
                <w:u w:val="single"/>
              </w:rPr>
              <w:t>consider</w:t>
            </w:r>
            <w:r w:rsidR="00A60EE4">
              <w:t xml:space="preserve"> recommendation </w:t>
            </w:r>
            <w:r w:rsidR="0006260D">
              <w:t>and therefore has not been included in the indicator wording.</w:t>
            </w:r>
          </w:p>
          <w:p w14:paraId="57BD40E9" w14:textId="4F0BED62" w:rsidR="00B6480A" w:rsidRPr="007A335F" w:rsidRDefault="0006260D" w:rsidP="009F1DB9">
            <w:pPr>
              <w:pStyle w:val="Tabletext"/>
            </w:pPr>
            <w:r>
              <w:t>However, t</w:t>
            </w:r>
            <w:r w:rsidR="00775E14" w:rsidRPr="00775E14">
              <w:t>he rationale section of the annual review indicator has been updated to provide a description of the components that should be included in an annual review</w:t>
            </w:r>
            <w:r w:rsidR="000F1524">
              <w:t xml:space="preserve">, </w:t>
            </w:r>
            <w:r w:rsidR="00775E14" w:rsidRPr="00775E14">
              <w:t>including</w:t>
            </w:r>
            <w:r w:rsidR="000F1524">
              <w:t xml:space="preserve"> </w:t>
            </w:r>
            <w:r w:rsidR="00462505" w:rsidRPr="00462505">
              <w:t xml:space="preserve">assessing asthma control (which could be by </w:t>
            </w:r>
            <w:r w:rsidR="00462505" w:rsidRPr="00462505">
              <w:lastRenderedPageBreak/>
              <w:t>using a validated symptom questionnaire such as the Asthma Control Questionnaire, the Asthma Control Test or the Childhood Asthma Control Test)</w:t>
            </w:r>
            <w:r w:rsidR="00775E14" w:rsidRPr="00775E14">
              <w:t>.</w:t>
            </w:r>
          </w:p>
        </w:tc>
      </w:tr>
      <w:tr w:rsidR="009F1DB9" w:rsidRPr="00215444" w14:paraId="20DC23AC" w14:textId="1C6DC4A8" w:rsidTr="005A4609">
        <w:tc>
          <w:tcPr>
            <w:tcW w:w="562" w:type="dxa"/>
            <w:noWrap/>
          </w:tcPr>
          <w:p w14:paraId="0F07A7C7" w14:textId="59420880" w:rsidR="009F1DB9" w:rsidRDefault="009F1DB9" w:rsidP="009F1DB9">
            <w:pPr>
              <w:pStyle w:val="Tabletext"/>
            </w:pPr>
            <w:r>
              <w:lastRenderedPageBreak/>
              <w:t>15</w:t>
            </w:r>
          </w:p>
        </w:tc>
        <w:tc>
          <w:tcPr>
            <w:tcW w:w="1701" w:type="dxa"/>
          </w:tcPr>
          <w:p w14:paraId="33BC4706" w14:textId="3AC40CA7" w:rsidR="009F1DB9" w:rsidRPr="00215444" w:rsidRDefault="009F1DB9" w:rsidP="009F1DB9">
            <w:pPr>
              <w:pStyle w:val="Tabletext"/>
            </w:pPr>
            <w:r w:rsidRPr="00554F9E">
              <w:t>IND315</w:t>
            </w:r>
          </w:p>
        </w:tc>
        <w:tc>
          <w:tcPr>
            <w:tcW w:w="1560" w:type="dxa"/>
            <w:noWrap/>
          </w:tcPr>
          <w:p w14:paraId="58FD80D4" w14:textId="0D192996" w:rsidR="009F1DB9" w:rsidRPr="00215444" w:rsidRDefault="009F1DB9" w:rsidP="009F1DB9">
            <w:pPr>
              <w:pStyle w:val="Tabletext"/>
            </w:pPr>
            <w:r w:rsidRPr="00620B1D">
              <w:t>Primary Care Respiratory Society (PCRS)</w:t>
            </w:r>
          </w:p>
        </w:tc>
        <w:tc>
          <w:tcPr>
            <w:tcW w:w="4110" w:type="dxa"/>
          </w:tcPr>
          <w:p w14:paraId="10442214" w14:textId="0BE06C2F" w:rsidR="009F1DB9" w:rsidRPr="00215444" w:rsidRDefault="009F1DB9" w:rsidP="009F1DB9">
            <w:pPr>
              <w:pStyle w:val="Tabletext"/>
            </w:pPr>
            <w:r w:rsidRPr="007A335F">
              <w:t xml:space="preserve">Section 1.7 (paragraph 1): People residing in more deprived backgrounds are less likely to receive reviews. Even if sent </w:t>
            </w:r>
            <w:proofErr w:type="gramStart"/>
            <w:r w:rsidRPr="007A335F">
              <w:t>3</w:t>
            </w:r>
            <w:proofErr w:type="gramEnd"/>
            <w:r w:rsidRPr="007A335F">
              <w:t xml:space="preserve"> texts as reminders. Difficulty in ensuring those most needing them, attend them.</w:t>
            </w:r>
          </w:p>
        </w:tc>
        <w:tc>
          <w:tcPr>
            <w:tcW w:w="6096" w:type="dxa"/>
          </w:tcPr>
          <w:p w14:paraId="3EFD666D" w14:textId="77777777" w:rsidR="009F1DB9" w:rsidRDefault="009F1DB9" w:rsidP="009F1DB9">
            <w:pPr>
              <w:pStyle w:val="Tabletext"/>
            </w:pPr>
            <w:r w:rsidRPr="004F5082">
              <w:t>Thank you for your comment.</w:t>
            </w:r>
          </w:p>
          <w:p w14:paraId="3A1E1269" w14:textId="7D4C44C6" w:rsidR="009622C1" w:rsidRPr="007A335F" w:rsidRDefault="00C346C9" w:rsidP="009F1DB9">
            <w:pPr>
              <w:pStyle w:val="Tabletext"/>
            </w:pPr>
            <w:r>
              <w:t>The committee noted that d</w:t>
            </w:r>
            <w:r w:rsidR="009E681E" w:rsidRPr="009E681E">
              <w:t xml:space="preserve">eprived </w:t>
            </w:r>
            <w:r>
              <w:t>populations</w:t>
            </w:r>
            <w:r w:rsidRPr="009E681E">
              <w:t xml:space="preserve"> </w:t>
            </w:r>
            <w:r w:rsidR="009E681E" w:rsidRPr="009E681E">
              <w:t>are at</w:t>
            </w:r>
            <w:r w:rsidR="009E681E">
              <w:t xml:space="preserve"> greater</w:t>
            </w:r>
            <w:r w:rsidR="009E681E" w:rsidRPr="009E681E">
              <w:t xml:space="preserve"> risk of </w:t>
            </w:r>
            <w:r w:rsidR="009622C1">
              <w:t xml:space="preserve">uncontrolled asthma and </w:t>
            </w:r>
            <w:r w:rsidR="009E681E" w:rsidRPr="009E681E">
              <w:t>poor</w:t>
            </w:r>
            <w:r w:rsidR="009622C1">
              <w:t>er</w:t>
            </w:r>
            <w:r w:rsidR="009E681E" w:rsidRPr="009E681E">
              <w:t xml:space="preserve"> outcomes</w:t>
            </w:r>
            <w:r w:rsidR="009622C1">
              <w:t>.</w:t>
            </w:r>
            <w:r w:rsidR="009E681E" w:rsidRPr="009E681E">
              <w:t xml:space="preserve"> </w:t>
            </w:r>
            <w:r>
              <w:t xml:space="preserve">It </w:t>
            </w:r>
            <w:proofErr w:type="gramStart"/>
            <w:r>
              <w:t>is hoped</w:t>
            </w:r>
            <w:proofErr w:type="gramEnd"/>
            <w:r>
              <w:t xml:space="preserve"> that the new indicators will help focus on </w:t>
            </w:r>
            <w:r w:rsidR="009622C1" w:rsidRPr="009622C1">
              <w:t>patients showing signs of more uncontrolled asthma</w:t>
            </w:r>
            <w:r>
              <w:t xml:space="preserve"> and</w:t>
            </w:r>
            <w:r w:rsidR="009622C1" w:rsidRPr="009622C1">
              <w:t xml:space="preserve"> encourage the delivery of annual reviews </w:t>
            </w:r>
            <w:r>
              <w:t>for</w:t>
            </w:r>
            <w:r w:rsidRPr="009622C1">
              <w:t xml:space="preserve"> </w:t>
            </w:r>
            <w:r w:rsidR="009622C1" w:rsidRPr="009622C1">
              <w:t>those patients at higher risk of poor outcomes, who may have not previously been in receipt of regular review</w:t>
            </w:r>
            <w:r w:rsidR="00A475A1">
              <w:t>.</w:t>
            </w:r>
          </w:p>
        </w:tc>
      </w:tr>
      <w:tr w:rsidR="009F1DB9" w:rsidRPr="00215444" w14:paraId="2685C700" w14:textId="1B966C77" w:rsidTr="005A4609">
        <w:tc>
          <w:tcPr>
            <w:tcW w:w="562" w:type="dxa"/>
            <w:noWrap/>
          </w:tcPr>
          <w:p w14:paraId="53CF4246" w14:textId="569C03F4" w:rsidR="009F1DB9" w:rsidRDefault="009F1DB9" w:rsidP="009F1DB9">
            <w:pPr>
              <w:pStyle w:val="Tabletext"/>
            </w:pPr>
            <w:r>
              <w:t>16</w:t>
            </w:r>
          </w:p>
        </w:tc>
        <w:tc>
          <w:tcPr>
            <w:tcW w:w="1701" w:type="dxa"/>
          </w:tcPr>
          <w:p w14:paraId="512E5610" w14:textId="69C151DB" w:rsidR="009F1DB9" w:rsidRPr="00215444" w:rsidRDefault="009F1DB9" w:rsidP="009F1DB9">
            <w:pPr>
              <w:pStyle w:val="Tabletext"/>
            </w:pPr>
            <w:r w:rsidRPr="00554F9E">
              <w:t>IND315</w:t>
            </w:r>
          </w:p>
        </w:tc>
        <w:tc>
          <w:tcPr>
            <w:tcW w:w="1560" w:type="dxa"/>
            <w:noWrap/>
          </w:tcPr>
          <w:p w14:paraId="79A88D75" w14:textId="195D0B1B" w:rsidR="009F1DB9" w:rsidRPr="00215444" w:rsidRDefault="009F1DB9" w:rsidP="009F1DB9">
            <w:pPr>
              <w:pStyle w:val="Tabletext"/>
            </w:pPr>
            <w:r w:rsidRPr="00620B1D">
              <w:t>Primary Care Respiratory Society (PCRS)</w:t>
            </w:r>
          </w:p>
        </w:tc>
        <w:tc>
          <w:tcPr>
            <w:tcW w:w="4110" w:type="dxa"/>
          </w:tcPr>
          <w:p w14:paraId="5247C60D" w14:textId="3BA2FEBF" w:rsidR="009F1DB9" w:rsidRPr="00215444" w:rsidRDefault="009F1DB9" w:rsidP="009F1DB9">
            <w:pPr>
              <w:pStyle w:val="Tabletext"/>
            </w:pPr>
            <w:r w:rsidRPr="007A335F">
              <w:t>Section 1.7 (paragraph 2: If allowing 6+ marker, miss out people overusing SABA and opportunity to introduce them to MART.</w:t>
            </w:r>
          </w:p>
        </w:tc>
        <w:tc>
          <w:tcPr>
            <w:tcW w:w="6096" w:type="dxa"/>
          </w:tcPr>
          <w:p w14:paraId="0417D3D1" w14:textId="77777777" w:rsidR="009F1DB9" w:rsidRDefault="009F1DB9" w:rsidP="009F1DB9">
            <w:pPr>
              <w:pStyle w:val="Tabletext"/>
            </w:pPr>
            <w:r w:rsidRPr="004F5082">
              <w:t>Thank you for your comment.</w:t>
            </w:r>
          </w:p>
          <w:p w14:paraId="74CBCC7F" w14:textId="3D551FF5" w:rsidR="009F4FB8" w:rsidRPr="00D03D08" w:rsidRDefault="006D2257" w:rsidP="009F1DB9">
            <w:pPr>
              <w:pStyle w:val="Tabletext"/>
              <w:rPr>
                <w:highlight w:val="yellow"/>
              </w:rPr>
            </w:pPr>
            <w:r w:rsidRPr="006D2257">
              <w:t xml:space="preserve">We recognise that the BTS/NICE/SIGN asthma guideline defines over-use of SABA inhalers as more than </w:t>
            </w:r>
            <w:proofErr w:type="gramStart"/>
            <w:r w:rsidRPr="006D2257">
              <w:t>2</w:t>
            </w:r>
            <w:proofErr w:type="gramEnd"/>
            <w:r w:rsidRPr="006D2257">
              <w:t xml:space="preserve"> inhalers per year. However, the committee agreed that using 6 or more SABAs was a pragmatic approach to identify a higher risk population given that testing in Clinical Practice Research Datalink (CPRD) Aurum found that 45% of people aged 6 or over with asthma on the register were prescribed more than 2 SABAs per year. When other risk factors </w:t>
            </w:r>
            <w:proofErr w:type="gramStart"/>
            <w:r w:rsidRPr="006D2257">
              <w:t>are added</w:t>
            </w:r>
            <w:proofErr w:type="gramEnd"/>
            <w:r w:rsidRPr="006D2257">
              <w:t xml:space="preserve"> to this, it </w:t>
            </w:r>
            <w:proofErr w:type="gramStart"/>
            <w:r w:rsidRPr="006D2257">
              <w:t>was thought</w:t>
            </w:r>
            <w:proofErr w:type="gramEnd"/>
            <w:r w:rsidRPr="006D2257">
              <w:t xml:space="preserve"> to identify too high a proportion of asthma patients to be </w:t>
            </w:r>
            <w:proofErr w:type="gramStart"/>
            <w:r w:rsidRPr="006D2257">
              <w:t>substantially different</w:t>
            </w:r>
            <w:proofErr w:type="gramEnd"/>
            <w:r w:rsidRPr="006D2257">
              <w:t xml:space="preserve"> to existing indicator IND273. The committee agree that everyone who is at risk of overusing SABA deserves appropriate care and support. The BTS/NICE/SIGN guideline recommends that patients aged </w:t>
            </w:r>
            <w:proofErr w:type="gramStart"/>
            <w:r w:rsidRPr="006D2257">
              <w:t>12</w:t>
            </w:r>
            <w:proofErr w:type="gramEnd"/>
            <w:r w:rsidRPr="006D2257">
              <w:t xml:space="preserve"> and over </w:t>
            </w:r>
            <w:proofErr w:type="gramStart"/>
            <w:r w:rsidRPr="006D2257">
              <w:t>are offered</w:t>
            </w:r>
            <w:proofErr w:type="gramEnd"/>
            <w:r w:rsidRPr="006D2257">
              <w:t xml:space="preserve"> SABA-free combination regimens such as anti-inflammatory reliever (AIR) therapy or </w:t>
            </w:r>
            <w:proofErr w:type="gramStart"/>
            <w:r w:rsidRPr="006D2257">
              <w:t>MART, or</w:t>
            </w:r>
            <w:proofErr w:type="gramEnd"/>
            <w:r w:rsidRPr="006D2257">
              <w:t xml:space="preserve"> switched away from SABA-</w:t>
            </w:r>
            <w:r w:rsidRPr="006D2257">
              <w:lastRenderedPageBreak/>
              <w:t xml:space="preserve">containing regimens in treatment pathways from previous guidelines. The guideline also states do not prescribe SABAs to people of any age with asthma without a concomitant prescription of an ICS. Healthcare professionals </w:t>
            </w:r>
            <w:proofErr w:type="gramStart"/>
            <w:r w:rsidRPr="006D2257">
              <w:t>are encouraged</w:t>
            </w:r>
            <w:proofErr w:type="gramEnd"/>
            <w:r w:rsidRPr="006D2257">
              <w:t xml:space="preserve"> to follow these recommendations. The new indicators are complementary to NICE indicator IND273 on annual review for all patients, which includes checking medicines adherence and assessing asthma control, and which will continue alongside the new indicators.</w:t>
            </w:r>
          </w:p>
        </w:tc>
      </w:tr>
      <w:tr w:rsidR="009F1DB9" w:rsidRPr="00215444" w14:paraId="7AA138AC" w14:textId="440ACFF7" w:rsidTr="005A4609">
        <w:tc>
          <w:tcPr>
            <w:tcW w:w="562" w:type="dxa"/>
            <w:noWrap/>
          </w:tcPr>
          <w:p w14:paraId="75302283" w14:textId="3CF743B1" w:rsidR="009F1DB9" w:rsidRDefault="009F1DB9" w:rsidP="009F1DB9">
            <w:pPr>
              <w:pStyle w:val="Tabletext"/>
            </w:pPr>
            <w:r>
              <w:lastRenderedPageBreak/>
              <w:t>17</w:t>
            </w:r>
          </w:p>
        </w:tc>
        <w:tc>
          <w:tcPr>
            <w:tcW w:w="1701" w:type="dxa"/>
          </w:tcPr>
          <w:p w14:paraId="52A901C9" w14:textId="76CF8301" w:rsidR="009F1DB9" w:rsidRPr="00215444" w:rsidRDefault="009F1DB9" w:rsidP="009F1DB9">
            <w:pPr>
              <w:pStyle w:val="Tabletext"/>
            </w:pPr>
            <w:r w:rsidRPr="00554F9E">
              <w:t>IND315</w:t>
            </w:r>
          </w:p>
        </w:tc>
        <w:tc>
          <w:tcPr>
            <w:tcW w:w="1560" w:type="dxa"/>
            <w:noWrap/>
          </w:tcPr>
          <w:p w14:paraId="38B66226" w14:textId="217FCA57" w:rsidR="009F1DB9" w:rsidRPr="00215444" w:rsidRDefault="009F1DB9" w:rsidP="009F1DB9">
            <w:pPr>
              <w:pStyle w:val="Tabletext"/>
            </w:pPr>
            <w:r w:rsidRPr="00620B1D">
              <w:t>Primary Care Respiratory Society (PCRS)</w:t>
            </w:r>
          </w:p>
        </w:tc>
        <w:tc>
          <w:tcPr>
            <w:tcW w:w="4110" w:type="dxa"/>
          </w:tcPr>
          <w:p w14:paraId="18CBF59A" w14:textId="77777777" w:rsidR="009F1DB9" w:rsidRDefault="009F1DB9" w:rsidP="009F1DB9">
            <w:pPr>
              <w:pStyle w:val="Tabletext"/>
            </w:pPr>
            <w:r w:rsidRPr="007A335F">
              <w:t xml:space="preserve">Section 1.7 (paragraph 3): </w:t>
            </w:r>
            <w:r w:rsidRPr="009817F3">
              <w:t xml:space="preserve">This question is not possible to answer without seeing the data. When NICE looked at CPRD, did they not look at this? </w:t>
            </w:r>
            <w:proofErr w:type="gramStart"/>
            <w:r w:rsidRPr="009817F3">
              <w:t>Some</w:t>
            </w:r>
            <w:proofErr w:type="gramEnd"/>
            <w:r w:rsidRPr="009817F3">
              <w:t xml:space="preserve"> data such as age and gender are </w:t>
            </w:r>
            <w:proofErr w:type="gramStart"/>
            <w:r w:rsidRPr="009817F3">
              <w:t>very easy</w:t>
            </w:r>
            <w:proofErr w:type="gramEnd"/>
            <w:r w:rsidRPr="009817F3">
              <w:t xml:space="preserve"> to see in CPRD and could have compared.</w:t>
            </w:r>
            <w:r w:rsidRPr="007A335F">
              <w:t xml:space="preserve"> </w:t>
            </w:r>
          </w:p>
          <w:p w14:paraId="1EDE3B12" w14:textId="77777777" w:rsidR="009F1DB9" w:rsidRDefault="009F1DB9" w:rsidP="009F1DB9">
            <w:pPr>
              <w:pStyle w:val="Tabletext"/>
            </w:pPr>
          </w:p>
          <w:p w14:paraId="03EA9172" w14:textId="77777777" w:rsidR="009F1DB9" w:rsidRDefault="009F1DB9" w:rsidP="009F1DB9">
            <w:pPr>
              <w:pStyle w:val="Tabletext"/>
            </w:pPr>
            <w:r w:rsidRPr="00064BE2">
              <w:t>For children, younger ones</w:t>
            </w:r>
            <w:r>
              <w:t xml:space="preserve"> and those residing in areas of lower socioeconomic status are less likely to receive an annual asthma review (PMID: 39515516, Figure 4).</w:t>
            </w:r>
          </w:p>
          <w:p w14:paraId="47E01562" w14:textId="58DA827A" w:rsidR="009F1DB9" w:rsidRPr="00215444" w:rsidRDefault="009F1DB9" w:rsidP="009F1DB9">
            <w:pPr>
              <w:pStyle w:val="Tabletext"/>
            </w:pPr>
            <w:r>
              <w:t>Whereas those children with higher SABA use were already more likely to receive an asthma review. But those with a recent asthma attack were not.</w:t>
            </w:r>
          </w:p>
        </w:tc>
        <w:tc>
          <w:tcPr>
            <w:tcW w:w="6096" w:type="dxa"/>
          </w:tcPr>
          <w:p w14:paraId="0AC727A9" w14:textId="77777777" w:rsidR="009F1DB9" w:rsidRDefault="009F1DB9" w:rsidP="009F1DB9">
            <w:pPr>
              <w:pStyle w:val="Tabletext"/>
            </w:pPr>
            <w:r w:rsidRPr="004F5082">
              <w:t>Thank you for your comment.</w:t>
            </w:r>
          </w:p>
          <w:p w14:paraId="7A29C253" w14:textId="30B335A2" w:rsidR="0030208F" w:rsidRDefault="00C050DD" w:rsidP="009F1DB9">
            <w:pPr>
              <w:pStyle w:val="Tabletext"/>
            </w:pPr>
            <w:r>
              <w:t>P</w:t>
            </w:r>
            <w:r w:rsidR="00E80470" w:rsidRPr="00E80470">
              <w:t xml:space="preserve">eople in lower socioeconomic groups have higher rates of uncontrolled asthma and poorer outcomes. The new indicator will </w:t>
            </w:r>
            <w:r w:rsidR="000F032F">
              <w:t xml:space="preserve">encourage the </w:t>
            </w:r>
            <w:r w:rsidR="00E80470" w:rsidRPr="00E80470">
              <w:t>deliver</w:t>
            </w:r>
            <w:r w:rsidR="000F032F">
              <w:t>y of</w:t>
            </w:r>
            <w:r w:rsidR="00E80470" w:rsidRPr="00E80470">
              <w:t xml:space="preserve"> annual reviews to patients at higher risk of poor outcomes – which could include any children</w:t>
            </w:r>
            <w:r w:rsidR="00B51E4B">
              <w:t>,</w:t>
            </w:r>
            <w:r w:rsidR="00E80470" w:rsidRPr="00E80470">
              <w:t xml:space="preserve"> or people with lower socioeconomic status</w:t>
            </w:r>
            <w:r w:rsidR="00B51E4B">
              <w:t>,</w:t>
            </w:r>
            <w:r w:rsidR="00E80470" w:rsidRPr="00E80470">
              <w:t xml:space="preserve"> who have not previously been in receipt of regular review and who have risk factors for poor outcomes.</w:t>
            </w:r>
            <w:r w:rsidR="00064BE2">
              <w:t xml:space="preserve"> The </w:t>
            </w:r>
            <w:r w:rsidR="00064BE2" w:rsidRPr="00064BE2">
              <w:t xml:space="preserve">new indicator will sit alongside the existing annual review indicator (IND273) which will </w:t>
            </w:r>
            <w:proofErr w:type="gramStart"/>
            <w:r w:rsidR="00064BE2" w:rsidRPr="00064BE2">
              <w:t>continue on</w:t>
            </w:r>
            <w:proofErr w:type="gramEnd"/>
            <w:r w:rsidR="00064BE2" w:rsidRPr="00064BE2">
              <w:t xml:space="preserve"> the NICE menu</w:t>
            </w:r>
            <w:r w:rsidR="00064BE2">
              <w:t xml:space="preserve"> for those not defined as higher risk.</w:t>
            </w:r>
          </w:p>
          <w:p w14:paraId="6DD90B9F" w14:textId="10D1B062" w:rsidR="00BF3B03" w:rsidRPr="007A335F" w:rsidRDefault="00D4783E" w:rsidP="00B81209">
            <w:pPr>
              <w:pStyle w:val="Tabletext"/>
            </w:pPr>
            <w:r>
              <w:t xml:space="preserve">In the indicator, higher risk </w:t>
            </w:r>
            <w:proofErr w:type="gramStart"/>
            <w:r>
              <w:t>is defi</w:t>
            </w:r>
            <w:r w:rsidR="00B81209">
              <w:t>ned</w:t>
            </w:r>
            <w:proofErr w:type="gramEnd"/>
            <w:r w:rsidR="00B81209">
              <w:t xml:space="preserve"> as 6+ SABAs/yr, or 2+ OCS/yr, or 2+ visits to an ED for asthma, or any hospital admission for asthma.</w:t>
            </w:r>
            <w:r w:rsidR="00040564">
              <w:t xml:space="preserve"> Therefore</w:t>
            </w:r>
            <w:r w:rsidR="00064BE2">
              <w:t xml:space="preserve">, as well as </w:t>
            </w:r>
            <w:r w:rsidR="00040564">
              <w:t xml:space="preserve">children with </w:t>
            </w:r>
            <w:r w:rsidR="00AE18FB">
              <w:t xml:space="preserve">high SABA use, those who have had a recent </w:t>
            </w:r>
            <w:r w:rsidR="00064BE2">
              <w:t xml:space="preserve">more severe </w:t>
            </w:r>
            <w:r w:rsidR="00AE18FB">
              <w:t>asthma attack</w:t>
            </w:r>
            <w:r w:rsidR="00064BE2">
              <w:t xml:space="preserve"> (and may therefore have received OCS or hospital treatment)</w:t>
            </w:r>
            <w:r w:rsidR="00AE18FB">
              <w:t xml:space="preserve">, are all likely to be covered by the </w:t>
            </w:r>
            <w:r w:rsidR="00AE18FB">
              <w:lastRenderedPageBreak/>
              <w:t>indicator</w:t>
            </w:r>
            <w:r w:rsidR="00294EC2">
              <w:t xml:space="preserve"> with the intention that all higher-risk children, young people and adults</w:t>
            </w:r>
            <w:r w:rsidR="00A8293B">
              <w:t xml:space="preserve"> will be a priority for annual review.</w:t>
            </w:r>
          </w:p>
        </w:tc>
      </w:tr>
      <w:tr w:rsidR="009F1DB9" w:rsidRPr="00215444" w14:paraId="2DBFE82E" w14:textId="3705F112" w:rsidTr="005A4609">
        <w:tc>
          <w:tcPr>
            <w:tcW w:w="562" w:type="dxa"/>
            <w:noWrap/>
          </w:tcPr>
          <w:p w14:paraId="056EE3D8" w14:textId="39AD8111" w:rsidR="009F1DB9" w:rsidRDefault="009F1DB9" w:rsidP="009F1DB9">
            <w:pPr>
              <w:pStyle w:val="Tabletext"/>
            </w:pPr>
            <w:r>
              <w:lastRenderedPageBreak/>
              <w:t>18</w:t>
            </w:r>
          </w:p>
        </w:tc>
        <w:tc>
          <w:tcPr>
            <w:tcW w:w="1701" w:type="dxa"/>
          </w:tcPr>
          <w:p w14:paraId="0A279AA2" w14:textId="5D0A73BD" w:rsidR="009F1DB9" w:rsidRPr="00215444" w:rsidRDefault="009F1DB9" w:rsidP="009F1DB9">
            <w:pPr>
              <w:pStyle w:val="Tabletext"/>
            </w:pPr>
            <w:r w:rsidRPr="00FB464A">
              <w:t>IND315</w:t>
            </w:r>
          </w:p>
        </w:tc>
        <w:tc>
          <w:tcPr>
            <w:tcW w:w="1560" w:type="dxa"/>
            <w:noWrap/>
          </w:tcPr>
          <w:p w14:paraId="2C63DF11" w14:textId="3E823765" w:rsidR="009F1DB9" w:rsidRPr="00215444" w:rsidRDefault="009F1DB9" w:rsidP="009F1DB9">
            <w:pPr>
              <w:pStyle w:val="Tabletext"/>
            </w:pPr>
            <w:r w:rsidRPr="00620B1D">
              <w:t>Primary Care Respiratory Society (PCRS)</w:t>
            </w:r>
          </w:p>
        </w:tc>
        <w:tc>
          <w:tcPr>
            <w:tcW w:w="4110" w:type="dxa"/>
          </w:tcPr>
          <w:p w14:paraId="0E715B15" w14:textId="547C0821" w:rsidR="009F1DB9" w:rsidRPr="00215444" w:rsidRDefault="009F1DB9" w:rsidP="009F1DB9">
            <w:pPr>
              <w:pStyle w:val="Tabletext"/>
            </w:pPr>
            <w:r w:rsidRPr="009C5631">
              <w:t xml:space="preserve">Section 1.7 (paragraph 4): </w:t>
            </w:r>
            <w:proofErr w:type="gramStart"/>
            <w:r w:rsidRPr="009C5631">
              <w:t>Very important</w:t>
            </w:r>
            <w:proofErr w:type="gramEnd"/>
            <w:r w:rsidRPr="009C5631">
              <w:t xml:space="preserve"> that these reviews </w:t>
            </w:r>
            <w:proofErr w:type="gramStart"/>
            <w:r w:rsidRPr="009C5631">
              <w:t>are conducted</w:t>
            </w:r>
            <w:proofErr w:type="gramEnd"/>
            <w:r w:rsidRPr="009C5631">
              <w:t xml:space="preserve"> face to face</w:t>
            </w:r>
          </w:p>
        </w:tc>
        <w:tc>
          <w:tcPr>
            <w:tcW w:w="6096" w:type="dxa"/>
          </w:tcPr>
          <w:p w14:paraId="2A9E63F8" w14:textId="77777777" w:rsidR="00173B09" w:rsidRDefault="009F1DB9" w:rsidP="009F1DB9">
            <w:pPr>
              <w:pStyle w:val="Tabletext"/>
            </w:pPr>
            <w:r w:rsidRPr="00CD31DB">
              <w:t xml:space="preserve">Thank you for your </w:t>
            </w:r>
            <w:r w:rsidR="00040564">
              <w:t>comment.</w:t>
            </w:r>
          </w:p>
          <w:p w14:paraId="79FE0D89" w14:textId="30EC8C5C" w:rsidR="00EE63A2" w:rsidRPr="009C5631" w:rsidRDefault="00EE63A2" w:rsidP="009F1DB9">
            <w:pPr>
              <w:pStyle w:val="Tabletext"/>
            </w:pPr>
            <w:r w:rsidRPr="00EE63A2">
              <w:t xml:space="preserve">It would </w:t>
            </w:r>
            <w:r>
              <w:t>not be appropriate</w:t>
            </w:r>
            <w:r w:rsidRPr="00EE63A2">
              <w:t xml:space="preserve"> to rule out virtual consultations for</w:t>
            </w:r>
            <w:r w:rsidR="00983FD1">
              <w:t xml:space="preserve"> patients who prefer it.</w:t>
            </w:r>
            <w:r w:rsidR="000408BF">
              <w:t xml:space="preserve"> </w:t>
            </w:r>
            <w:r w:rsidR="000408BF" w:rsidRPr="000408BF">
              <w:t xml:space="preserve">Asthma + Lung UK </w:t>
            </w:r>
            <w:r w:rsidR="004C3271">
              <w:t>consider a</w:t>
            </w:r>
            <w:r w:rsidR="000408BF" w:rsidRPr="000408BF">
              <w:t xml:space="preserve">sthma reviews done remotely </w:t>
            </w:r>
            <w:r w:rsidR="004C3271">
              <w:t xml:space="preserve">to be </w:t>
            </w:r>
            <w:proofErr w:type="gramStart"/>
            <w:r w:rsidR="000408BF" w:rsidRPr="000408BF">
              <w:t>safe</w:t>
            </w:r>
            <w:r w:rsidR="004C3271">
              <w:t>, but</w:t>
            </w:r>
            <w:proofErr w:type="gramEnd"/>
            <w:r w:rsidR="004C3271">
              <w:t xml:space="preserve"> </w:t>
            </w:r>
            <w:r w:rsidR="00020283">
              <w:t xml:space="preserve">note that </w:t>
            </w:r>
            <w:r w:rsidR="009B61CF">
              <w:t xml:space="preserve">patients </w:t>
            </w:r>
            <w:r w:rsidR="000408BF" w:rsidRPr="000408BF">
              <w:t xml:space="preserve">struggling with inhaler technique or staying on top of symptoms </w:t>
            </w:r>
            <w:r w:rsidR="009B61CF">
              <w:t xml:space="preserve">should </w:t>
            </w:r>
            <w:r w:rsidR="000408BF" w:rsidRPr="000408BF">
              <w:t xml:space="preserve">ask for a </w:t>
            </w:r>
            <w:proofErr w:type="gramStart"/>
            <w:r w:rsidR="000408BF" w:rsidRPr="000408BF">
              <w:t>face to face</w:t>
            </w:r>
            <w:proofErr w:type="gramEnd"/>
            <w:r w:rsidR="000408BF" w:rsidRPr="000408BF">
              <w:t xml:space="preserve"> appointment.</w:t>
            </w:r>
          </w:p>
        </w:tc>
      </w:tr>
      <w:tr w:rsidR="009F1DB9" w:rsidRPr="00215444" w14:paraId="0C39ECE9" w14:textId="29D10276" w:rsidTr="005A4609">
        <w:tc>
          <w:tcPr>
            <w:tcW w:w="562" w:type="dxa"/>
            <w:noWrap/>
          </w:tcPr>
          <w:p w14:paraId="363B055A" w14:textId="5A043954" w:rsidR="009F1DB9" w:rsidRDefault="009F1DB9" w:rsidP="009F1DB9">
            <w:pPr>
              <w:pStyle w:val="Tabletext"/>
            </w:pPr>
            <w:r>
              <w:t>19</w:t>
            </w:r>
          </w:p>
        </w:tc>
        <w:tc>
          <w:tcPr>
            <w:tcW w:w="1701" w:type="dxa"/>
          </w:tcPr>
          <w:p w14:paraId="114922F8" w14:textId="29F701CC" w:rsidR="009F1DB9" w:rsidRPr="00215444" w:rsidRDefault="009F1DB9" w:rsidP="009F1DB9">
            <w:pPr>
              <w:pStyle w:val="Tabletext"/>
            </w:pPr>
            <w:r w:rsidRPr="00FB464A">
              <w:t>IND315</w:t>
            </w:r>
          </w:p>
        </w:tc>
        <w:tc>
          <w:tcPr>
            <w:tcW w:w="1560" w:type="dxa"/>
            <w:noWrap/>
          </w:tcPr>
          <w:p w14:paraId="3DCF2C55" w14:textId="24940056" w:rsidR="009F1DB9" w:rsidRPr="00215444" w:rsidRDefault="009F1DB9" w:rsidP="009F1DB9">
            <w:pPr>
              <w:pStyle w:val="Tabletext"/>
            </w:pPr>
            <w:r w:rsidRPr="00620B1D">
              <w:t>Primary Care Respiratory Society (PCRS)</w:t>
            </w:r>
          </w:p>
        </w:tc>
        <w:tc>
          <w:tcPr>
            <w:tcW w:w="4110" w:type="dxa"/>
          </w:tcPr>
          <w:p w14:paraId="629E8E9F" w14:textId="47ED8286" w:rsidR="009F1DB9" w:rsidRDefault="009F1DB9" w:rsidP="009F1DB9">
            <w:pPr>
              <w:pStyle w:val="Tabletext"/>
            </w:pPr>
            <w:r>
              <w:t>Section 1.7 (paragraph 5): The use of 6 or more SABA is too high. This equates to 3-4 puffs per day. Based on published data this is around 15%.</w:t>
            </w:r>
          </w:p>
          <w:p w14:paraId="77D25E1F" w14:textId="77777777" w:rsidR="009F1DB9" w:rsidRDefault="009F1DB9" w:rsidP="009F1DB9">
            <w:pPr>
              <w:pStyle w:val="Tabletext"/>
            </w:pPr>
          </w:p>
          <w:p w14:paraId="5C71CED6" w14:textId="77777777" w:rsidR="009F1DB9" w:rsidRDefault="009F1DB9" w:rsidP="009F1DB9">
            <w:pPr>
              <w:pStyle w:val="Tabletext"/>
            </w:pPr>
            <w:r>
              <w:t xml:space="preserve">4+ is more pragmatic. But that is still around </w:t>
            </w:r>
            <w:proofErr w:type="gramStart"/>
            <w:r>
              <w:t>2</w:t>
            </w:r>
            <w:proofErr w:type="gramEnd"/>
            <w:r>
              <w:t xml:space="preserve"> puffs per day - indicating a high asthma symptom burden OR unclear education on SABA use.</w:t>
            </w:r>
          </w:p>
          <w:p w14:paraId="1518C016" w14:textId="77777777" w:rsidR="009F1DB9" w:rsidRDefault="009F1DB9" w:rsidP="009F1DB9">
            <w:pPr>
              <w:pStyle w:val="Tabletext"/>
            </w:pPr>
          </w:p>
          <w:p w14:paraId="718DC562" w14:textId="77777777" w:rsidR="009F1DB9" w:rsidRDefault="009F1DB9" w:rsidP="009F1DB9">
            <w:pPr>
              <w:pStyle w:val="Tabletext"/>
            </w:pPr>
            <w:r>
              <w:t xml:space="preserve">Using 3+ meets guidelines, shown to be associated with poor outcomes and if the review is effective, they will not reach that criteria thereafter. </w:t>
            </w:r>
          </w:p>
          <w:p w14:paraId="66DA460C" w14:textId="77777777" w:rsidR="009F1DB9" w:rsidRDefault="009F1DB9" w:rsidP="009F1DB9">
            <w:pPr>
              <w:pStyle w:val="Tabletext"/>
            </w:pPr>
          </w:p>
          <w:p w14:paraId="5EBE2787" w14:textId="77777777" w:rsidR="009F1DB9" w:rsidRDefault="009F1DB9" w:rsidP="009F1DB9">
            <w:pPr>
              <w:pStyle w:val="Tabletext"/>
            </w:pPr>
            <w:r>
              <w:t xml:space="preserve">NICE argue that is too many people. </w:t>
            </w:r>
            <w:r w:rsidRPr="00C10360">
              <w:t xml:space="preserve">However, the figure quoted of 45% may be an overestimate as previous CPRD </w:t>
            </w:r>
            <w:r w:rsidRPr="00C10360">
              <w:lastRenderedPageBreak/>
              <w:t>peer-reviewed published studies have found around one third. PMID: 32720299 (adults) and https://publications.ersnet.org/content/erjor/9/2/00571-2022 (children &gt;6yrs).</w:t>
            </w:r>
            <w:r>
              <w:t xml:space="preserve"> </w:t>
            </w:r>
          </w:p>
          <w:p w14:paraId="3FFF58D5" w14:textId="77777777" w:rsidR="009F1DB9" w:rsidRDefault="009F1DB9" w:rsidP="009F1DB9">
            <w:pPr>
              <w:pStyle w:val="Tabletext"/>
            </w:pPr>
            <w:r>
              <w:t xml:space="preserve">There are no methods in the NICE document including no description of study population </w:t>
            </w:r>
            <w:proofErr w:type="gramStart"/>
            <w:r>
              <w:t>etc.</w:t>
            </w:r>
            <w:proofErr w:type="gramEnd"/>
          </w:p>
          <w:p w14:paraId="41FFC7B5" w14:textId="77777777" w:rsidR="009F1DB9" w:rsidRDefault="009F1DB9" w:rsidP="009F1DB9">
            <w:pPr>
              <w:pStyle w:val="Tabletext"/>
            </w:pPr>
          </w:p>
          <w:p w14:paraId="4FE4811C" w14:textId="7DB53883" w:rsidR="009F1DB9" w:rsidRPr="00215444" w:rsidRDefault="009F1DB9" w:rsidP="009F1DB9">
            <w:pPr>
              <w:pStyle w:val="Tabletext"/>
            </w:pPr>
            <w:r>
              <w:t>As all criteria are relying on high prescription counts, the IT issue will occur regardless.</w:t>
            </w:r>
          </w:p>
        </w:tc>
        <w:tc>
          <w:tcPr>
            <w:tcW w:w="6096" w:type="dxa"/>
          </w:tcPr>
          <w:p w14:paraId="31BF1DCE" w14:textId="77777777" w:rsidR="009F1DB9" w:rsidRDefault="009F1DB9" w:rsidP="009F1DB9">
            <w:pPr>
              <w:pStyle w:val="Tabletext"/>
            </w:pPr>
            <w:r w:rsidRPr="00CD31DB">
              <w:lastRenderedPageBreak/>
              <w:t>Thank you for your comment.</w:t>
            </w:r>
          </w:p>
          <w:p w14:paraId="12C25D0A" w14:textId="703EA073" w:rsidR="001C69CF" w:rsidRPr="009817F3" w:rsidRDefault="006D2257" w:rsidP="009F1DB9">
            <w:pPr>
              <w:pStyle w:val="Tabletext"/>
              <w:rPr>
                <w:highlight w:val="yellow"/>
              </w:rPr>
            </w:pPr>
            <w:r w:rsidRPr="006D2257">
              <w:t xml:space="preserve">We recognise that the BTS/NICE/SIGN asthma guideline defines over-use of SABA inhalers as more than </w:t>
            </w:r>
            <w:proofErr w:type="gramStart"/>
            <w:r w:rsidRPr="006D2257">
              <w:t>2</w:t>
            </w:r>
            <w:proofErr w:type="gramEnd"/>
            <w:r w:rsidRPr="006D2257">
              <w:t xml:space="preserve"> inhalers per year. However, the committee agreed that using 6 or more SABAs was a pragmatic approach to identify a higher risk population given that testing in Clinical Practice Research Datalink (CPRD) Aurum found that 45% of people aged 6 or over with asthma on the register were prescribed more than 2 SABAs per year. When other risk factors </w:t>
            </w:r>
            <w:proofErr w:type="gramStart"/>
            <w:r w:rsidRPr="006D2257">
              <w:t>are added</w:t>
            </w:r>
            <w:proofErr w:type="gramEnd"/>
            <w:r w:rsidRPr="006D2257">
              <w:t xml:space="preserve"> to this, it </w:t>
            </w:r>
            <w:proofErr w:type="gramStart"/>
            <w:r w:rsidRPr="006D2257">
              <w:t>was thought</w:t>
            </w:r>
            <w:proofErr w:type="gramEnd"/>
            <w:r w:rsidRPr="006D2257">
              <w:t xml:space="preserve"> to identify too high a proportion of asthma patients to be </w:t>
            </w:r>
            <w:proofErr w:type="gramStart"/>
            <w:r w:rsidRPr="006D2257">
              <w:t>substantially different</w:t>
            </w:r>
            <w:proofErr w:type="gramEnd"/>
            <w:r w:rsidRPr="006D2257">
              <w:t xml:space="preserve"> to existing indicator IND273. The committee agree that everyone who is at risk of overusing SABA deserves appropriate care and support. The BTS/NICE/SIGN guideline recommends that patients aged </w:t>
            </w:r>
            <w:proofErr w:type="gramStart"/>
            <w:r w:rsidRPr="006D2257">
              <w:t>12</w:t>
            </w:r>
            <w:proofErr w:type="gramEnd"/>
            <w:r w:rsidRPr="006D2257">
              <w:t xml:space="preserve"> and over </w:t>
            </w:r>
            <w:proofErr w:type="gramStart"/>
            <w:r w:rsidRPr="006D2257">
              <w:t>are offered</w:t>
            </w:r>
            <w:proofErr w:type="gramEnd"/>
            <w:r w:rsidRPr="006D2257">
              <w:t xml:space="preserve"> SABA-free combination regimens such as anti-inflammatory reliever (AIR) therapy or </w:t>
            </w:r>
            <w:proofErr w:type="gramStart"/>
            <w:r w:rsidRPr="006D2257">
              <w:t>MART, or</w:t>
            </w:r>
            <w:proofErr w:type="gramEnd"/>
            <w:r w:rsidRPr="006D2257">
              <w:t xml:space="preserve"> switched away from SABA-containing regimens in treatment pathways from previous guidelines. The guideline also states do not prescribe SABAs to people of any age with asthma without a </w:t>
            </w:r>
            <w:r w:rsidRPr="006D2257">
              <w:lastRenderedPageBreak/>
              <w:t xml:space="preserve">concomitant prescription of an ICS. Healthcare professionals </w:t>
            </w:r>
            <w:proofErr w:type="gramStart"/>
            <w:r w:rsidRPr="006D2257">
              <w:t>are encouraged</w:t>
            </w:r>
            <w:proofErr w:type="gramEnd"/>
            <w:r w:rsidRPr="006D2257">
              <w:t xml:space="preserve"> to follow these recommendations. The new indicators are complementary to NICE indicator IND273 on annual review for all patients, which includes checking medicines adherence and assessing asthma control, and which will continue alongside the new indicators.</w:t>
            </w:r>
          </w:p>
          <w:p w14:paraId="6B8D1A20" w14:textId="62FE7098" w:rsidR="00133907" w:rsidRDefault="006A57D2" w:rsidP="001350C6">
            <w:pPr>
              <w:pStyle w:val="Tabletext"/>
            </w:pPr>
            <w:r>
              <w:t xml:space="preserve">The supplied study in adults found that </w:t>
            </w:r>
            <w:r w:rsidR="00037477">
              <w:t>3</w:t>
            </w:r>
            <w:r w:rsidR="00037477" w:rsidRPr="00037477">
              <w:t xml:space="preserve">8% had high </w:t>
            </w:r>
            <w:r w:rsidR="00CA4224">
              <w:t xml:space="preserve">(i.e. 3+) </w:t>
            </w:r>
            <w:r w:rsidR="00037477" w:rsidRPr="00037477">
              <w:t>SABA inhaler use</w:t>
            </w:r>
            <w:r w:rsidR="00D04F7C">
              <w:t xml:space="preserve"> per year</w:t>
            </w:r>
            <w:r w:rsidR="00037477" w:rsidRPr="00037477">
              <w:t>.</w:t>
            </w:r>
            <w:r w:rsidR="00CA4224">
              <w:t xml:space="preserve"> The IAC were aware of th</w:t>
            </w:r>
            <w:r w:rsidR="003728B9">
              <w:t>e</w:t>
            </w:r>
            <w:r w:rsidR="00CA4224">
              <w:t xml:space="preserve"> same</w:t>
            </w:r>
            <w:r w:rsidR="003728B9">
              <w:t xml:space="preserve"> 38%</w:t>
            </w:r>
            <w:r w:rsidR="00CA4224">
              <w:t xml:space="preserve"> figure </w:t>
            </w:r>
            <w:r w:rsidR="00824DAF">
              <w:t xml:space="preserve">during development of the indicator, which </w:t>
            </w:r>
            <w:proofErr w:type="gramStart"/>
            <w:r w:rsidR="00824DAF">
              <w:t xml:space="preserve">was not </w:t>
            </w:r>
            <w:r w:rsidR="004D2D96">
              <w:t>felt</w:t>
            </w:r>
            <w:proofErr w:type="gramEnd"/>
            <w:r w:rsidR="004D2D96">
              <w:t xml:space="preserve"> to be different</w:t>
            </w:r>
            <w:r w:rsidR="003754EA">
              <w:t xml:space="preserve"> enough</w:t>
            </w:r>
            <w:r w:rsidR="004D2D96">
              <w:t xml:space="preserve"> to invalidate</w:t>
            </w:r>
            <w:r w:rsidR="006F0967">
              <w:t xml:space="preserve"> the</w:t>
            </w:r>
            <w:r w:rsidR="003754EA">
              <w:t xml:space="preserve"> NICE</w:t>
            </w:r>
            <w:r w:rsidR="006F0967">
              <w:t xml:space="preserve"> CPRD findings</w:t>
            </w:r>
            <w:r w:rsidR="003754EA">
              <w:t xml:space="preserve"> of 45%.</w:t>
            </w:r>
          </w:p>
          <w:p w14:paraId="5F0E82A1" w14:textId="4AF23E1D" w:rsidR="00133907" w:rsidRDefault="00133907" w:rsidP="001350C6">
            <w:pPr>
              <w:pStyle w:val="Tabletext"/>
            </w:pPr>
            <w:r w:rsidRPr="00133907">
              <w:t xml:space="preserve">The supplied study in </w:t>
            </w:r>
            <w:r>
              <w:t>children</w:t>
            </w:r>
            <w:r w:rsidR="00B312C3">
              <w:t>/young people</w:t>
            </w:r>
            <w:r w:rsidRPr="00133907">
              <w:t xml:space="preserve"> found that 38% </w:t>
            </w:r>
            <w:r>
              <w:t xml:space="preserve">of </w:t>
            </w:r>
            <w:proofErr w:type="gramStart"/>
            <w:r>
              <w:t>6-11 year olds</w:t>
            </w:r>
            <w:proofErr w:type="gramEnd"/>
            <w:r>
              <w:t xml:space="preserve"> and </w:t>
            </w:r>
            <w:r w:rsidR="002B7EAF">
              <w:t xml:space="preserve">36% of </w:t>
            </w:r>
            <w:proofErr w:type="gramStart"/>
            <w:r w:rsidR="002B7EAF">
              <w:t>12-17 year olds</w:t>
            </w:r>
            <w:proofErr w:type="gramEnd"/>
            <w:r w:rsidR="002B7EAF">
              <w:t xml:space="preserve"> </w:t>
            </w:r>
            <w:proofErr w:type="gramStart"/>
            <w:r w:rsidR="002B7EAF">
              <w:t>were prescribed</w:t>
            </w:r>
            <w:proofErr w:type="gramEnd"/>
            <w:r w:rsidR="002B7EAF">
              <w:t xml:space="preserve"> </w:t>
            </w:r>
            <w:r w:rsidRPr="00133907">
              <w:t>3+ SABA</w:t>
            </w:r>
            <w:r w:rsidR="00D04F7C">
              <w:t>s/yr.</w:t>
            </w:r>
          </w:p>
          <w:p w14:paraId="551C253E" w14:textId="11CD6539" w:rsidR="00D84B78" w:rsidRDefault="007276D4" w:rsidP="001350C6">
            <w:pPr>
              <w:pStyle w:val="Tabletext"/>
            </w:pPr>
            <w:proofErr w:type="gramStart"/>
            <w:r>
              <w:t>However</w:t>
            </w:r>
            <w:proofErr w:type="gramEnd"/>
            <w:r>
              <w:t xml:space="preserve"> e</w:t>
            </w:r>
            <w:r w:rsidR="0029150D">
              <w:t xml:space="preserve">ven a figure of </w:t>
            </w:r>
            <w:r w:rsidR="00D04F7C">
              <w:t>36-</w:t>
            </w:r>
            <w:r w:rsidR="0029150D">
              <w:t xml:space="preserve">38%, when combined with </w:t>
            </w:r>
            <w:r w:rsidR="001350C6">
              <w:t xml:space="preserve">the </w:t>
            </w:r>
            <w:r w:rsidR="0029150D">
              <w:t xml:space="preserve">other risk factors of </w:t>
            </w:r>
            <w:r w:rsidR="003754EA">
              <w:t xml:space="preserve">2+ </w:t>
            </w:r>
            <w:r w:rsidR="0029150D">
              <w:t xml:space="preserve">OCS, </w:t>
            </w:r>
            <w:r w:rsidR="003754EA">
              <w:t xml:space="preserve">2+ </w:t>
            </w:r>
            <w:r w:rsidR="0029150D">
              <w:t xml:space="preserve">ED visits </w:t>
            </w:r>
            <w:r w:rsidR="003754EA">
              <w:t>or any</w:t>
            </w:r>
            <w:r w:rsidR="0029150D">
              <w:t xml:space="preserve"> </w:t>
            </w:r>
            <w:r w:rsidR="001350C6">
              <w:t>hospitalisation, would be</w:t>
            </w:r>
            <w:r w:rsidR="0029150D">
              <w:t xml:space="preserve"> </w:t>
            </w:r>
            <w:r w:rsidR="00EF025A" w:rsidRPr="00EF025A">
              <w:t xml:space="preserve">too high a proportion of asthma patients to </w:t>
            </w:r>
            <w:proofErr w:type="gramStart"/>
            <w:r w:rsidR="00EF025A" w:rsidRPr="00EF025A">
              <w:t>be flagged</w:t>
            </w:r>
            <w:proofErr w:type="gramEnd"/>
            <w:r w:rsidR="00EF025A" w:rsidRPr="00EF025A">
              <w:t xml:space="preserve"> as higher risk in the indicators.</w:t>
            </w:r>
          </w:p>
          <w:p w14:paraId="525821BD" w14:textId="70F81C4D" w:rsidR="001350C6" w:rsidRDefault="00876FA3" w:rsidP="001350C6">
            <w:pPr>
              <w:pStyle w:val="Tabletext"/>
            </w:pPr>
            <w:r>
              <w:t>Regarding prescription counts, a count only needs to go up to the m</w:t>
            </w:r>
            <w:r w:rsidR="00154849">
              <w:t>in</w:t>
            </w:r>
            <w:r>
              <w:t xml:space="preserve">imum value </w:t>
            </w:r>
            <w:r w:rsidR="00154849">
              <w:t>needed to cross</w:t>
            </w:r>
            <w:r>
              <w:t xml:space="preserve"> the risk factor </w:t>
            </w:r>
            <w:r w:rsidR="00154849">
              <w:t xml:space="preserve">threshold </w:t>
            </w:r>
            <w:r>
              <w:t>(in this case 6 SABAs</w:t>
            </w:r>
            <w:r w:rsidR="00154849">
              <w:t xml:space="preserve"> or 2 OCSs</w:t>
            </w:r>
            <w:r>
              <w:t xml:space="preserve">). Counting further prescriptions </w:t>
            </w:r>
            <w:proofErr w:type="gramStart"/>
            <w:r>
              <w:t>is not required</w:t>
            </w:r>
            <w:proofErr w:type="gramEnd"/>
            <w:r>
              <w:t xml:space="preserve"> as the individual has already reached the threshold of </w:t>
            </w:r>
            <w:proofErr w:type="gramStart"/>
            <w:r w:rsidR="00154849">
              <w:t>being classified</w:t>
            </w:r>
            <w:proofErr w:type="gramEnd"/>
            <w:r w:rsidR="00154849">
              <w:t xml:space="preserve"> as higher risk.</w:t>
            </w:r>
          </w:p>
        </w:tc>
      </w:tr>
      <w:tr w:rsidR="007707C9" w:rsidRPr="00215444" w14:paraId="78BFD71E" w14:textId="320917EB" w:rsidTr="005A4609">
        <w:tc>
          <w:tcPr>
            <w:tcW w:w="562" w:type="dxa"/>
            <w:noWrap/>
          </w:tcPr>
          <w:p w14:paraId="49098032" w14:textId="6F2BB558" w:rsidR="007707C9" w:rsidRDefault="007707C9" w:rsidP="00BC04CD">
            <w:pPr>
              <w:pStyle w:val="Tabletext"/>
            </w:pPr>
            <w:r>
              <w:lastRenderedPageBreak/>
              <w:t>20</w:t>
            </w:r>
          </w:p>
        </w:tc>
        <w:tc>
          <w:tcPr>
            <w:tcW w:w="1701" w:type="dxa"/>
          </w:tcPr>
          <w:p w14:paraId="0C87CA85" w14:textId="1BB3B148" w:rsidR="007707C9" w:rsidRPr="00215444" w:rsidRDefault="007707C9" w:rsidP="00BC04CD">
            <w:pPr>
              <w:pStyle w:val="Tabletext"/>
            </w:pPr>
            <w:r>
              <w:t>IND316</w:t>
            </w:r>
          </w:p>
        </w:tc>
        <w:tc>
          <w:tcPr>
            <w:tcW w:w="1560" w:type="dxa"/>
            <w:noWrap/>
          </w:tcPr>
          <w:p w14:paraId="50710750" w14:textId="4DA8E123" w:rsidR="007707C9" w:rsidRPr="00215444" w:rsidRDefault="007707C9" w:rsidP="00BC04CD">
            <w:pPr>
              <w:pStyle w:val="Tabletext"/>
            </w:pPr>
            <w:r w:rsidRPr="00667A55">
              <w:t xml:space="preserve">Association of Respiratory </w:t>
            </w:r>
            <w:r w:rsidRPr="00667A55">
              <w:lastRenderedPageBreak/>
              <w:t>Nurses (ARNS)</w:t>
            </w:r>
          </w:p>
        </w:tc>
        <w:tc>
          <w:tcPr>
            <w:tcW w:w="4110" w:type="dxa"/>
          </w:tcPr>
          <w:p w14:paraId="02FACE99" w14:textId="6EBA3470" w:rsidR="007707C9" w:rsidRDefault="007707C9" w:rsidP="00BC04CD">
            <w:pPr>
              <w:pStyle w:val="Tabletext"/>
            </w:pPr>
            <w:proofErr w:type="gramStart"/>
            <w:r>
              <w:lastRenderedPageBreak/>
              <w:t>I think that it</w:t>
            </w:r>
            <w:proofErr w:type="gramEnd"/>
            <w:r>
              <w:t xml:space="preserve"> is important to consider lower socioeconomic groups as noted by asthma and lung UK because of the </w:t>
            </w:r>
            <w:r>
              <w:lastRenderedPageBreak/>
              <w:t>higher rates of known uncontrolled asthma</w:t>
            </w:r>
            <w:r w:rsidRPr="005B53AE">
              <w:t xml:space="preserve">. I </w:t>
            </w:r>
            <w:proofErr w:type="gramStart"/>
            <w:r w:rsidRPr="005B53AE">
              <w:t>don't</w:t>
            </w:r>
            <w:proofErr w:type="gramEnd"/>
            <w:r w:rsidRPr="005B53AE">
              <w:t xml:space="preserve"> know if it should </w:t>
            </w:r>
            <w:proofErr w:type="gramStart"/>
            <w:r w:rsidRPr="005B53AE">
              <w:t>be linked</w:t>
            </w:r>
            <w:proofErr w:type="gramEnd"/>
            <w:r w:rsidRPr="005B53AE">
              <w:t xml:space="preserve"> in with severe asthma patients who are in secondary or tertiary care or also for primary care.</w:t>
            </w:r>
            <w:r>
              <w:t xml:space="preserve"> </w:t>
            </w:r>
          </w:p>
          <w:p w14:paraId="6AD47BC7" w14:textId="77777777" w:rsidR="007707C9" w:rsidRDefault="007707C9" w:rsidP="00BC04CD">
            <w:pPr>
              <w:pStyle w:val="Tabletext"/>
            </w:pPr>
          </w:p>
          <w:p w14:paraId="1B326E58" w14:textId="787A8C71" w:rsidR="007707C9" w:rsidRPr="00215444" w:rsidRDefault="007707C9" w:rsidP="00BC04CD">
            <w:pPr>
              <w:pStyle w:val="Tabletext"/>
            </w:pPr>
            <w:r>
              <w:t xml:space="preserve">It considers </w:t>
            </w:r>
            <w:proofErr w:type="gramStart"/>
            <w:r>
              <w:t>various factors</w:t>
            </w:r>
            <w:proofErr w:type="gramEnd"/>
            <w:r>
              <w:t xml:space="preserve"> such as ethnicity </w:t>
            </w:r>
            <w:proofErr w:type="gramStart"/>
            <w:r>
              <w:t>and  considering</w:t>
            </w:r>
            <w:proofErr w:type="gramEnd"/>
            <w:r>
              <w:t xml:space="preserve"> people with learning </w:t>
            </w:r>
            <w:proofErr w:type="gramStart"/>
            <w:r>
              <w:t>difficulties ,</w:t>
            </w:r>
            <w:proofErr w:type="gramEnd"/>
            <w:r>
              <w:t xml:space="preserve"> cognitive impairment and other difficulties, may experience poorer outcomes with their asthma and that MART and improved medication optimization and support can help. It </w:t>
            </w:r>
            <w:proofErr w:type="gramStart"/>
            <w:r>
              <w:t>maybe worth</w:t>
            </w:r>
            <w:proofErr w:type="gramEnd"/>
            <w:r>
              <w:t xml:space="preserve"> thinking about this in relation to the timing of asthma reviews and that these patients may need more regular reviews </w:t>
            </w:r>
            <w:proofErr w:type="gramStart"/>
            <w:r>
              <w:t>in order to</w:t>
            </w:r>
            <w:proofErr w:type="gramEnd"/>
            <w:r>
              <w:t xml:space="preserve"> optimize asthma </w:t>
            </w:r>
            <w:proofErr w:type="gramStart"/>
            <w:r>
              <w:t>control ,</w:t>
            </w:r>
            <w:proofErr w:type="gramEnd"/>
            <w:r>
              <w:t xml:space="preserve"> for example if then in primary care the annual review may not be enough for these patients.</w:t>
            </w:r>
          </w:p>
        </w:tc>
        <w:tc>
          <w:tcPr>
            <w:tcW w:w="6096" w:type="dxa"/>
          </w:tcPr>
          <w:p w14:paraId="12E4D37E" w14:textId="77777777" w:rsidR="007707C9" w:rsidRDefault="009F1DB9" w:rsidP="00BC04CD">
            <w:pPr>
              <w:pStyle w:val="Tabletext"/>
            </w:pPr>
            <w:r w:rsidRPr="009F1DB9">
              <w:lastRenderedPageBreak/>
              <w:t>Thank you for your comment.</w:t>
            </w:r>
          </w:p>
          <w:p w14:paraId="64516F31" w14:textId="77777777" w:rsidR="00154849" w:rsidRDefault="00154849" w:rsidP="00BC04CD">
            <w:pPr>
              <w:pStyle w:val="Tabletext"/>
            </w:pPr>
            <w:r>
              <w:t xml:space="preserve">We agree that </w:t>
            </w:r>
            <w:r w:rsidRPr="00154849">
              <w:t>consider</w:t>
            </w:r>
            <w:r>
              <w:t>ation of</w:t>
            </w:r>
            <w:r w:rsidRPr="00154849">
              <w:t xml:space="preserve"> lower socioeconomic groups</w:t>
            </w:r>
            <w:r>
              <w:t xml:space="preserve"> is important. </w:t>
            </w:r>
            <w:r w:rsidRPr="00154849">
              <w:t xml:space="preserve">People in lower socioeconomic groups have </w:t>
            </w:r>
            <w:r w:rsidRPr="00154849">
              <w:lastRenderedPageBreak/>
              <w:t xml:space="preserve">higher rates of uncontrolled asthma and poorer outcomes. The new indicator will encourage the delivery of annual reviews to patients at higher risk of poor outcomes – which </w:t>
            </w:r>
            <w:r>
              <w:t xml:space="preserve">may be more likely to include those of </w:t>
            </w:r>
            <w:r w:rsidRPr="00154849">
              <w:t>lower socioeconomic status</w:t>
            </w:r>
            <w:r>
              <w:t>.</w:t>
            </w:r>
          </w:p>
          <w:p w14:paraId="0664FD93" w14:textId="0B3DD3D5" w:rsidR="005B53AE" w:rsidRDefault="005B53AE" w:rsidP="00BC04CD">
            <w:pPr>
              <w:pStyle w:val="Tabletext"/>
            </w:pPr>
            <w:r>
              <w:t xml:space="preserve">This indicator </w:t>
            </w:r>
            <w:r w:rsidR="000A0ABC">
              <w:t xml:space="preserve">uses general practice data only, </w:t>
            </w:r>
            <w:proofErr w:type="gramStart"/>
            <w:r w:rsidR="000A0ABC">
              <w:t>in order to</w:t>
            </w:r>
            <w:proofErr w:type="gramEnd"/>
            <w:r w:rsidR="000A0ABC">
              <w:t xml:space="preserve"> be suitable for use in QOF which cannot link to secondary care data to identify people with severe asthma</w:t>
            </w:r>
            <w:r>
              <w:t>.</w:t>
            </w:r>
          </w:p>
          <w:p w14:paraId="03FDBC95" w14:textId="20D2C1FA" w:rsidR="00154849" w:rsidRDefault="000A0ABC" w:rsidP="00BC04CD">
            <w:pPr>
              <w:pStyle w:val="Tabletext"/>
            </w:pPr>
            <w:r>
              <w:t xml:space="preserve">The committee agreed that </w:t>
            </w:r>
            <w:proofErr w:type="gramStart"/>
            <w:r>
              <w:t>some</w:t>
            </w:r>
            <w:proofErr w:type="gramEnd"/>
            <w:r>
              <w:t xml:space="preserve"> patients need more frequent </w:t>
            </w:r>
            <w:proofErr w:type="gramStart"/>
            <w:r>
              <w:t>reviews</w:t>
            </w:r>
            <w:proofErr w:type="gramEnd"/>
            <w:r>
              <w:t xml:space="preserve"> and the indicator </w:t>
            </w:r>
            <w:proofErr w:type="gramStart"/>
            <w:r>
              <w:t>is not intended</w:t>
            </w:r>
            <w:proofErr w:type="gramEnd"/>
            <w:r>
              <w:t xml:space="preserve"> to prevent this </w:t>
            </w:r>
            <w:r w:rsidR="008F58AA">
              <w:t>if needed.</w:t>
            </w:r>
          </w:p>
          <w:p w14:paraId="21E76D1D" w14:textId="7DD4E441" w:rsidR="00154849" w:rsidRDefault="00154849" w:rsidP="00BC04CD">
            <w:pPr>
              <w:pStyle w:val="Tabletext"/>
            </w:pPr>
          </w:p>
        </w:tc>
      </w:tr>
      <w:tr w:rsidR="009F1DB9" w:rsidRPr="00215444" w14:paraId="01E47CF7" w14:textId="2C524B17" w:rsidTr="005A4609">
        <w:tc>
          <w:tcPr>
            <w:tcW w:w="562" w:type="dxa"/>
            <w:noWrap/>
          </w:tcPr>
          <w:p w14:paraId="6C41B60D" w14:textId="2BB8A9EC" w:rsidR="009F1DB9" w:rsidRDefault="009F1DB9" w:rsidP="009F1DB9">
            <w:pPr>
              <w:pStyle w:val="Tabletext"/>
            </w:pPr>
            <w:r>
              <w:lastRenderedPageBreak/>
              <w:t>21</w:t>
            </w:r>
          </w:p>
        </w:tc>
        <w:tc>
          <w:tcPr>
            <w:tcW w:w="1701" w:type="dxa"/>
          </w:tcPr>
          <w:p w14:paraId="2FF20324" w14:textId="23A8877F" w:rsidR="009F1DB9" w:rsidRPr="003C0D55" w:rsidRDefault="009F1DB9" w:rsidP="009F1DB9">
            <w:pPr>
              <w:pStyle w:val="Tabletext"/>
            </w:pPr>
            <w:r w:rsidRPr="002360D3">
              <w:t>IND316</w:t>
            </w:r>
          </w:p>
        </w:tc>
        <w:tc>
          <w:tcPr>
            <w:tcW w:w="1560" w:type="dxa"/>
            <w:noWrap/>
          </w:tcPr>
          <w:p w14:paraId="726F3DA3" w14:textId="33606551" w:rsidR="009F1DB9" w:rsidRPr="00D347B5" w:rsidRDefault="009F1DB9" w:rsidP="009F1DB9">
            <w:pPr>
              <w:pStyle w:val="Tabletext"/>
            </w:pPr>
            <w:r w:rsidRPr="00667A55">
              <w:t>Association of Respiratory Nurses (ARNS)</w:t>
            </w:r>
          </w:p>
        </w:tc>
        <w:tc>
          <w:tcPr>
            <w:tcW w:w="4110" w:type="dxa"/>
          </w:tcPr>
          <w:p w14:paraId="309C93F2" w14:textId="1FE42F56" w:rsidR="009F1DB9" w:rsidRDefault="009F1DB9" w:rsidP="009F1DB9">
            <w:pPr>
              <w:pStyle w:val="Tabletext"/>
            </w:pPr>
            <w:r w:rsidRPr="00A53443">
              <w:t xml:space="preserve">It is right that potential health inequalities should </w:t>
            </w:r>
            <w:proofErr w:type="gramStart"/>
            <w:r w:rsidRPr="00A53443">
              <w:t>be considered</w:t>
            </w:r>
            <w:proofErr w:type="gramEnd"/>
            <w:r w:rsidRPr="00A53443">
              <w:t xml:space="preserve">. HCPs should </w:t>
            </w:r>
            <w:proofErr w:type="gramStart"/>
            <w:r w:rsidRPr="00A53443">
              <w:t>be encouraged</w:t>
            </w:r>
            <w:proofErr w:type="gramEnd"/>
            <w:r w:rsidRPr="00A53443">
              <w:t xml:space="preserve"> to consider </w:t>
            </w:r>
            <w:proofErr w:type="gramStart"/>
            <w:r w:rsidRPr="00A53443">
              <w:t>different ways</w:t>
            </w:r>
            <w:proofErr w:type="gramEnd"/>
            <w:r w:rsidRPr="00A53443">
              <w:t xml:space="preserve"> of accessing harder-to-reach populations. There is an ongoing risk to people with asthma from variations in competence in asthma care provision and access to </w:t>
            </w:r>
            <w:r w:rsidRPr="00A53443">
              <w:lastRenderedPageBreak/>
              <w:t xml:space="preserve">tools such as FeNO, especially in primary care. Without addressing these fundamental issues, health inequalities will persist, </w:t>
            </w:r>
            <w:proofErr w:type="gramStart"/>
            <w:r w:rsidRPr="00A53443">
              <w:t>arguably in</w:t>
            </w:r>
            <w:proofErr w:type="gramEnd"/>
            <w:r w:rsidRPr="00A53443">
              <w:t xml:space="preserve"> those at greatest risk.</w:t>
            </w:r>
          </w:p>
        </w:tc>
        <w:tc>
          <w:tcPr>
            <w:tcW w:w="6096" w:type="dxa"/>
          </w:tcPr>
          <w:p w14:paraId="65FBB655" w14:textId="77777777" w:rsidR="009F1DB9" w:rsidRDefault="009F1DB9" w:rsidP="009F1DB9">
            <w:pPr>
              <w:pStyle w:val="Tabletext"/>
            </w:pPr>
            <w:r w:rsidRPr="007C5923">
              <w:lastRenderedPageBreak/>
              <w:t>Thank you for your comment.</w:t>
            </w:r>
          </w:p>
          <w:p w14:paraId="6C177936" w14:textId="4358A992" w:rsidR="008F58AA" w:rsidRPr="00A53443" w:rsidRDefault="009622C1" w:rsidP="009F1DB9">
            <w:pPr>
              <w:pStyle w:val="Tabletext"/>
            </w:pPr>
            <w:r>
              <w:t>Any patients in harder to reach populations showing signs of more uncontrolled asthma, such as the risk factors in the indicator definition,</w:t>
            </w:r>
            <w:r w:rsidRPr="009622C1">
              <w:t xml:space="preserve"> </w:t>
            </w:r>
            <w:r>
              <w:t xml:space="preserve">will </w:t>
            </w:r>
            <w:proofErr w:type="gramStart"/>
            <w:r>
              <w:t>be targeted</w:t>
            </w:r>
            <w:proofErr w:type="gramEnd"/>
            <w:r>
              <w:t xml:space="preserve"> by t</w:t>
            </w:r>
            <w:r w:rsidRPr="009622C1">
              <w:t>he new indicator</w:t>
            </w:r>
            <w:r>
              <w:t>. This</w:t>
            </w:r>
            <w:r w:rsidRPr="009622C1">
              <w:t xml:space="preserve"> </w:t>
            </w:r>
            <w:r>
              <w:t xml:space="preserve">indicator </w:t>
            </w:r>
            <w:r w:rsidRPr="009622C1">
              <w:t xml:space="preserve">will encourage the </w:t>
            </w:r>
            <w:r w:rsidR="00B312C3">
              <w:t>use of MART therapy</w:t>
            </w:r>
            <w:r w:rsidRPr="009622C1">
              <w:t xml:space="preserve"> </w:t>
            </w:r>
            <w:r>
              <w:t>in those</w:t>
            </w:r>
            <w:r w:rsidRPr="009622C1">
              <w:t xml:space="preserve"> patients at higher risk of poor outcomes</w:t>
            </w:r>
            <w:r w:rsidR="00B312C3">
              <w:t xml:space="preserve">, which may be more likely to include harder to reach populations if their </w:t>
            </w:r>
            <w:r w:rsidR="00B312C3">
              <w:lastRenderedPageBreak/>
              <w:t xml:space="preserve">asthma has not previously </w:t>
            </w:r>
            <w:proofErr w:type="gramStart"/>
            <w:r w:rsidR="00B312C3">
              <w:t>been well controlled</w:t>
            </w:r>
            <w:proofErr w:type="gramEnd"/>
            <w:r w:rsidR="00B312C3">
              <w:t xml:space="preserve"> through lack of engagement with primary care.</w:t>
            </w:r>
          </w:p>
        </w:tc>
      </w:tr>
      <w:tr w:rsidR="009F1DB9" w:rsidRPr="00215444" w14:paraId="580F2317" w14:textId="521292A7" w:rsidTr="005A4609">
        <w:tc>
          <w:tcPr>
            <w:tcW w:w="562" w:type="dxa"/>
            <w:noWrap/>
          </w:tcPr>
          <w:p w14:paraId="59936211" w14:textId="60D244C2" w:rsidR="009F1DB9" w:rsidRDefault="009F1DB9" w:rsidP="009F1DB9">
            <w:pPr>
              <w:pStyle w:val="Tabletext"/>
            </w:pPr>
            <w:r>
              <w:lastRenderedPageBreak/>
              <w:t>22</w:t>
            </w:r>
          </w:p>
        </w:tc>
        <w:tc>
          <w:tcPr>
            <w:tcW w:w="1701" w:type="dxa"/>
          </w:tcPr>
          <w:p w14:paraId="06260E8E" w14:textId="54526E31" w:rsidR="009F1DB9" w:rsidRPr="00215444" w:rsidRDefault="009F1DB9" w:rsidP="009F1DB9">
            <w:pPr>
              <w:pStyle w:val="Tabletext"/>
            </w:pPr>
            <w:r w:rsidRPr="002360D3">
              <w:t>IND316</w:t>
            </w:r>
          </w:p>
        </w:tc>
        <w:tc>
          <w:tcPr>
            <w:tcW w:w="1560" w:type="dxa"/>
            <w:noWrap/>
          </w:tcPr>
          <w:p w14:paraId="7D091208" w14:textId="28725076" w:rsidR="009F1DB9" w:rsidRPr="00215444" w:rsidRDefault="009F1DB9" w:rsidP="009F1DB9">
            <w:pPr>
              <w:pStyle w:val="Tabletext"/>
            </w:pPr>
            <w:r w:rsidRPr="00D347B5">
              <w:t>AstraZeneca UK Ltd.</w:t>
            </w:r>
          </w:p>
        </w:tc>
        <w:tc>
          <w:tcPr>
            <w:tcW w:w="4110" w:type="dxa"/>
          </w:tcPr>
          <w:p w14:paraId="781BB48D" w14:textId="72575CFD" w:rsidR="009F1DB9" w:rsidRDefault="009F1DB9" w:rsidP="009F1DB9">
            <w:pPr>
              <w:pStyle w:val="Tabletext"/>
            </w:pPr>
            <w:r>
              <w:t>AstraZeneca welcomes this proposed MART asthma indicator which if implemented via QOF and regional/local incentives, will help to shift the paradigm of asthma treatment, in line with NG245.</w:t>
            </w:r>
          </w:p>
          <w:p w14:paraId="59EA71F1" w14:textId="77777777" w:rsidR="009F1DB9" w:rsidRDefault="009F1DB9" w:rsidP="009F1DB9">
            <w:pPr>
              <w:pStyle w:val="Tabletext"/>
            </w:pPr>
          </w:p>
          <w:p w14:paraId="122219F9" w14:textId="77777777" w:rsidR="009F1DB9" w:rsidRDefault="009F1DB9" w:rsidP="009F1DB9">
            <w:pPr>
              <w:pStyle w:val="Tabletext"/>
            </w:pPr>
            <w:r>
              <w:t>The comments made above regarding the high-risk annual review and the SABA cutoff for risk factors for poor outcomes applies to this proposed MART indicator.</w:t>
            </w:r>
          </w:p>
          <w:p w14:paraId="414B1CC1" w14:textId="77777777" w:rsidR="009F1DB9" w:rsidRDefault="009F1DB9" w:rsidP="009F1DB9">
            <w:pPr>
              <w:pStyle w:val="Tabletext"/>
            </w:pPr>
          </w:p>
          <w:p w14:paraId="799AF3E6" w14:textId="77777777" w:rsidR="009F1DB9" w:rsidRDefault="009F1DB9" w:rsidP="009F1DB9">
            <w:pPr>
              <w:pStyle w:val="Tabletext"/>
            </w:pPr>
            <w:r>
              <w:t>In addition, we agree with the stated rationale that a focus on improved medicines optimisation in this population will better support asthma control.</w:t>
            </w:r>
          </w:p>
          <w:p w14:paraId="488BABF3" w14:textId="77777777" w:rsidR="009F1DB9" w:rsidRDefault="009F1DB9" w:rsidP="009F1DB9">
            <w:pPr>
              <w:pStyle w:val="Tabletext"/>
            </w:pPr>
          </w:p>
          <w:p w14:paraId="31506A9C" w14:textId="77777777" w:rsidR="009F1DB9" w:rsidRDefault="009F1DB9" w:rsidP="009F1DB9">
            <w:pPr>
              <w:pStyle w:val="Tabletext"/>
            </w:pPr>
            <w:r>
              <w:t xml:space="preserve">The asthma quality improvement programme, SENTINEL, demonstrates that conduct of an asthma review and </w:t>
            </w:r>
            <w:r>
              <w:lastRenderedPageBreak/>
              <w:t>transition to MART, resulted in a 29.8% and 19.6% reduction, respectively, in the number of patients experiencing &gt;1 exacerbation in the 12 months post-SENTINEL implementation [1], with over 85% of these patients remaining SABA-free. This demonstrates the benefit of high-quality asthma reviews and MART prescribing, and subsequent reductions in SABA prescribing</w:t>
            </w:r>
            <w:proofErr w:type="gramStart"/>
            <w:r>
              <w:t xml:space="preserve">.  </w:t>
            </w:r>
            <w:proofErr w:type="gramEnd"/>
            <w:r>
              <w:t xml:space="preserve">Furthermore, evidence shows that MART is more effective than using fixed-dose regular ICS/long-acting bronchodilator inhaler (LABA) regimens, which demand </w:t>
            </w:r>
            <w:proofErr w:type="gramStart"/>
            <w:r>
              <w:t>high levels</w:t>
            </w:r>
            <w:proofErr w:type="gramEnd"/>
            <w:r>
              <w:t xml:space="preserve"> of patient adherence, at the same and higher ICS doses [2].</w:t>
            </w:r>
          </w:p>
          <w:p w14:paraId="7516BAA3" w14:textId="77777777" w:rsidR="009F1DB9" w:rsidRDefault="009F1DB9" w:rsidP="009F1DB9">
            <w:pPr>
              <w:pStyle w:val="Tabletext"/>
            </w:pPr>
          </w:p>
          <w:p w14:paraId="0402E280" w14:textId="77777777" w:rsidR="009F1DB9" w:rsidRDefault="009F1DB9" w:rsidP="009F1DB9">
            <w:pPr>
              <w:pStyle w:val="Tabletext"/>
            </w:pPr>
            <w:r>
              <w:t>This proposed indicator should sit alongside the existing asthma indicators and the proposed high-risk annual review indicator to ensure that every person living with asthma can access MART treatment.</w:t>
            </w:r>
          </w:p>
          <w:p w14:paraId="7DB7EF89" w14:textId="77777777" w:rsidR="009F1DB9" w:rsidRDefault="009F1DB9" w:rsidP="009F1DB9">
            <w:pPr>
              <w:pStyle w:val="Tabletext"/>
            </w:pPr>
          </w:p>
          <w:p w14:paraId="146D4CF7" w14:textId="77777777" w:rsidR="009F1DB9" w:rsidRDefault="009F1DB9" w:rsidP="009F1DB9">
            <w:pPr>
              <w:pStyle w:val="Tabletext"/>
            </w:pPr>
            <w:r>
              <w:t>References:</w:t>
            </w:r>
          </w:p>
          <w:p w14:paraId="402E4C50" w14:textId="77777777" w:rsidR="009F1DB9" w:rsidRDefault="009F1DB9" w:rsidP="009F1DB9">
            <w:pPr>
              <w:pStyle w:val="Tabletext"/>
            </w:pPr>
            <w:r>
              <w:t>1.</w:t>
            </w:r>
            <w:r>
              <w:tab/>
              <w:t xml:space="preserve">Crooks M, et al., “Improving asthma care through implementation of </w:t>
            </w:r>
            <w:r>
              <w:lastRenderedPageBreak/>
              <w:t>the SENTINEL programme: findings from the pilot site,” ERJ Open Research, vol. 9, no. 3, pp. 00685-2022, 2023.</w:t>
            </w:r>
          </w:p>
          <w:p w14:paraId="6005C2CD" w14:textId="4B3275D3" w:rsidR="009F1DB9" w:rsidRPr="00215444" w:rsidRDefault="009F1DB9" w:rsidP="009F1DB9">
            <w:pPr>
              <w:pStyle w:val="Tabletext"/>
            </w:pPr>
            <w:r>
              <w:t>2.</w:t>
            </w:r>
            <w:r>
              <w:tab/>
              <w:t>M. Levy, et al., “Asthma: effect of excess short-acting β2-agonist (SABA) inhaler prescriptions on healthcare resource utilisation,” British Journal of General Practice, vol. 74, no. 745, pp. 374–376, 2024."</w:t>
            </w:r>
          </w:p>
        </w:tc>
        <w:tc>
          <w:tcPr>
            <w:tcW w:w="6096" w:type="dxa"/>
          </w:tcPr>
          <w:p w14:paraId="45AA7AC2" w14:textId="77777777" w:rsidR="009F1DB9" w:rsidRDefault="009F1DB9" w:rsidP="009F1DB9">
            <w:pPr>
              <w:pStyle w:val="Tabletext"/>
            </w:pPr>
            <w:r w:rsidRPr="007C5923">
              <w:lastRenderedPageBreak/>
              <w:t>Thank you for your comment.</w:t>
            </w:r>
          </w:p>
          <w:p w14:paraId="3AE456CA" w14:textId="77777777" w:rsidR="009622C1" w:rsidRDefault="009622C1" w:rsidP="009F1DB9">
            <w:pPr>
              <w:pStyle w:val="Tabletext"/>
            </w:pPr>
            <w:r>
              <w:t xml:space="preserve">Please see the response to </w:t>
            </w:r>
            <w:r w:rsidR="003306C2">
              <w:t xml:space="preserve">your </w:t>
            </w:r>
            <w:r>
              <w:t>comment ID7</w:t>
            </w:r>
            <w:r w:rsidR="003306C2">
              <w:t xml:space="preserve"> regarding the </w:t>
            </w:r>
            <w:r w:rsidR="003306C2" w:rsidRPr="003306C2">
              <w:t>SABA cutoff for risk factors for poor outcomes</w:t>
            </w:r>
            <w:r w:rsidR="003306C2">
              <w:t>.</w:t>
            </w:r>
          </w:p>
          <w:p w14:paraId="6B03E781" w14:textId="77777777" w:rsidR="00A41538" w:rsidRDefault="00A41538" w:rsidP="009F1DB9">
            <w:pPr>
              <w:pStyle w:val="Tabletext"/>
            </w:pPr>
          </w:p>
          <w:p w14:paraId="2D90FBBE" w14:textId="12FDF4F3" w:rsidR="003306C2" w:rsidRDefault="003306C2" w:rsidP="009F1DB9">
            <w:pPr>
              <w:pStyle w:val="Tabletext"/>
            </w:pPr>
          </w:p>
        </w:tc>
      </w:tr>
      <w:tr w:rsidR="007707C9" w:rsidRPr="00215444" w14:paraId="608BE40F" w14:textId="48ED6EC6" w:rsidTr="005A4609">
        <w:tc>
          <w:tcPr>
            <w:tcW w:w="562" w:type="dxa"/>
            <w:noWrap/>
          </w:tcPr>
          <w:p w14:paraId="3E715DA7" w14:textId="316A60CB" w:rsidR="007707C9" w:rsidRDefault="007707C9" w:rsidP="00FD5435">
            <w:pPr>
              <w:pStyle w:val="Tabletext"/>
            </w:pPr>
            <w:r>
              <w:lastRenderedPageBreak/>
              <w:t>23</w:t>
            </w:r>
          </w:p>
        </w:tc>
        <w:tc>
          <w:tcPr>
            <w:tcW w:w="1701" w:type="dxa"/>
          </w:tcPr>
          <w:p w14:paraId="1E22ACCE" w14:textId="57CEEF0C" w:rsidR="007707C9" w:rsidRPr="00215444" w:rsidRDefault="007707C9" w:rsidP="00FD5435">
            <w:pPr>
              <w:pStyle w:val="Tabletext"/>
            </w:pPr>
            <w:r w:rsidRPr="0058238D">
              <w:t>IND316</w:t>
            </w:r>
          </w:p>
        </w:tc>
        <w:tc>
          <w:tcPr>
            <w:tcW w:w="1560" w:type="dxa"/>
            <w:noWrap/>
          </w:tcPr>
          <w:p w14:paraId="334C2C36" w14:textId="766C5C24" w:rsidR="007707C9" w:rsidRPr="00215444" w:rsidRDefault="007707C9" w:rsidP="00FD5435">
            <w:pPr>
              <w:pStyle w:val="Tabletext"/>
            </w:pPr>
            <w:r>
              <w:t xml:space="preserve">Individual </w:t>
            </w:r>
            <w:proofErr w:type="gramStart"/>
            <w:r>
              <w:t>1</w:t>
            </w:r>
            <w:proofErr w:type="gramEnd"/>
          </w:p>
        </w:tc>
        <w:tc>
          <w:tcPr>
            <w:tcW w:w="4110" w:type="dxa"/>
          </w:tcPr>
          <w:p w14:paraId="0C48D123" w14:textId="5EEAD3A2" w:rsidR="007707C9" w:rsidRPr="00215444" w:rsidRDefault="007707C9" w:rsidP="00FD5435">
            <w:pPr>
              <w:pStyle w:val="Tabletext"/>
            </w:pPr>
            <w:r w:rsidRPr="00E564C7">
              <w:t xml:space="preserve">Should all </w:t>
            </w:r>
            <w:proofErr w:type="gramStart"/>
            <w:r w:rsidRPr="00E564C7">
              <w:t>high risk</w:t>
            </w:r>
            <w:proofErr w:type="gramEnd"/>
            <w:r w:rsidRPr="00E564C7">
              <w:t xml:space="preserve"> patients be on MART? There is no evidence (yet) for superiority of MART over conventional treatment in young children. </w:t>
            </w:r>
            <w:proofErr w:type="gramStart"/>
            <w:r w:rsidRPr="00E564C7">
              <w:t>It's</w:t>
            </w:r>
            <w:proofErr w:type="gramEnd"/>
            <w:r w:rsidRPr="00E564C7">
              <w:t xml:space="preserve"> main benefit is compensation for poor adherence. This </w:t>
            </w:r>
            <w:proofErr w:type="gramStart"/>
            <w:r w:rsidRPr="00E564C7">
              <w:t>is not always driven</w:t>
            </w:r>
            <w:proofErr w:type="gramEnd"/>
            <w:r w:rsidRPr="00E564C7">
              <w:t xml:space="preserve"> by the same behaviours in young children and their parents than in adults.</w:t>
            </w:r>
          </w:p>
        </w:tc>
        <w:tc>
          <w:tcPr>
            <w:tcW w:w="6096" w:type="dxa"/>
          </w:tcPr>
          <w:p w14:paraId="7F6FC74E" w14:textId="77777777" w:rsidR="007707C9" w:rsidRDefault="009F1DB9" w:rsidP="00FD5435">
            <w:pPr>
              <w:pStyle w:val="Tabletext"/>
            </w:pPr>
            <w:r w:rsidRPr="009F1DB9">
              <w:t>Thank you for your comment.</w:t>
            </w:r>
          </w:p>
          <w:p w14:paraId="6519FA97" w14:textId="77777777" w:rsidR="00A41538" w:rsidRDefault="00A41538" w:rsidP="00FD5435">
            <w:pPr>
              <w:pStyle w:val="Tabletext"/>
            </w:pPr>
            <w:r>
              <w:t xml:space="preserve">The indicator for MART in higher risk patients is only for </w:t>
            </w:r>
            <w:r w:rsidR="00C57DD7">
              <w:t>people aged 12 years or over</w:t>
            </w:r>
            <w:r w:rsidR="00500D60">
              <w:t xml:space="preserve">. </w:t>
            </w:r>
            <w:r w:rsidR="00500D60" w:rsidRPr="00500D60">
              <w:t xml:space="preserve">The </w:t>
            </w:r>
            <w:r w:rsidR="00500D60">
              <w:t xml:space="preserve">IAC </w:t>
            </w:r>
            <w:r w:rsidR="00500D60" w:rsidRPr="00500D60">
              <w:t xml:space="preserve">discussed that the indicator </w:t>
            </w:r>
            <w:proofErr w:type="gramStart"/>
            <w:r w:rsidR="00500D60" w:rsidRPr="00500D60">
              <w:t>was restricted</w:t>
            </w:r>
            <w:proofErr w:type="gramEnd"/>
            <w:r w:rsidR="00500D60" w:rsidRPr="00500D60">
              <w:t xml:space="preserve"> to people aged </w:t>
            </w:r>
            <w:proofErr w:type="gramStart"/>
            <w:r w:rsidR="00500D60" w:rsidRPr="00500D60">
              <w:t>12</w:t>
            </w:r>
            <w:proofErr w:type="gramEnd"/>
            <w:r w:rsidR="00500D60" w:rsidRPr="00500D60">
              <w:t xml:space="preserve"> and over mainly because of the </w:t>
            </w:r>
            <w:proofErr w:type="gramStart"/>
            <w:r w:rsidR="00500D60" w:rsidRPr="00500D60">
              <w:t>2</w:t>
            </w:r>
            <w:proofErr w:type="gramEnd"/>
            <w:r w:rsidR="00500D60" w:rsidRPr="00500D60">
              <w:t xml:space="preserve"> equal treatment pathways for under 12s (i.e. MART or conventional therapy) therefore incentivising only one of these pathways would not be appropriate. But there was also consideration that no MART therapy </w:t>
            </w:r>
            <w:proofErr w:type="gramStart"/>
            <w:r w:rsidR="00500D60" w:rsidRPr="00500D60">
              <w:t>is licensed</w:t>
            </w:r>
            <w:proofErr w:type="gramEnd"/>
            <w:r w:rsidR="00500D60" w:rsidRPr="00500D60">
              <w:t xml:space="preserve"> in under </w:t>
            </w:r>
            <w:proofErr w:type="gramStart"/>
            <w:r w:rsidR="00500D60" w:rsidRPr="00500D60">
              <w:t>12s</w:t>
            </w:r>
            <w:proofErr w:type="gramEnd"/>
            <w:r w:rsidR="00500D60" w:rsidRPr="00500D60">
              <w:t xml:space="preserve">. It </w:t>
            </w:r>
            <w:proofErr w:type="gramStart"/>
            <w:r w:rsidR="00500D60" w:rsidRPr="00500D60">
              <w:t>was also noted</w:t>
            </w:r>
            <w:proofErr w:type="gramEnd"/>
            <w:r w:rsidR="00500D60" w:rsidRPr="00500D60">
              <w:t xml:space="preserve"> that by including under </w:t>
            </w:r>
            <w:proofErr w:type="gramStart"/>
            <w:r w:rsidR="00500D60" w:rsidRPr="00500D60">
              <w:t>12s</w:t>
            </w:r>
            <w:proofErr w:type="gramEnd"/>
            <w:r w:rsidR="00500D60" w:rsidRPr="00500D60">
              <w:t>, the numerator would require recording of a discussion weighing up MART vs conventional therapy - rather than as currently the prescription of MART for which data is readily available.</w:t>
            </w:r>
          </w:p>
          <w:p w14:paraId="57BF8FB3" w14:textId="711FD4AB" w:rsidR="00500D60" w:rsidRPr="00E564C7" w:rsidRDefault="00500D60" w:rsidP="00FD5435">
            <w:pPr>
              <w:pStyle w:val="Tabletext"/>
            </w:pPr>
            <w:r>
              <w:t>For adults</w:t>
            </w:r>
            <w:r w:rsidRPr="00500D60">
              <w:t xml:space="preserve">, personalised care adjustments or exception reporting can </w:t>
            </w:r>
            <w:proofErr w:type="gramStart"/>
            <w:r w:rsidRPr="00500D60">
              <w:t>be considered</w:t>
            </w:r>
            <w:proofErr w:type="gramEnd"/>
            <w:r w:rsidRPr="00500D60">
              <w:t xml:space="preserve"> to account for situations where the patient declines or if MART is not appropriate.</w:t>
            </w:r>
          </w:p>
        </w:tc>
      </w:tr>
      <w:tr w:rsidR="009F1DB9" w:rsidRPr="00215444" w14:paraId="44484F67" w14:textId="5246E475" w:rsidTr="005A4609">
        <w:tc>
          <w:tcPr>
            <w:tcW w:w="562" w:type="dxa"/>
            <w:noWrap/>
          </w:tcPr>
          <w:p w14:paraId="2FE69051" w14:textId="5C36B4E3" w:rsidR="009F1DB9" w:rsidRDefault="009F1DB9" w:rsidP="009F1DB9">
            <w:pPr>
              <w:pStyle w:val="Tabletext"/>
            </w:pPr>
            <w:r>
              <w:lastRenderedPageBreak/>
              <w:t>24</w:t>
            </w:r>
          </w:p>
        </w:tc>
        <w:tc>
          <w:tcPr>
            <w:tcW w:w="1701" w:type="dxa"/>
          </w:tcPr>
          <w:p w14:paraId="3B3B47DF" w14:textId="26AF42E1" w:rsidR="009F1DB9" w:rsidRPr="00215444" w:rsidRDefault="009F1DB9" w:rsidP="009F1DB9">
            <w:pPr>
              <w:pStyle w:val="Tabletext"/>
            </w:pPr>
            <w:r w:rsidRPr="0058238D">
              <w:t>IND316</w:t>
            </w:r>
          </w:p>
        </w:tc>
        <w:tc>
          <w:tcPr>
            <w:tcW w:w="1560" w:type="dxa"/>
            <w:noWrap/>
          </w:tcPr>
          <w:p w14:paraId="6C4104AF" w14:textId="28A2BF01" w:rsidR="009F1DB9" w:rsidRPr="00215444" w:rsidRDefault="009F1DB9" w:rsidP="009F1DB9">
            <w:pPr>
              <w:pStyle w:val="Tabletext"/>
            </w:pPr>
            <w:r w:rsidRPr="00E564C7">
              <w:t xml:space="preserve">Individual </w:t>
            </w:r>
            <w:proofErr w:type="gramStart"/>
            <w:r w:rsidRPr="00E564C7">
              <w:t>1</w:t>
            </w:r>
            <w:proofErr w:type="gramEnd"/>
          </w:p>
        </w:tc>
        <w:tc>
          <w:tcPr>
            <w:tcW w:w="4110" w:type="dxa"/>
          </w:tcPr>
          <w:p w14:paraId="155DA324" w14:textId="0F87EB0B" w:rsidR="009F1DB9" w:rsidRPr="00215444" w:rsidRDefault="009F1DB9" w:rsidP="009F1DB9">
            <w:pPr>
              <w:pStyle w:val="Tabletext"/>
            </w:pPr>
            <w:r w:rsidRPr="00E564C7">
              <w:t xml:space="preserve">uncomfortable with financial incentive to change most at risk patients to </w:t>
            </w:r>
            <w:proofErr w:type="gramStart"/>
            <w:r w:rsidRPr="00E564C7">
              <w:t>an</w:t>
            </w:r>
            <w:proofErr w:type="gramEnd"/>
            <w:r w:rsidRPr="00E564C7">
              <w:t xml:space="preserve"> non </w:t>
            </w:r>
            <w:proofErr w:type="gramStart"/>
            <w:r w:rsidRPr="00E564C7">
              <w:t>evidence based</w:t>
            </w:r>
            <w:proofErr w:type="gramEnd"/>
            <w:r w:rsidRPr="00E564C7">
              <w:t xml:space="preserve"> treatment</w:t>
            </w:r>
          </w:p>
        </w:tc>
        <w:tc>
          <w:tcPr>
            <w:tcW w:w="6096" w:type="dxa"/>
          </w:tcPr>
          <w:p w14:paraId="30D5FC50" w14:textId="77777777" w:rsidR="009F1DB9" w:rsidRDefault="009F1DB9" w:rsidP="009F1DB9">
            <w:pPr>
              <w:pStyle w:val="Tabletext"/>
            </w:pPr>
            <w:r w:rsidRPr="00793259">
              <w:t>Thank you for your comment.</w:t>
            </w:r>
          </w:p>
          <w:p w14:paraId="4194E13A" w14:textId="2EB938D6" w:rsidR="00500D60" w:rsidRDefault="00500D60" w:rsidP="009F1DB9">
            <w:pPr>
              <w:pStyle w:val="Tabletext"/>
            </w:pPr>
            <w:r>
              <w:t>In people aged 12 and over, the BTS/NICE/SIGN asthma guideline found that l</w:t>
            </w:r>
            <w:r w:rsidRPr="00500D60">
              <w:t xml:space="preserve">ow-dose MART was better than regular low-dose ICS plus SABA as needed in reducing asthma exacerbations, and better than low-dose ICS/LABA plus SABA as needed in reducing asthma exacerbations and hospital admissions. </w:t>
            </w:r>
            <w:r>
              <w:t xml:space="preserve">An </w:t>
            </w:r>
            <w:r w:rsidRPr="00500D60">
              <w:t xml:space="preserve">economic analysis </w:t>
            </w:r>
            <w:r>
              <w:t xml:space="preserve">found that low-dose </w:t>
            </w:r>
            <w:r w:rsidRPr="00500D60">
              <w:t xml:space="preserve">MART </w:t>
            </w:r>
            <w:r>
              <w:t xml:space="preserve">was </w:t>
            </w:r>
            <w:r w:rsidRPr="00500D60">
              <w:t xml:space="preserve">cost-effective </w:t>
            </w:r>
            <w:r>
              <w:t xml:space="preserve">versus </w:t>
            </w:r>
            <w:r w:rsidRPr="00500D60">
              <w:t>low-dose ICS/LABA plus SABA as needed</w:t>
            </w:r>
            <w:r>
              <w:t xml:space="preserve">. </w:t>
            </w:r>
            <w:r w:rsidRPr="00500D60">
              <w:t>Moderate dose MART reduced severe asthma exacerbations compared with both regular moderate dose ICS/LABA with SABA as reliever and with regular moderate dose ICS with SABA as reliever.</w:t>
            </w:r>
          </w:p>
          <w:p w14:paraId="72FC785F" w14:textId="2D64AD5B" w:rsidR="00E01C55" w:rsidRDefault="00E01C55" w:rsidP="009F1DB9">
            <w:pPr>
              <w:pStyle w:val="Tabletext"/>
            </w:pPr>
            <w:r>
              <w:t>P</w:t>
            </w:r>
            <w:r w:rsidRPr="00E01C55">
              <w:t xml:space="preserve">ersonalised care adjustments or exception reporting can </w:t>
            </w:r>
            <w:proofErr w:type="gramStart"/>
            <w:r w:rsidRPr="00E01C55">
              <w:t>be considered</w:t>
            </w:r>
            <w:proofErr w:type="gramEnd"/>
            <w:r w:rsidRPr="00E01C55">
              <w:t xml:space="preserve"> to account for situations where the patient declines or if MART is not appropriate.</w:t>
            </w:r>
          </w:p>
          <w:p w14:paraId="04B7458F" w14:textId="1F519513" w:rsidR="00500D60" w:rsidRPr="00E564C7" w:rsidRDefault="00E01C55" w:rsidP="009F1DB9">
            <w:pPr>
              <w:pStyle w:val="Tabletext"/>
            </w:pPr>
            <w:r>
              <w:t>P</w:t>
            </w:r>
            <w:r w:rsidRPr="00E01C55">
              <w:t xml:space="preserve">eople aged </w:t>
            </w:r>
            <w:r>
              <w:t xml:space="preserve">under </w:t>
            </w:r>
            <w:r w:rsidRPr="00E01C55">
              <w:t xml:space="preserve">12 years </w:t>
            </w:r>
            <w:proofErr w:type="gramStart"/>
            <w:r>
              <w:t>are excluded</w:t>
            </w:r>
            <w:proofErr w:type="gramEnd"/>
            <w:r>
              <w:t xml:space="preserve"> from the </w:t>
            </w:r>
            <w:r w:rsidRPr="00E01C55">
              <w:t>indicator for MART in higher risk patients</w:t>
            </w:r>
            <w:r>
              <w:t>.</w:t>
            </w:r>
          </w:p>
        </w:tc>
      </w:tr>
      <w:tr w:rsidR="009F1DB9" w:rsidRPr="00215444" w14:paraId="77A17D67" w14:textId="1841A47C" w:rsidTr="005A4609">
        <w:tc>
          <w:tcPr>
            <w:tcW w:w="562" w:type="dxa"/>
            <w:noWrap/>
          </w:tcPr>
          <w:p w14:paraId="049E0735" w14:textId="06913483" w:rsidR="009F1DB9" w:rsidRDefault="009F1DB9" w:rsidP="009F1DB9">
            <w:pPr>
              <w:pStyle w:val="Tabletext"/>
            </w:pPr>
            <w:r>
              <w:t>25</w:t>
            </w:r>
          </w:p>
        </w:tc>
        <w:tc>
          <w:tcPr>
            <w:tcW w:w="1701" w:type="dxa"/>
          </w:tcPr>
          <w:p w14:paraId="3D8733DA" w14:textId="6222A9E4" w:rsidR="009F1DB9" w:rsidRPr="00215444" w:rsidRDefault="009F1DB9" w:rsidP="009F1DB9">
            <w:pPr>
              <w:pStyle w:val="Tabletext"/>
            </w:pPr>
            <w:r w:rsidRPr="0058238D">
              <w:t>IND316</w:t>
            </w:r>
          </w:p>
        </w:tc>
        <w:tc>
          <w:tcPr>
            <w:tcW w:w="1560" w:type="dxa"/>
            <w:noWrap/>
          </w:tcPr>
          <w:p w14:paraId="06DD037F" w14:textId="0BEC8A3D" w:rsidR="009F1DB9" w:rsidRPr="00215444" w:rsidRDefault="009F1DB9" w:rsidP="009F1DB9">
            <w:pPr>
              <w:pStyle w:val="Tabletext"/>
            </w:pPr>
            <w:r w:rsidRPr="00E40367">
              <w:t xml:space="preserve">Individual </w:t>
            </w:r>
            <w:proofErr w:type="gramStart"/>
            <w:r w:rsidRPr="00E40367">
              <w:t>1</w:t>
            </w:r>
            <w:proofErr w:type="gramEnd"/>
          </w:p>
        </w:tc>
        <w:tc>
          <w:tcPr>
            <w:tcW w:w="4110" w:type="dxa"/>
          </w:tcPr>
          <w:p w14:paraId="67DBD5AF" w14:textId="2C70B83F" w:rsidR="009F1DB9" w:rsidRPr="00215444" w:rsidRDefault="009F1DB9" w:rsidP="009F1DB9">
            <w:pPr>
              <w:pStyle w:val="Tabletext"/>
            </w:pPr>
            <w:r w:rsidRPr="002333A1">
              <w:t>Has there been any modelling of how well these factors correlate with 'adverse outcomes'? does this mean death, poor control, poor QoL, school absence?</w:t>
            </w:r>
          </w:p>
        </w:tc>
        <w:tc>
          <w:tcPr>
            <w:tcW w:w="6096" w:type="dxa"/>
          </w:tcPr>
          <w:p w14:paraId="26B92495" w14:textId="0E0D922D" w:rsidR="00E01C55" w:rsidRDefault="009F1DB9" w:rsidP="00E01C55">
            <w:pPr>
              <w:pStyle w:val="Tabletext"/>
            </w:pPr>
            <w:r w:rsidRPr="00793259">
              <w:t>Thank you for your comment.</w:t>
            </w:r>
          </w:p>
          <w:p w14:paraId="0C81525F" w14:textId="745E5B54" w:rsidR="007C7751" w:rsidRDefault="007C7751" w:rsidP="00E01C55">
            <w:pPr>
              <w:pStyle w:val="Tabletext"/>
            </w:pPr>
            <w:r>
              <w:t xml:space="preserve">Poor outcomes </w:t>
            </w:r>
            <w:proofErr w:type="gramStart"/>
            <w:r>
              <w:t>is</w:t>
            </w:r>
            <w:proofErr w:type="gramEnd"/>
            <w:r>
              <w:t xml:space="preserve"> defined in the indicator as </w:t>
            </w:r>
            <w:r w:rsidRPr="007C7751">
              <w:t>death, hospital admission, and the need for out-of-hours contacts or visits to an emergency department for asthma exacerbations.</w:t>
            </w:r>
          </w:p>
          <w:p w14:paraId="294FDC74" w14:textId="64941C16" w:rsidR="007C7751" w:rsidRPr="00E40367" w:rsidRDefault="007C7751" w:rsidP="00E01C55">
            <w:pPr>
              <w:pStyle w:val="Tabletext"/>
            </w:pPr>
            <w:r>
              <w:t xml:space="preserve">The risk factors for poor outcomes </w:t>
            </w:r>
            <w:proofErr w:type="gramStart"/>
            <w:r>
              <w:t>are taken</w:t>
            </w:r>
            <w:proofErr w:type="gramEnd"/>
            <w:r>
              <w:t xml:space="preserve"> </w:t>
            </w:r>
            <w:proofErr w:type="gramStart"/>
            <w:r>
              <w:t>from  BTS</w:t>
            </w:r>
            <w:proofErr w:type="gramEnd"/>
            <w:r>
              <w:t>/</w:t>
            </w:r>
            <w:r w:rsidR="00473EF9">
              <w:t>NICE/</w:t>
            </w:r>
            <w:r>
              <w:t xml:space="preserve">SIGN </w:t>
            </w:r>
            <w:r w:rsidR="00473EF9">
              <w:t xml:space="preserve">asthma </w:t>
            </w:r>
            <w:r>
              <w:t xml:space="preserve">guideline section 1.15 on risk-stratified care. </w:t>
            </w:r>
            <w:r w:rsidRPr="007C7751">
              <w:t xml:space="preserve">The guideline committee noted that </w:t>
            </w:r>
            <w:proofErr w:type="gramStart"/>
            <w:r w:rsidRPr="007C7751">
              <w:t>most of</w:t>
            </w:r>
            <w:proofErr w:type="gramEnd"/>
            <w:r w:rsidRPr="007C7751">
              <w:t xml:space="preserve"> the studies examined for the recommendation showed </w:t>
            </w:r>
            <w:proofErr w:type="gramStart"/>
            <w:r w:rsidRPr="007C7751">
              <w:t>some</w:t>
            </w:r>
            <w:proofErr w:type="gramEnd"/>
            <w:r w:rsidRPr="007C7751">
              <w:t xml:space="preserve"> reduction in A&amp;E attendance or hospitalisation after risk stratification.</w:t>
            </w:r>
            <w:r w:rsidR="002333A1">
              <w:t xml:space="preserve"> </w:t>
            </w:r>
            <w:r w:rsidR="002333A1" w:rsidRPr="002333A1">
              <w:t xml:space="preserve">An associated health economic review </w:t>
            </w:r>
            <w:r w:rsidR="002333A1" w:rsidRPr="002333A1">
              <w:lastRenderedPageBreak/>
              <w:t>showed that risk stratification is likely to be cost-effective.</w:t>
            </w:r>
            <w:r w:rsidR="002333A1">
              <w:t xml:space="preserve"> </w:t>
            </w:r>
            <w:r w:rsidR="002333A1" w:rsidRPr="002333A1">
              <w:t>Based on this evidence and their clinical experience, the committee agreed there should be a benefit in identifying people 'at risk' of poor asthma outcomes and recommended that primary care services should consider introducing a risk-stratification system which then allows care to be adjusted according to the greater needs of some people.</w:t>
            </w:r>
            <w:r w:rsidR="002333A1">
              <w:t xml:space="preserve"> Heterogeneity among the studies meant the </w:t>
            </w:r>
            <w:r w:rsidR="002333A1" w:rsidRPr="002333A1">
              <w:t>committee were unable to define precisely how to identify people at risk</w:t>
            </w:r>
            <w:r w:rsidR="002333A1">
              <w:t>.</w:t>
            </w:r>
          </w:p>
        </w:tc>
      </w:tr>
      <w:tr w:rsidR="009F1DB9" w:rsidRPr="00215444" w14:paraId="214D37C3" w14:textId="4E9BE686" w:rsidTr="005A4609">
        <w:tc>
          <w:tcPr>
            <w:tcW w:w="562" w:type="dxa"/>
            <w:noWrap/>
          </w:tcPr>
          <w:p w14:paraId="42550556" w14:textId="686DA2E2" w:rsidR="009F1DB9" w:rsidRDefault="009F1DB9" w:rsidP="009F1DB9">
            <w:pPr>
              <w:pStyle w:val="Tabletext"/>
            </w:pPr>
            <w:r>
              <w:lastRenderedPageBreak/>
              <w:t>26</w:t>
            </w:r>
          </w:p>
        </w:tc>
        <w:tc>
          <w:tcPr>
            <w:tcW w:w="1701" w:type="dxa"/>
          </w:tcPr>
          <w:p w14:paraId="52BA8756" w14:textId="3147515D" w:rsidR="009F1DB9" w:rsidRPr="00215444" w:rsidRDefault="009F1DB9" w:rsidP="009F1DB9">
            <w:pPr>
              <w:pStyle w:val="Tabletext"/>
            </w:pPr>
            <w:r w:rsidRPr="0058238D">
              <w:t>IND316</w:t>
            </w:r>
          </w:p>
        </w:tc>
        <w:tc>
          <w:tcPr>
            <w:tcW w:w="1560" w:type="dxa"/>
            <w:noWrap/>
          </w:tcPr>
          <w:p w14:paraId="58E6D8F0" w14:textId="60906696" w:rsidR="009F1DB9" w:rsidRPr="00215444" w:rsidRDefault="009F1DB9" w:rsidP="009F1DB9">
            <w:pPr>
              <w:pStyle w:val="Tabletext"/>
            </w:pPr>
            <w:r w:rsidRPr="006D4ECD">
              <w:t xml:space="preserve">Individual </w:t>
            </w:r>
            <w:proofErr w:type="gramStart"/>
            <w:r w:rsidRPr="006D4ECD">
              <w:t>1</w:t>
            </w:r>
            <w:proofErr w:type="gramEnd"/>
          </w:p>
        </w:tc>
        <w:tc>
          <w:tcPr>
            <w:tcW w:w="4110" w:type="dxa"/>
          </w:tcPr>
          <w:p w14:paraId="2B1D6234" w14:textId="45F740B2" w:rsidR="009F1DB9" w:rsidRPr="00215444" w:rsidRDefault="009F1DB9" w:rsidP="009F1DB9">
            <w:pPr>
              <w:pStyle w:val="Tabletext"/>
            </w:pPr>
            <w:r w:rsidRPr="006D4ECD">
              <w:t xml:space="preserve">should </w:t>
            </w:r>
            <w:proofErr w:type="gramStart"/>
            <w:r w:rsidRPr="006D4ECD">
              <w:t>6</w:t>
            </w:r>
            <w:proofErr w:type="gramEnd"/>
            <w:r w:rsidRPr="006D4ECD">
              <w:t xml:space="preserve"> or more saba be a risk factor when this is part of conventional not MART treatment it might skew the indicator</w:t>
            </w:r>
          </w:p>
        </w:tc>
        <w:tc>
          <w:tcPr>
            <w:tcW w:w="6096" w:type="dxa"/>
          </w:tcPr>
          <w:p w14:paraId="2DC6B165" w14:textId="77777777" w:rsidR="009F1DB9" w:rsidRDefault="009F1DB9" w:rsidP="009F1DB9">
            <w:pPr>
              <w:pStyle w:val="Tabletext"/>
            </w:pPr>
            <w:r w:rsidRPr="00793259">
              <w:t>Thank you for your comment.</w:t>
            </w:r>
          </w:p>
          <w:p w14:paraId="4DE778EC" w14:textId="50B64154" w:rsidR="00E01C55" w:rsidRPr="006D4ECD" w:rsidRDefault="00E01C55" w:rsidP="009F1DB9">
            <w:pPr>
              <w:pStyle w:val="Tabletext"/>
            </w:pPr>
            <w:r>
              <w:t xml:space="preserve">People who are on conventional treatment pathways which may involve greater use of SABAs are a key target population for this indicator. Individuals found to be at higher risk of poor outcomes through use of 6+ SABAs per year can </w:t>
            </w:r>
            <w:proofErr w:type="gramStart"/>
            <w:r>
              <w:t>be identified</w:t>
            </w:r>
            <w:proofErr w:type="gramEnd"/>
            <w:r>
              <w:t xml:space="preserve"> and moved to more effective treatments such as MART.</w:t>
            </w:r>
          </w:p>
        </w:tc>
      </w:tr>
      <w:tr w:rsidR="009F1DB9" w:rsidRPr="00215444" w14:paraId="3CE40DD4" w14:textId="744A8876" w:rsidTr="005A4609">
        <w:tc>
          <w:tcPr>
            <w:tcW w:w="562" w:type="dxa"/>
            <w:noWrap/>
          </w:tcPr>
          <w:p w14:paraId="2A6109A2" w14:textId="38C7C7CA" w:rsidR="009F1DB9" w:rsidRDefault="009F1DB9" w:rsidP="009F1DB9">
            <w:pPr>
              <w:pStyle w:val="Tabletext"/>
            </w:pPr>
            <w:r>
              <w:t>27</w:t>
            </w:r>
          </w:p>
        </w:tc>
        <w:tc>
          <w:tcPr>
            <w:tcW w:w="1701" w:type="dxa"/>
          </w:tcPr>
          <w:p w14:paraId="67BB64DD" w14:textId="03927D2C" w:rsidR="009F1DB9" w:rsidRPr="00215444" w:rsidRDefault="009F1DB9" w:rsidP="009F1DB9">
            <w:pPr>
              <w:pStyle w:val="Tabletext"/>
            </w:pPr>
            <w:r w:rsidRPr="00247ACF">
              <w:t>IND316</w:t>
            </w:r>
          </w:p>
        </w:tc>
        <w:tc>
          <w:tcPr>
            <w:tcW w:w="1560" w:type="dxa"/>
            <w:noWrap/>
          </w:tcPr>
          <w:p w14:paraId="1B196A66" w14:textId="4F234748" w:rsidR="009F1DB9" w:rsidRPr="00215444" w:rsidRDefault="009F1DB9" w:rsidP="009F1DB9">
            <w:pPr>
              <w:pStyle w:val="Tabletext"/>
            </w:pPr>
            <w:r w:rsidRPr="00F90367">
              <w:t xml:space="preserve">Individual </w:t>
            </w:r>
            <w:proofErr w:type="gramStart"/>
            <w:r>
              <w:t>2</w:t>
            </w:r>
            <w:proofErr w:type="gramEnd"/>
          </w:p>
        </w:tc>
        <w:tc>
          <w:tcPr>
            <w:tcW w:w="4110" w:type="dxa"/>
          </w:tcPr>
          <w:p w14:paraId="3913850D" w14:textId="3CEEC518" w:rsidR="009F1DB9" w:rsidRPr="00215444" w:rsidRDefault="009F1DB9" w:rsidP="009F1DB9">
            <w:pPr>
              <w:pStyle w:val="Tabletext"/>
            </w:pPr>
            <w:r w:rsidRPr="00F90367">
              <w:t xml:space="preserve">The indicator on MART </w:t>
            </w:r>
            <w:proofErr w:type="gramStart"/>
            <w:r w:rsidRPr="00F90367">
              <w:t>is currently limited</w:t>
            </w:r>
            <w:proofErr w:type="gramEnd"/>
            <w:r w:rsidRPr="00F90367">
              <w:t xml:space="preserve"> to 12 years and above, but the NICE guidelines recommend MART for age 5 and above. By limiting the indicator to age 12 and above, it risks introducing health inequalities related to age, and there will be less of a push to put the younger children on MART. The difference in this 5-11 years group is that there are 2 options - either MART or conventional (non-MART treatment), </w:t>
            </w:r>
            <w:r w:rsidRPr="00F90367">
              <w:lastRenderedPageBreak/>
              <w:t xml:space="preserve">so the indicator would need to be related to the percentage of patients where MART was considered and discussed with the family rather than the percentage who actually are on MART, as it may be that is was discussed but was not thought to be appropriate. A recent consensus statement on AIR and MART in CYP has </w:t>
            </w:r>
            <w:proofErr w:type="gramStart"/>
            <w:r w:rsidRPr="00F90367">
              <w:t>been produced</w:t>
            </w:r>
            <w:proofErr w:type="gramEnd"/>
            <w:r w:rsidRPr="00F90367">
              <w:t xml:space="preserve"> outlining recommended treatment approach as is available here: https://www.beatasthma.co.uk/wp-content/uploads/2025/04/MART-Consensus-statement-FINAL.pdf</w:t>
            </w:r>
          </w:p>
        </w:tc>
        <w:tc>
          <w:tcPr>
            <w:tcW w:w="6096" w:type="dxa"/>
          </w:tcPr>
          <w:p w14:paraId="262026E4" w14:textId="77777777" w:rsidR="009F1DB9" w:rsidRDefault="009F1DB9" w:rsidP="009F1DB9">
            <w:pPr>
              <w:pStyle w:val="Tabletext"/>
            </w:pPr>
            <w:r w:rsidRPr="00793259">
              <w:lastRenderedPageBreak/>
              <w:t>Thank you for your comment.</w:t>
            </w:r>
          </w:p>
          <w:p w14:paraId="6A621891" w14:textId="0A1D5747" w:rsidR="00E01C55" w:rsidRPr="00F90367" w:rsidRDefault="00E01C55" w:rsidP="009F1DB9">
            <w:pPr>
              <w:pStyle w:val="Tabletext"/>
            </w:pPr>
            <w:r w:rsidRPr="00E01C55">
              <w:t xml:space="preserve">The indicator for MART in higher risk patients is only for people aged 12 years or over. The IAC discussed that the indicator </w:t>
            </w:r>
            <w:proofErr w:type="gramStart"/>
            <w:r w:rsidRPr="00E01C55">
              <w:t>was restricted</w:t>
            </w:r>
            <w:proofErr w:type="gramEnd"/>
            <w:r w:rsidRPr="00E01C55">
              <w:t xml:space="preserve"> to people aged </w:t>
            </w:r>
            <w:proofErr w:type="gramStart"/>
            <w:r w:rsidRPr="00E01C55">
              <w:t>12</w:t>
            </w:r>
            <w:proofErr w:type="gramEnd"/>
            <w:r w:rsidRPr="00E01C55">
              <w:t xml:space="preserve"> and over mainly because of the </w:t>
            </w:r>
            <w:proofErr w:type="gramStart"/>
            <w:r w:rsidRPr="00E01C55">
              <w:t>2</w:t>
            </w:r>
            <w:proofErr w:type="gramEnd"/>
            <w:r w:rsidRPr="00E01C55">
              <w:t xml:space="preserve"> equal treatment pathways for under 12s (i.e. MART or conventional therapy) therefore incentivising only one of these pathways would not be appropriate. But there was also consideration that no MART therapy </w:t>
            </w:r>
            <w:proofErr w:type="gramStart"/>
            <w:r w:rsidRPr="00E01C55">
              <w:t>is licensed</w:t>
            </w:r>
            <w:proofErr w:type="gramEnd"/>
            <w:r w:rsidRPr="00E01C55">
              <w:t xml:space="preserve"> in under </w:t>
            </w:r>
            <w:proofErr w:type="gramStart"/>
            <w:r w:rsidRPr="00E01C55">
              <w:t>12s</w:t>
            </w:r>
            <w:proofErr w:type="gramEnd"/>
            <w:r w:rsidRPr="00E01C55">
              <w:t xml:space="preserve">. It </w:t>
            </w:r>
            <w:proofErr w:type="gramStart"/>
            <w:r w:rsidRPr="00E01C55">
              <w:t>was also noted</w:t>
            </w:r>
            <w:proofErr w:type="gramEnd"/>
            <w:r w:rsidRPr="00E01C55">
              <w:t xml:space="preserve"> that by including under </w:t>
            </w:r>
            <w:proofErr w:type="gramStart"/>
            <w:r w:rsidRPr="00E01C55">
              <w:t>12s</w:t>
            </w:r>
            <w:proofErr w:type="gramEnd"/>
            <w:r w:rsidRPr="00E01C55">
              <w:t xml:space="preserve">, the numerator would require recording of a discussion weighing up MART vs conventional therapy - </w:t>
            </w:r>
            <w:r w:rsidRPr="00E01C55">
              <w:lastRenderedPageBreak/>
              <w:t>rather than as currently the prescription of MART for which data is readily available.</w:t>
            </w:r>
          </w:p>
        </w:tc>
      </w:tr>
      <w:tr w:rsidR="009F1DB9" w:rsidRPr="00215444" w14:paraId="0643F0B6" w14:textId="18306CE7" w:rsidTr="005A4609">
        <w:tc>
          <w:tcPr>
            <w:tcW w:w="562" w:type="dxa"/>
            <w:noWrap/>
          </w:tcPr>
          <w:p w14:paraId="13F34A25" w14:textId="6C36DD58" w:rsidR="009F1DB9" w:rsidRDefault="009F1DB9" w:rsidP="009F1DB9">
            <w:pPr>
              <w:pStyle w:val="Tabletext"/>
            </w:pPr>
            <w:r>
              <w:lastRenderedPageBreak/>
              <w:t>28</w:t>
            </w:r>
          </w:p>
        </w:tc>
        <w:tc>
          <w:tcPr>
            <w:tcW w:w="1701" w:type="dxa"/>
          </w:tcPr>
          <w:p w14:paraId="777035E5" w14:textId="02B8A543" w:rsidR="009F1DB9" w:rsidRPr="00215444" w:rsidRDefault="009F1DB9" w:rsidP="009F1DB9">
            <w:pPr>
              <w:pStyle w:val="Tabletext"/>
            </w:pPr>
            <w:r w:rsidRPr="00247ACF">
              <w:t>IND316</w:t>
            </w:r>
          </w:p>
        </w:tc>
        <w:tc>
          <w:tcPr>
            <w:tcW w:w="1560" w:type="dxa"/>
            <w:noWrap/>
          </w:tcPr>
          <w:p w14:paraId="26D084D5" w14:textId="38D90116" w:rsidR="009F1DB9" w:rsidRPr="00215444" w:rsidRDefault="009F1DB9" w:rsidP="009F1DB9">
            <w:pPr>
              <w:pStyle w:val="Tabletext"/>
            </w:pPr>
            <w:r w:rsidRPr="005236D8">
              <w:t>Primary Care Respiratory Society (PCRS)</w:t>
            </w:r>
          </w:p>
        </w:tc>
        <w:tc>
          <w:tcPr>
            <w:tcW w:w="4110" w:type="dxa"/>
          </w:tcPr>
          <w:p w14:paraId="2884B5EC" w14:textId="1CB6D6C1" w:rsidR="009F1DB9" w:rsidRPr="00215444" w:rsidRDefault="009F1DB9" w:rsidP="009F1DB9">
            <w:pPr>
              <w:pStyle w:val="Tabletext"/>
            </w:pPr>
            <w:r w:rsidRPr="005236D8">
              <w:t>Section 1.7 (paragraph 2): By using such a high cut-off of 6+, it implies less than that is ok. See comments in the Asthma Review consultation.</w:t>
            </w:r>
          </w:p>
        </w:tc>
        <w:tc>
          <w:tcPr>
            <w:tcW w:w="6096" w:type="dxa"/>
          </w:tcPr>
          <w:p w14:paraId="13F6AAD5" w14:textId="77777777" w:rsidR="009F1DB9" w:rsidRDefault="009F1DB9" w:rsidP="009F1DB9">
            <w:pPr>
              <w:pStyle w:val="Tabletext"/>
            </w:pPr>
            <w:r w:rsidRPr="005A04AE">
              <w:t>Thank you for your comment.</w:t>
            </w:r>
          </w:p>
          <w:p w14:paraId="23F9101A" w14:textId="2B527BB0" w:rsidR="000928CB" w:rsidRDefault="00D03D08" w:rsidP="000928CB">
            <w:pPr>
              <w:pStyle w:val="Tabletext"/>
            </w:pPr>
            <w:r>
              <w:t xml:space="preserve">Please see the response to your comment ID16 regarding the </w:t>
            </w:r>
            <w:r w:rsidRPr="003306C2">
              <w:t>SABA cutoff for risk factors for poor outcomes</w:t>
            </w:r>
            <w:r>
              <w:t>.</w:t>
            </w:r>
          </w:p>
          <w:p w14:paraId="14CE860E" w14:textId="24EB8638" w:rsidR="000928CB" w:rsidRPr="005236D8" w:rsidRDefault="000928CB" w:rsidP="009F1DB9">
            <w:pPr>
              <w:pStyle w:val="Tabletext"/>
            </w:pPr>
          </w:p>
        </w:tc>
      </w:tr>
      <w:tr w:rsidR="009F1DB9" w:rsidRPr="00215444" w14:paraId="3FB60FB7" w14:textId="1FB532B4" w:rsidTr="005A4609">
        <w:tc>
          <w:tcPr>
            <w:tcW w:w="562" w:type="dxa"/>
            <w:noWrap/>
          </w:tcPr>
          <w:p w14:paraId="4A2EAD11" w14:textId="2CF15869" w:rsidR="009F1DB9" w:rsidRDefault="009F1DB9" w:rsidP="009F1DB9">
            <w:pPr>
              <w:pStyle w:val="Tabletext"/>
            </w:pPr>
            <w:r>
              <w:t>29</w:t>
            </w:r>
          </w:p>
        </w:tc>
        <w:tc>
          <w:tcPr>
            <w:tcW w:w="1701" w:type="dxa"/>
          </w:tcPr>
          <w:p w14:paraId="7BB24E39" w14:textId="633BAE9B" w:rsidR="009F1DB9" w:rsidRPr="00215444" w:rsidRDefault="009F1DB9" w:rsidP="009F1DB9">
            <w:pPr>
              <w:pStyle w:val="Tabletext"/>
            </w:pPr>
            <w:r w:rsidRPr="00247ACF">
              <w:t>IND316</w:t>
            </w:r>
          </w:p>
        </w:tc>
        <w:tc>
          <w:tcPr>
            <w:tcW w:w="1560" w:type="dxa"/>
            <w:noWrap/>
          </w:tcPr>
          <w:p w14:paraId="026FD3E0" w14:textId="70DFC4EE" w:rsidR="009F1DB9" w:rsidRPr="00215444" w:rsidRDefault="009F1DB9" w:rsidP="009F1DB9">
            <w:pPr>
              <w:pStyle w:val="Tabletext"/>
            </w:pPr>
            <w:r w:rsidRPr="00B73B99">
              <w:t>Primary Care Respiratory Society (PCRS)</w:t>
            </w:r>
          </w:p>
        </w:tc>
        <w:tc>
          <w:tcPr>
            <w:tcW w:w="4110" w:type="dxa"/>
          </w:tcPr>
          <w:p w14:paraId="5BD5268F" w14:textId="0F724ED5" w:rsidR="009F1DB9" w:rsidRDefault="009F1DB9" w:rsidP="009F1DB9">
            <w:pPr>
              <w:pStyle w:val="Tabletext"/>
            </w:pPr>
            <w:r>
              <w:t xml:space="preserve">Section 1.7 (paragraph 5): Same comment as for Asthma Review. </w:t>
            </w:r>
          </w:p>
          <w:p w14:paraId="53232516" w14:textId="77777777" w:rsidR="009F1DB9" w:rsidRDefault="009F1DB9" w:rsidP="009F1DB9">
            <w:pPr>
              <w:pStyle w:val="Tabletext"/>
            </w:pPr>
          </w:p>
          <w:p w14:paraId="1B3535A3" w14:textId="77777777" w:rsidR="009F1DB9" w:rsidRDefault="009F1DB9" w:rsidP="009F1DB9">
            <w:pPr>
              <w:pStyle w:val="Tabletext"/>
            </w:pPr>
            <w:r>
              <w:t xml:space="preserve">6+ is too high. </w:t>
            </w:r>
          </w:p>
          <w:p w14:paraId="63576117" w14:textId="77777777" w:rsidR="009F1DB9" w:rsidRDefault="009F1DB9" w:rsidP="009F1DB9">
            <w:pPr>
              <w:pStyle w:val="Tabletext"/>
            </w:pPr>
          </w:p>
          <w:p w14:paraId="2A349602" w14:textId="77777777" w:rsidR="009F1DB9" w:rsidRDefault="009F1DB9" w:rsidP="009F1DB9">
            <w:pPr>
              <w:pStyle w:val="Tabletext"/>
            </w:pPr>
            <w:r>
              <w:lastRenderedPageBreak/>
              <w:t xml:space="preserve">Definition used for asthma attacks is ok as </w:t>
            </w:r>
            <w:proofErr w:type="gramStart"/>
            <w:r>
              <w:t>most asthma attacks are treated by GP</w:t>
            </w:r>
            <w:proofErr w:type="gramEnd"/>
            <w:r>
              <w:t xml:space="preserve">. </w:t>
            </w:r>
          </w:p>
          <w:p w14:paraId="171FF2E6" w14:textId="3E6B9EB9" w:rsidR="009F1DB9" w:rsidRPr="00215444" w:rsidRDefault="009F1DB9" w:rsidP="009F1DB9">
            <w:pPr>
              <w:pStyle w:val="Tabletext"/>
            </w:pPr>
            <w:r>
              <w:t xml:space="preserve">However, it will miss </w:t>
            </w:r>
            <w:proofErr w:type="gramStart"/>
            <w:r>
              <w:t>some of</w:t>
            </w:r>
            <w:proofErr w:type="gramEnd"/>
            <w:r>
              <w:t xml:space="preserve"> the minority that only seek hospital-based care which are often those not engaging with asthma reviews anyway. This will further exacerbate healthcare disparities with those groups. Identifying them would require active engagement through A&amp;E.</w:t>
            </w:r>
          </w:p>
        </w:tc>
        <w:tc>
          <w:tcPr>
            <w:tcW w:w="6096" w:type="dxa"/>
          </w:tcPr>
          <w:p w14:paraId="0CD1277F" w14:textId="77777777" w:rsidR="009F1DB9" w:rsidRDefault="009F1DB9" w:rsidP="009F1DB9">
            <w:pPr>
              <w:pStyle w:val="Tabletext"/>
            </w:pPr>
            <w:r w:rsidRPr="005A04AE">
              <w:lastRenderedPageBreak/>
              <w:t>Thank you for your comment.</w:t>
            </w:r>
          </w:p>
          <w:p w14:paraId="3E0EF0D8" w14:textId="77777777" w:rsidR="000928CB" w:rsidRDefault="000928CB" w:rsidP="000928CB">
            <w:pPr>
              <w:pStyle w:val="Tabletext"/>
            </w:pPr>
            <w:r>
              <w:t xml:space="preserve">Please see the response to your comment ID16 regarding the </w:t>
            </w:r>
            <w:r w:rsidRPr="003306C2">
              <w:t>SABA cutoff for risk factors for poor outcomes</w:t>
            </w:r>
            <w:r>
              <w:t>.</w:t>
            </w:r>
          </w:p>
          <w:p w14:paraId="1FDEE484" w14:textId="6E489B02" w:rsidR="000928CB" w:rsidRDefault="000928CB" w:rsidP="00BD2569">
            <w:pPr>
              <w:pStyle w:val="Tabletext"/>
            </w:pPr>
            <w:r>
              <w:t xml:space="preserve">Patients </w:t>
            </w:r>
            <w:r w:rsidRPr="000928CB">
              <w:t>that only seek hospital-based care</w:t>
            </w:r>
            <w:r>
              <w:t xml:space="preserve"> for asthma</w:t>
            </w:r>
            <w:r w:rsidR="00BD2569">
              <w:t xml:space="preserve"> can </w:t>
            </w:r>
            <w:proofErr w:type="gramStart"/>
            <w:r w:rsidR="00BD2569">
              <w:t>be identified</w:t>
            </w:r>
            <w:proofErr w:type="gramEnd"/>
            <w:r w:rsidR="00BD2569">
              <w:t xml:space="preserve"> through the risk factors of 2 or more ED visits for asthma, or any hospital admission for asthma.</w:t>
            </w:r>
          </w:p>
          <w:p w14:paraId="0566EF26" w14:textId="30FADBBA" w:rsidR="00BD2569" w:rsidRDefault="00BD2569" w:rsidP="00BD2569">
            <w:pPr>
              <w:pStyle w:val="Tabletext"/>
            </w:pPr>
            <w:r w:rsidRPr="00BD2569">
              <w:t xml:space="preserve">The IAC were aware of the shortcomings with the coding of ED visits and hospital admissions, and the transmission of </w:t>
            </w:r>
            <w:r w:rsidRPr="00BD2569">
              <w:lastRenderedPageBreak/>
              <w:t xml:space="preserve">this data to </w:t>
            </w:r>
            <w:r w:rsidR="000A0ABC">
              <w:t>general practice</w:t>
            </w:r>
            <w:r w:rsidRPr="00BD2569">
              <w:t xml:space="preserve">. They agreed it was </w:t>
            </w:r>
            <w:r w:rsidR="000A0ABC">
              <w:t>useful</w:t>
            </w:r>
            <w:r w:rsidR="000A0ABC" w:rsidRPr="00BD2569">
              <w:t xml:space="preserve"> </w:t>
            </w:r>
            <w:r w:rsidRPr="00BD2569">
              <w:t xml:space="preserve">to </w:t>
            </w:r>
            <w:r w:rsidR="000A0ABC">
              <w:t>include</w:t>
            </w:r>
            <w:r w:rsidR="000A0ABC" w:rsidRPr="00BD2569">
              <w:t xml:space="preserve"> </w:t>
            </w:r>
            <w:r w:rsidRPr="00BD2569">
              <w:t xml:space="preserve">those patients who have been correctly coded, </w:t>
            </w:r>
            <w:proofErr w:type="gramStart"/>
            <w:r w:rsidRPr="00BD2569">
              <w:t>than</w:t>
            </w:r>
            <w:proofErr w:type="gramEnd"/>
            <w:r w:rsidRPr="00BD2569">
              <w:t xml:space="preserve"> not to include hospital activity as risk factors. The 10 Year Health Plan for England highlights a shift from analogue to digital and transforming use of health data, which may help to improve data gathering and sharing.</w:t>
            </w:r>
          </w:p>
        </w:tc>
      </w:tr>
      <w:tr w:rsidR="007707C9" w:rsidRPr="00215444" w14:paraId="0D08485C" w14:textId="769C5FA1" w:rsidTr="005A4609">
        <w:tc>
          <w:tcPr>
            <w:tcW w:w="562" w:type="dxa"/>
          </w:tcPr>
          <w:p w14:paraId="30C80F8C" w14:textId="7446B9D5" w:rsidR="007707C9" w:rsidRPr="005B73E7" w:rsidRDefault="007707C9" w:rsidP="00BC04CD">
            <w:pPr>
              <w:pStyle w:val="Tabletext"/>
              <w:rPr>
                <w:color w:val="000000"/>
                <w:lang w:eastAsia="en-GB"/>
              </w:rPr>
            </w:pPr>
            <w:r>
              <w:rPr>
                <w:color w:val="000000"/>
                <w:lang w:eastAsia="en-GB"/>
              </w:rPr>
              <w:lastRenderedPageBreak/>
              <w:t>30</w:t>
            </w:r>
          </w:p>
        </w:tc>
        <w:tc>
          <w:tcPr>
            <w:tcW w:w="1701" w:type="dxa"/>
          </w:tcPr>
          <w:p w14:paraId="06094861" w14:textId="37E798F8" w:rsidR="007707C9" w:rsidRPr="005B73E7" w:rsidRDefault="007707C9" w:rsidP="00BC04CD">
            <w:pPr>
              <w:pStyle w:val="Tabletext"/>
              <w:rPr>
                <w:color w:val="000000"/>
                <w:lang w:eastAsia="en-GB"/>
              </w:rPr>
            </w:pPr>
            <w:r>
              <w:rPr>
                <w:color w:val="000000"/>
                <w:lang w:eastAsia="en-GB"/>
              </w:rPr>
              <w:t>5 – Use of 6+SABAs rather than 3+</w:t>
            </w:r>
          </w:p>
        </w:tc>
        <w:tc>
          <w:tcPr>
            <w:tcW w:w="1560" w:type="dxa"/>
            <w:hideMark/>
          </w:tcPr>
          <w:p w14:paraId="2D2A658A" w14:textId="25B14187" w:rsidR="007707C9" w:rsidRPr="005B73E7" w:rsidRDefault="007707C9" w:rsidP="00BC04CD">
            <w:pPr>
              <w:pStyle w:val="Tabletext"/>
            </w:pPr>
            <w:r w:rsidRPr="00B143C9">
              <w:t>Royal College of General Practitioners</w:t>
            </w:r>
          </w:p>
        </w:tc>
        <w:tc>
          <w:tcPr>
            <w:tcW w:w="4110" w:type="dxa"/>
          </w:tcPr>
          <w:p w14:paraId="41EA8097" w14:textId="77777777" w:rsidR="007707C9" w:rsidRDefault="007707C9" w:rsidP="00BC04CD">
            <w:pPr>
              <w:pStyle w:val="Tabletext"/>
            </w:pPr>
            <w:r>
              <w:t xml:space="preserve">In defining high </w:t>
            </w:r>
            <w:proofErr w:type="gramStart"/>
            <w:r>
              <w:t>risk</w:t>
            </w:r>
            <w:proofErr w:type="gramEnd"/>
            <w:r>
              <w:t xml:space="preserve"> the document proposes a cut -off of 6 or more SABA inhalers per year. We believe a cut </w:t>
            </w:r>
            <w:proofErr w:type="gramStart"/>
            <w:r>
              <w:t>off of</w:t>
            </w:r>
            <w:proofErr w:type="gramEnd"/>
            <w:r>
              <w:t xml:space="preserve"> 3 or more SABA per year should be </w:t>
            </w:r>
            <w:proofErr w:type="gramStart"/>
            <w:r>
              <w:t>used :</w:t>
            </w:r>
            <w:proofErr w:type="gramEnd"/>
          </w:p>
          <w:p w14:paraId="5C53F11A" w14:textId="77777777" w:rsidR="007707C9" w:rsidRDefault="007707C9" w:rsidP="00BC04CD">
            <w:pPr>
              <w:pStyle w:val="Tabletext"/>
            </w:pPr>
          </w:p>
          <w:p w14:paraId="1B5560E4" w14:textId="77777777" w:rsidR="007707C9" w:rsidRDefault="007707C9" w:rsidP="00BC04CD">
            <w:pPr>
              <w:pStyle w:val="Tabletext"/>
            </w:pPr>
            <w:r>
              <w:t xml:space="preserve">1. The major research showing the risk associated with High SABA use, uses </w:t>
            </w:r>
            <w:proofErr w:type="gramStart"/>
            <w:r>
              <w:t>3</w:t>
            </w:r>
            <w:proofErr w:type="gramEnd"/>
            <w:r>
              <w:t xml:space="preserve"> or more as a cut </w:t>
            </w:r>
            <w:proofErr w:type="gramStart"/>
            <w:r>
              <w:t>off  and</w:t>
            </w:r>
            <w:proofErr w:type="gramEnd"/>
            <w:r>
              <w:t xml:space="preserve"> </w:t>
            </w:r>
            <w:proofErr w:type="gramStart"/>
            <w:r>
              <w:t>in particular the</w:t>
            </w:r>
            <w:proofErr w:type="gramEnd"/>
            <w:r>
              <w:t xml:space="preserve"> BTS/NICE/SIGN Asthma Guideline 2024 uses this. It is important that the quality standard should </w:t>
            </w:r>
            <w:proofErr w:type="gramStart"/>
            <w:r>
              <w:t>be aligned</w:t>
            </w:r>
            <w:proofErr w:type="gramEnd"/>
            <w:r>
              <w:t xml:space="preserve"> with then guideline.</w:t>
            </w:r>
          </w:p>
          <w:p w14:paraId="3572DAA1" w14:textId="77777777" w:rsidR="007707C9" w:rsidRDefault="007707C9" w:rsidP="00BC04CD">
            <w:pPr>
              <w:pStyle w:val="Tabletext"/>
            </w:pPr>
            <w:r>
              <w:t xml:space="preserve"> </w:t>
            </w:r>
          </w:p>
          <w:p w14:paraId="123A1720" w14:textId="77777777" w:rsidR="007707C9" w:rsidRDefault="007707C9" w:rsidP="00BC04CD">
            <w:pPr>
              <w:pStyle w:val="Tabletext"/>
            </w:pPr>
            <w:r>
              <w:t xml:space="preserve">2. A recent paper in Nature pcrm (Price et al 2024) shows that </w:t>
            </w:r>
            <w:proofErr w:type="gramStart"/>
            <w:r>
              <w:t>many</w:t>
            </w:r>
            <w:proofErr w:type="gramEnd"/>
            <w:r>
              <w:t xml:space="preserve"> people who have a high prescribing of SABA </w:t>
            </w:r>
            <w:r>
              <w:lastRenderedPageBreak/>
              <w:t xml:space="preserve">also purchase OTC SABA. Therefore, a cut-off point of </w:t>
            </w:r>
            <w:proofErr w:type="gramStart"/>
            <w:r>
              <w:t>6</w:t>
            </w:r>
            <w:proofErr w:type="gramEnd"/>
            <w:r>
              <w:t xml:space="preserve"> or more inhalers is potentially dangerously underestimating risk.</w:t>
            </w:r>
          </w:p>
          <w:p w14:paraId="5995E8C9" w14:textId="77777777" w:rsidR="007707C9" w:rsidRDefault="007707C9" w:rsidP="00BC04CD">
            <w:pPr>
              <w:pStyle w:val="Tabletext"/>
            </w:pPr>
          </w:p>
          <w:p w14:paraId="4E8630BB" w14:textId="67104FC4" w:rsidR="007707C9" w:rsidRPr="00EE065C" w:rsidRDefault="007707C9" w:rsidP="00BC04CD">
            <w:pPr>
              <w:pStyle w:val="Tabletext"/>
            </w:pPr>
            <w:r>
              <w:t xml:space="preserve">3. Whilst we appreciate the finding from GPRD suggesting that using a cut </w:t>
            </w:r>
            <w:proofErr w:type="gramStart"/>
            <w:r>
              <w:t>off of</w:t>
            </w:r>
            <w:proofErr w:type="gramEnd"/>
            <w:r>
              <w:t xml:space="preserve"> </w:t>
            </w:r>
            <w:proofErr w:type="gramStart"/>
            <w:r>
              <w:t>3</w:t>
            </w:r>
            <w:proofErr w:type="gramEnd"/>
            <w:r>
              <w:t xml:space="preserve"> or more inhalers may represent 45% of adult asthma patients SABA use is a major indicator of poor control and urgently needs to </w:t>
            </w:r>
            <w:proofErr w:type="gramStart"/>
            <w:r>
              <w:t>be tackled</w:t>
            </w:r>
            <w:proofErr w:type="gramEnd"/>
            <w:r>
              <w:t xml:space="preserve">. It is vital that patients using </w:t>
            </w:r>
            <w:proofErr w:type="gramStart"/>
            <w:r>
              <w:t>3</w:t>
            </w:r>
            <w:proofErr w:type="gramEnd"/>
            <w:r>
              <w:t xml:space="preserve"> or more inhalers per year </w:t>
            </w:r>
            <w:proofErr w:type="gramStart"/>
            <w:r>
              <w:t>are reviewed</w:t>
            </w:r>
            <w:proofErr w:type="gramEnd"/>
            <w:r>
              <w:t xml:space="preserve"> and then converted to AIR or MART therapy."</w:t>
            </w:r>
          </w:p>
        </w:tc>
        <w:tc>
          <w:tcPr>
            <w:tcW w:w="6096" w:type="dxa"/>
          </w:tcPr>
          <w:p w14:paraId="6639216A" w14:textId="77777777" w:rsidR="007707C9" w:rsidRDefault="009F1DB9" w:rsidP="00BC04CD">
            <w:pPr>
              <w:pStyle w:val="Tabletext"/>
            </w:pPr>
            <w:r w:rsidRPr="009F1DB9">
              <w:lastRenderedPageBreak/>
              <w:t>Thank you for your comment.</w:t>
            </w:r>
          </w:p>
          <w:p w14:paraId="474262EE" w14:textId="77777777" w:rsidR="006D2257" w:rsidRDefault="006D2257" w:rsidP="00BC04CD">
            <w:pPr>
              <w:pStyle w:val="Tabletext"/>
            </w:pPr>
            <w:r w:rsidRPr="006D2257">
              <w:t xml:space="preserve">We recognise that the BTS/NICE/SIGN asthma guideline defines over-use of SABA inhalers as more than </w:t>
            </w:r>
            <w:proofErr w:type="gramStart"/>
            <w:r w:rsidRPr="006D2257">
              <w:t>2</w:t>
            </w:r>
            <w:proofErr w:type="gramEnd"/>
            <w:r w:rsidRPr="006D2257">
              <w:t xml:space="preserve"> inhalers per year. However, the committee agreed that using 6 or more SABAs was a pragmatic approach to identify a higher risk population given that testing in Clinical Practice Research Datalink (CPRD) Aurum found that 45% of people aged 6 or over with asthma on the register were prescribed more than 2 SABAs per year. When other risk factors </w:t>
            </w:r>
            <w:proofErr w:type="gramStart"/>
            <w:r w:rsidRPr="006D2257">
              <w:t>are added</w:t>
            </w:r>
            <w:proofErr w:type="gramEnd"/>
            <w:r w:rsidRPr="006D2257">
              <w:t xml:space="preserve"> to this, it </w:t>
            </w:r>
            <w:proofErr w:type="gramStart"/>
            <w:r w:rsidRPr="006D2257">
              <w:t>was thought</w:t>
            </w:r>
            <w:proofErr w:type="gramEnd"/>
            <w:r w:rsidRPr="006D2257">
              <w:t xml:space="preserve"> to identify too high a proportion of asthma patients to be </w:t>
            </w:r>
            <w:proofErr w:type="gramStart"/>
            <w:r w:rsidRPr="006D2257">
              <w:t>substantially different</w:t>
            </w:r>
            <w:proofErr w:type="gramEnd"/>
            <w:r w:rsidRPr="006D2257">
              <w:t xml:space="preserve"> to existing indicator IND273. The committee agree that everyone who is at risk of overusing SABA deserves appropriate care and support. The BTS/NICE/SIGN guideline recommends that patients aged </w:t>
            </w:r>
            <w:proofErr w:type="gramStart"/>
            <w:r w:rsidRPr="006D2257">
              <w:t>12</w:t>
            </w:r>
            <w:proofErr w:type="gramEnd"/>
            <w:r w:rsidRPr="006D2257">
              <w:t xml:space="preserve"> and over </w:t>
            </w:r>
            <w:proofErr w:type="gramStart"/>
            <w:r w:rsidRPr="006D2257">
              <w:t>are offered</w:t>
            </w:r>
            <w:proofErr w:type="gramEnd"/>
            <w:r w:rsidRPr="006D2257">
              <w:t xml:space="preserve"> SABA-free combination regimens such as anti-inflammatory reliever (AIR) therapy or </w:t>
            </w:r>
            <w:proofErr w:type="gramStart"/>
            <w:r w:rsidRPr="006D2257">
              <w:t>MART, or</w:t>
            </w:r>
            <w:proofErr w:type="gramEnd"/>
            <w:r w:rsidRPr="006D2257">
              <w:t xml:space="preserve"> switched away from SABA-</w:t>
            </w:r>
            <w:r w:rsidRPr="006D2257">
              <w:lastRenderedPageBreak/>
              <w:t xml:space="preserve">containing regimens in treatment pathways from previous guidelines. The guideline also states do not prescribe SABAs to people of any age with asthma without a concomitant prescription of an ICS. Healthcare professionals </w:t>
            </w:r>
            <w:proofErr w:type="gramStart"/>
            <w:r w:rsidRPr="006D2257">
              <w:t>are encouraged</w:t>
            </w:r>
            <w:proofErr w:type="gramEnd"/>
            <w:r w:rsidRPr="006D2257">
              <w:t xml:space="preserve"> to follow these recommendations. The new indicators are complementary to NICE indicator IND273 on annual review for all patients, which includes checking medicines adherence and assessing asthma control, and which will continue alongside the new indicators.</w:t>
            </w:r>
          </w:p>
          <w:p w14:paraId="413163D5" w14:textId="6AC94AAB" w:rsidR="00BD2569" w:rsidRDefault="004C01E9" w:rsidP="00BC04CD">
            <w:pPr>
              <w:pStyle w:val="Tabletext"/>
            </w:pPr>
            <w:r>
              <w:t xml:space="preserve">SABAs are a prescription-only medicine in the UK and are not available to purchase </w:t>
            </w:r>
            <w:proofErr w:type="gramStart"/>
            <w:r w:rsidRPr="004C01E9">
              <w:t>over-the-counter</w:t>
            </w:r>
            <w:proofErr w:type="gramEnd"/>
            <w:r>
              <w:t xml:space="preserve">. The world map in supplementary figure 1 in the supplied paper shows that no patients reported over-the-counter purchases of SABAs in the UK or any other European country. It is therefore unlikely that patients in the UK are supplementing their SABA prescriptions with further SABAs purchased </w:t>
            </w:r>
            <w:proofErr w:type="gramStart"/>
            <w:r>
              <w:t>over-the-counter</w:t>
            </w:r>
            <w:proofErr w:type="gramEnd"/>
            <w:r>
              <w:t>.</w:t>
            </w:r>
          </w:p>
          <w:p w14:paraId="680D9F7E" w14:textId="6BCF74EC" w:rsidR="004C01E9" w:rsidRDefault="004C01E9" w:rsidP="00BC04CD">
            <w:pPr>
              <w:pStyle w:val="Tabletext"/>
            </w:pPr>
            <w:r w:rsidRPr="004C01E9">
              <w:t xml:space="preserve">We agree that everyone who is at risk of overusing SABA deserves appropriate care and support. The BTS/NICE/SIGN </w:t>
            </w:r>
            <w:r w:rsidR="00D86BFB">
              <w:t xml:space="preserve">asthma </w:t>
            </w:r>
            <w:r w:rsidRPr="004C01E9">
              <w:t xml:space="preserve">guideline recommends that patients aged </w:t>
            </w:r>
            <w:proofErr w:type="gramStart"/>
            <w:r w:rsidRPr="004C01E9">
              <w:t>12</w:t>
            </w:r>
            <w:proofErr w:type="gramEnd"/>
            <w:r w:rsidRPr="004C01E9">
              <w:t xml:space="preserve"> and over </w:t>
            </w:r>
            <w:proofErr w:type="gramStart"/>
            <w:r w:rsidRPr="004C01E9">
              <w:t>are offered</w:t>
            </w:r>
            <w:proofErr w:type="gramEnd"/>
            <w:r w:rsidRPr="004C01E9">
              <w:t xml:space="preserve"> SABA-free combination regimens such as anti-inflammatory reliever (AIR) therapy or </w:t>
            </w:r>
            <w:proofErr w:type="gramStart"/>
            <w:r w:rsidRPr="004C01E9">
              <w:t>MART, or</w:t>
            </w:r>
            <w:proofErr w:type="gramEnd"/>
            <w:r w:rsidRPr="004C01E9">
              <w:t xml:space="preserve"> switched away from SABA-containing regimens</w:t>
            </w:r>
            <w:r w:rsidR="00A42ED4">
              <w:t xml:space="preserve"> </w:t>
            </w:r>
            <w:r w:rsidR="00A42ED4" w:rsidRPr="00A42ED4">
              <w:t>in treatment pathways from previous guidelines</w:t>
            </w:r>
            <w:r w:rsidRPr="004C01E9">
              <w:t xml:space="preserve">. The guideline also states do not prescribe SABAs to people of any age with asthma without a concomitant prescription of an ICS. Healthcare professionals </w:t>
            </w:r>
            <w:proofErr w:type="gramStart"/>
            <w:r w:rsidRPr="004C01E9">
              <w:t>are encouraged</w:t>
            </w:r>
            <w:proofErr w:type="gramEnd"/>
            <w:r w:rsidRPr="004C01E9">
              <w:t xml:space="preserve"> to follow these </w:t>
            </w:r>
            <w:r w:rsidRPr="004C01E9">
              <w:lastRenderedPageBreak/>
              <w:t>recommendations. NICE indicator IND273 on annual review in all patients, which includes checking medicines adherence and assessing asthma control, will continue alongside the new indicators.</w:t>
            </w:r>
          </w:p>
        </w:tc>
      </w:tr>
      <w:tr w:rsidR="009F1DB9" w:rsidRPr="00215444" w14:paraId="16C84DA5" w14:textId="72CB94BD" w:rsidTr="005A4609">
        <w:tc>
          <w:tcPr>
            <w:tcW w:w="562" w:type="dxa"/>
          </w:tcPr>
          <w:p w14:paraId="49DAB8C0" w14:textId="2DB22E78" w:rsidR="009F1DB9" w:rsidRPr="005B73E7" w:rsidRDefault="009F1DB9" w:rsidP="009F1DB9">
            <w:pPr>
              <w:pStyle w:val="Tabletext"/>
              <w:rPr>
                <w:color w:val="000000"/>
                <w:lang w:eastAsia="en-GB"/>
              </w:rPr>
            </w:pPr>
            <w:r>
              <w:rPr>
                <w:color w:val="000000"/>
                <w:lang w:eastAsia="en-GB"/>
              </w:rPr>
              <w:lastRenderedPageBreak/>
              <w:t>31</w:t>
            </w:r>
          </w:p>
        </w:tc>
        <w:tc>
          <w:tcPr>
            <w:tcW w:w="1701" w:type="dxa"/>
          </w:tcPr>
          <w:p w14:paraId="66EE84ED" w14:textId="2D94C5A6" w:rsidR="009F1DB9" w:rsidRDefault="009F1DB9" w:rsidP="009F1DB9">
            <w:pPr>
              <w:pStyle w:val="Tabletext"/>
              <w:rPr>
                <w:color w:val="000000"/>
                <w:lang w:eastAsia="en-GB"/>
              </w:rPr>
            </w:pPr>
            <w:r w:rsidRPr="003C0D55">
              <w:rPr>
                <w:color w:val="000000"/>
                <w:lang w:eastAsia="en-GB"/>
              </w:rPr>
              <w:t xml:space="preserve">5 – Use of 6+SABAs rather than </w:t>
            </w:r>
            <w:r>
              <w:rPr>
                <w:color w:val="000000"/>
                <w:lang w:eastAsia="en-GB"/>
              </w:rPr>
              <w:t>3</w:t>
            </w:r>
            <w:r w:rsidRPr="003C0D55">
              <w:rPr>
                <w:color w:val="000000"/>
                <w:lang w:eastAsia="en-GB"/>
              </w:rPr>
              <w:t>+</w:t>
            </w:r>
          </w:p>
        </w:tc>
        <w:tc>
          <w:tcPr>
            <w:tcW w:w="1560" w:type="dxa"/>
          </w:tcPr>
          <w:p w14:paraId="676E5681" w14:textId="3740CB7E" w:rsidR="009F1DB9" w:rsidRPr="00B143C9" w:rsidRDefault="009F1DB9" w:rsidP="009F1DB9">
            <w:pPr>
              <w:pStyle w:val="Tabletext"/>
            </w:pPr>
            <w:r>
              <w:t xml:space="preserve">British Medical Association’ General Practitioner Committee </w:t>
            </w:r>
          </w:p>
        </w:tc>
        <w:tc>
          <w:tcPr>
            <w:tcW w:w="4110" w:type="dxa"/>
          </w:tcPr>
          <w:p w14:paraId="0EF98DF9" w14:textId="43F234B3" w:rsidR="009F1DB9" w:rsidRDefault="009F1DB9" w:rsidP="009F1DB9">
            <w:pPr>
              <w:pStyle w:val="Tabletext"/>
            </w:pPr>
            <w:r w:rsidRPr="00BC04CD">
              <w:t xml:space="preserve">This </w:t>
            </w:r>
            <w:proofErr w:type="gramStart"/>
            <w:r w:rsidRPr="00BC04CD">
              <w:t>seems to be</w:t>
            </w:r>
            <w:proofErr w:type="gramEnd"/>
            <w:r w:rsidRPr="00BC04CD">
              <w:t xml:space="preserve"> based in good clinical care. We would support the change to high-risk classification of SABA use </w:t>
            </w:r>
            <w:proofErr w:type="gramStart"/>
            <w:r w:rsidRPr="00BC04CD">
              <w:t>form</w:t>
            </w:r>
            <w:proofErr w:type="gramEnd"/>
            <w:r w:rsidRPr="00BC04CD">
              <w:t xml:space="preserve"> 2 to 6, which is in line with </w:t>
            </w:r>
            <w:proofErr w:type="gramStart"/>
            <w:r w:rsidRPr="00BC04CD">
              <w:t>many</w:t>
            </w:r>
            <w:proofErr w:type="gramEnd"/>
            <w:r w:rsidRPr="00BC04CD">
              <w:t xml:space="preserve"> local schemes.</w:t>
            </w:r>
          </w:p>
        </w:tc>
        <w:tc>
          <w:tcPr>
            <w:tcW w:w="6096" w:type="dxa"/>
          </w:tcPr>
          <w:p w14:paraId="07161C7C" w14:textId="24FD01FC" w:rsidR="009F1DB9" w:rsidRPr="00BC04CD" w:rsidRDefault="009F1DB9" w:rsidP="009F1DB9">
            <w:pPr>
              <w:pStyle w:val="Tabletext"/>
            </w:pPr>
            <w:r w:rsidRPr="00167D11">
              <w:t>Thank you for your comment.</w:t>
            </w:r>
          </w:p>
        </w:tc>
      </w:tr>
      <w:tr w:rsidR="009F1DB9" w:rsidRPr="00215444" w14:paraId="1C72BD01" w14:textId="4387A90E" w:rsidTr="005A4609">
        <w:tc>
          <w:tcPr>
            <w:tcW w:w="562" w:type="dxa"/>
          </w:tcPr>
          <w:p w14:paraId="40558445" w14:textId="431C48ED" w:rsidR="009F1DB9" w:rsidRPr="00BC04CD" w:rsidRDefault="009F1DB9" w:rsidP="009F1DB9">
            <w:pPr>
              <w:pStyle w:val="Tabletext"/>
              <w:rPr>
                <w:color w:val="000000"/>
                <w:lang w:eastAsia="en-GB"/>
              </w:rPr>
            </w:pPr>
            <w:r>
              <w:rPr>
                <w:color w:val="000000"/>
                <w:lang w:eastAsia="en-GB"/>
              </w:rPr>
              <w:t>32</w:t>
            </w:r>
          </w:p>
        </w:tc>
        <w:tc>
          <w:tcPr>
            <w:tcW w:w="1701" w:type="dxa"/>
          </w:tcPr>
          <w:p w14:paraId="2BC01672" w14:textId="161A03AF" w:rsidR="009F1DB9" w:rsidRPr="00BC04CD" w:rsidRDefault="009F1DB9" w:rsidP="009F1DB9">
            <w:pPr>
              <w:pStyle w:val="Tabletext"/>
              <w:rPr>
                <w:color w:val="000000"/>
                <w:lang w:eastAsia="en-GB"/>
              </w:rPr>
            </w:pPr>
            <w:r w:rsidRPr="00BC04CD">
              <w:rPr>
                <w:color w:val="000000"/>
                <w:lang w:eastAsia="en-GB"/>
              </w:rPr>
              <w:t>6</w:t>
            </w:r>
            <w:r>
              <w:rPr>
                <w:color w:val="000000"/>
                <w:lang w:eastAsia="en-GB"/>
              </w:rPr>
              <w:t xml:space="preserve"> – using general practice records to identify hospital attendance</w:t>
            </w:r>
          </w:p>
        </w:tc>
        <w:tc>
          <w:tcPr>
            <w:tcW w:w="1560" w:type="dxa"/>
          </w:tcPr>
          <w:p w14:paraId="0329E2EB" w14:textId="4064D021" w:rsidR="009F1DB9" w:rsidRPr="00EE065C" w:rsidRDefault="009F1DB9" w:rsidP="009F1DB9">
            <w:pPr>
              <w:pStyle w:val="Tabletext"/>
              <w:rPr>
                <w:color w:val="000000"/>
                <w:highlight w:val="cyan"/>
                <w:lang w:eastAsia="en-GB"/>
              </w:rPr>
            </w:pPr>
            <w:r>
              <w:t xml:space="preserve">British Medical Association’ General Practitioner Committee </w:t>
            </w:r>
          </w:p>
        </w:tc>
        <w:tc>
          <w:tcPr>
            <w:tcW w:w="4110" w:type="dxa"/>
          </w:tcPr>
          <w:p w14:paraId="6631D7BE" w14:textId="77777777" w:rsidR="009F1DB9" w:rsidRPr="00BC04CD" w:rsidRDefault="009F1DB9" w:rsidP="009F1DB9">
            <w:pPr>
              <w:rPr>
                <w:rFonts w:ascii="Arial" w:hAnsi="Arial"/>
                <w:color w:val="000000"/>
                <w:sz w:val="22"/>
              </w:rPr>
            </w:pPr>
            <w:r w:rsidRPr="00BC04CD">
              <w:rPr>
                <w:rFonts w:ascii="Arial" w:hAnsi="Arial"/>
                <w:color w:val="000000"/>
                <w:sz w:val="22"/>
              </w:rPr>
              <w:t xml:space="preserve">This would be change in practice for coding of asthma related admissions, requiring appropriate training for staff associated with this and time to embed the change in practice. </w:t>
            </w:r>
            <w:proofErr w:type="gramStart"/>
            <w:r w:rsidRPr="00BC04CD">
              <w:rPr>
                <w:rFonts w:ascii="Arial" w:hAnsi="Arial"/>
                <w:color w:val="000000"/>
                <w:sz w:val="22"/>
              </w:rPr>
              <w:t>It’s</w:t>
            </w:r>
            <w:proofErr w:type="gramEnd"/>
            <w:r w:rsidRPr="00BC04CD">
              <w:rPr>
                <w:rFonts w:ascii="Arial" w:hAnsi="Arial"/>
                <w:color w:val="000000"/>
                <w:sz w:val="22"/>
              </w:rPr>
              <w:t xml:space="preserve"> therefore likely to </w:t>
            </w:r>
            <w:proofErr w:type="gramStart"/>
            <w:r w:rsidRPr="00BC04CD">
              <w:rPr>
                <w:rFonts w:ascii="Arial" w:hAnsi="Arial"/>
                <w:color w:val="000000"/>
                <w:sz w:val="22"/>
              </w:rPr>
              <w:t>be hit</w:t>
            </w:r>
            <w:proofErr w:type="gramEnd"/>
            <w:r w:rsidRPr="00BC04CD">
              <w:rPr>
                <w:rFonts w:ascii="Arial" w:hAnsi="Arial"/>
                <w:color w:val="000000"/>
                <w:sz w:val="22"/>
              </w:rPr>
              <w:t xml:space="preserve"> and miss for a period and would agree with pragmatic approach proposed.</w:t>
            </w:r>
          </w:p>
          <w:p w14:paraId="78F2FA21" w14:textId="725ABE8A" w:rsidR="009F1DB9" w:rsidRPr="00EE065C" w:rsidRDefault="009F1DB9" w:rsidP="009F1DB9">
            <w:pPr>
              <w:pStyle w:val="Tabletext"/>
              <w:rPr>
                <w:color w:val="000000"/>
                <w:highlight w:val="cyan"/>
                <w:lang w:eastAsia="en-GB"/>
              </w:rPr>
            </w:pPr>
          </w:p>
        </w:tc>
        <w:tc>
          <w:tcPr>
            <w:tcW w:w="6096" w:type="dxa"/>
          </w:tcPr>
          <w:p w14:paraId="466D5CF2" w14:textId="732B70A4" w:rsidR="009F1DB9" w:rsidRPr="009F1DB9" w:rsidRDefault="009F1DB9" w:rsidP="009F1DB9">
            <w:pPr>
              <w:rPr>
                <w:rFonts w:ascii="Arial" w:hAnsi="Arial" w:cs="Arial"/>
                <w:color w:val="000000"/>
                <w:sz w:val="22"/>
                <w:szCs w:val="22"/>
              </w:rPr>
            </w:pPr>
            <w:r w:rsidRPr="009F1DB9">
              <w:rPr>
                <w:rFonts w:ascii="Arial" w:hAnsi="Arial" w:cs="Arial"/>
                <w:sz w:val="22"/>
                <w:szCs w:val="22"/>
              </w:rPr>
              <w:t>Thank you for your comment.</w:t>
            </w:r>
          </w:p>
        </w:tc>
      </w:tr>
    </w:tbl>
    <w:p w14:paraId="17B1B744" w14:textId="77777777" w:rsidR="00D712FC" w:rsidRPr="00CF2E5C" w:rsidRDefault="00D712FC" w:rsidP="002E482A">
      <w:pPr>
        <w:pStyle w:val="Paragraph"/>
      </w:pPr>
    </w:p>
    <w:sectPr w:rsidR="00D712FC" w:rsidRPr="00CF2E5C" w:rsidSect="00D712FC">
      <w:pgSz w:w="16838" w:h="11906" w:orient="landscape"/>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D443B" w14:textId="77777777" w:rsidR="007A57A8" w:rsidRDefault="007A57A8" w:rsidP="00446BEE">
      <w:r>
        <w:separator/>
      </w:r>
    </w:p>
  </w:endnote>
  <w:endnote w:type="continuationSeparator" w:id="0">
    <w:p w14:paraId="4AC0EDAF" w14:textId="77777777" w:rsidR="007A57A8" w:rsidRDefault="007A57A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8DA8" w14:textId="4CED26E9" w:rsidR="00446BEE" w:rsidRDefault="009A27C0" w:rsidP="00446BEE">
    <w:pPr>
      <w:pStyle w:val="Footer"/>
    </w:pPr>
    <w:r w:rsidRPr="009A27C0">
      <w:t>IND315 and IND316 consultation report</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FA2C5A">
      <w:fldChar w:fldCharType="begin"/>
    </w:r>
    <w:r w:rsidR="00FA2C5A">
      <w:instrText xml:space="preserve"> NUMPAGES  </w:instrText>
    </w:r>
    <w:r w:rsidR="00FA2C5A">
      <w:fldChar w:fldCharType="separate"/>
    </w:r>
    <w:r w:rsidR="00FA2C5A">
      <w:rPr>
        <w:noProof/>
      </w:rPr>
      <w:t>1</w:t>
    </w:r>
    <w:r w:rsidR="00FA2C5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CC64E03" w14:textId="58003872" w:rsidR="008E7826" w:rsidRDefault="009A27C0" w:rsidP="008E7826">
            <w:pPr>
              <w:pStyle w:val="Footer"/>
            </w:pPr>
            <w:r>
              <w:t>IND315 and IND316</w:t>
            </w:r>
            <w:r w:rsidR="00BE0CD4" w:rsidRPr="00BE0CD4">
              <w:t xml:space="preserve"> </w:t>
            </w:r>
            <w:r w:rsidR="002E482A">
              <w:t>consultation report</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8E7826">
              <w:fldChar w:fldCharType="begin"/>
            </w:r>
            <w:r w:rsidR="008E7826">
              <w:instrText xml:space="preserve"> NUMPAGES  </w:instrText>
            </w:r>
            <w:r w:rsidR="008E7826">
              <w:fldChar w:fldCharType="separate"/>
            </w:r>
            <w:r w:rsidR="008E7826" w:rsidRPr="008E7826">
              <w:rPr>
                <w:noProof/>
              </w:rPr>
              <w:t>2</w:t>
            </w:r>
            <w:r w:rsidR="008E7826">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C260" w14:textId="77777777" w:rsidR="007A57A8" w:rsidRDefault="007A57A8" w:rsidP="00446BEE">
      <w:r>
        <w:separator/>
      </w:r>
    </w:p>
  </w:footnote>
  <w:footnote w:type="continuationSeparator" w:id="0">
    <w:p w14:paraId="20E84430" w14:textId="77777777" w:rsidR="007A57A8" w:rsidRDefault="007A57A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F09A" w14:textId="412EC1D3" w:rsidR="008F6FB7" w:rsidRDefault="0051555A">
    <w:pPr>
      <w:pStyle w:val="Header"/>
    </w:pPr>
    <w:r>
      <w:rPr>
        <w:noProof/>
      </w:rPr>
      <w:drawing>
        <wp:inline distT="0" distB="0" distL="0" distR="0" wp14:anchorId="3E64F84A" wp14:editId="725A8E3A">
          <wp:extent cx="2438400" cy="255905"/>
          <wp:effectExtent l="0" t="0" r="0" b="0"/>
          <wp:docPr id="24020461" name="Picture 1" descr="Logo: National Institute for Health and Care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0461" name="Picture 1" descr="Logo: National Institute for Health and Care Excell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2559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56C3C"/>
    <w:multiLevelType w:val="hybridMultilevel"/>
    <w:tmpl w:val="F2A2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C40C75B2"/>
    <w:lvl w:ilvl="0" w:tplc="A85A06A8">
      <w:start w:val="1"/>
      <w:numFmt w:val="decimal"/>
      <w:pStyle w:val="ParagraphNumbered"/>
      <w:lvlText w:val="%1."/>
      <w:lvlJc w:val="left"/>
      <w:pPr>
        <w:ind w:left="851" w:hanging="851"/>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6" w15:restartNumberingAfterBreak="0">
    <w:nsid w:val="7C6A3572"/>
    <w:multiLevelType w:val="hybridMultilevel"/>
    <w:tmpl w:val="49469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84370">
    <w:abstractNumId w:val="12"/>
  </w:num>
  <w:num w:numId="2" w16cid:durableId="1271931310">
    <w:abstractNumId w:val="14"/>
  </w:num>
  <w:num w:numId="3" w16cid:durableId="987441700">
    <w:abstractNumId w:val="14"/>
    <w:lvlOverride w:ilvl="0">
      <w:startOverride w:val="1"/>
    </w:lvlOverride>
  </w:num>
  <w:num w:numId="4" w16cid:durableId="1499422565">
    <w:abstractNumId w:val="14"/>
    <w:lvlOverride w:ilvl="0">
      <w:startOverride w:val="1"/>
    </w:lvlOverride>
  </w:num>
  <w:num w:numId="5" w16cid:durableId="2069916214">
    <w:abstractNumId w:val="14"/>
    <w:lvlOverride w:ilvl="0">
      <w:startOverride w:val="1"/>
    </w:lvlOverride>
  </w:num>
  <w:num w:numId="6" w16cid:durableId="1714303981">
    <w:abstractNumId w:val="14"/>
    <w:lvlOverride w:ilvl="0">
      <w:startOverride w:val="1"/>
    </w:lvlOverride>
  </w:num>
  <w:num w:numId="7" w16cid:durableId="1383334273">
    <w:abstractNumId w:val="14"/>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1"/>
  </w:num>
  <w:num w:numId="19" w16cid:durableId="1373924523">
    <w:abstractNumId w:val="11"/>
    <w:lvlOverride w:ilvl="0">
      <w:startOverride w:val="1"/>
    </w:lvlOverride>
  </w:num>
  <w:num w:numId="20" w16cid:durableId="399716702">
    <w:abstractNumId w:val="12"/>
  </w:num>
  <w:num w:numId="21" w16cid:durableId="1595244151">
    <w:abstractNumId w:val="14"/>
  </w:num>
  <w:num w:numId="22" w16cid:durableId="368646558">
    <w:abstractNumId w:val="11"/>
  </w:num>
  <w:num w:numId="23" w16cid:durableId="534393170">
    <w:abstractNumId w:val="13"/>
  </w:num>
  <w:num w:numId="24" w16cid:durableId="609512517">
    <w:abstractNumId w:val="15"/>
  </w:num>
  <w:num w:numId="25" w16cid:durableId="1036272984">
    <w:abstractNumId w:val="16"/>
  </w:num>
  <w:num w:numId="26" w16cid:durableId="62878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46"/>
    <w:rsid w:val="0000073A"/>
    <w:rsid w:val="00002879"/>
    <w:rsid w:val="00004061"/>
    <w:rsid w:val="00004395"/>
    <w:rsid w:val="000048CF"/>
    <w:rsid w:val="00004CDD"/>
    <w:rsid w:val="000053F8"/>
    <w:rsid w:val="00011F89"/>
    <w:rsid w:val="00014890"/>
    <w:rsid w:val="00017EE1"/>
    <w:rsid w:val="00020283"/>
    <w:rsid w:val="000211B0"/>
    <w:rsid w:val="00021B00"/>
    <w:rsid w:val="000233CC"/>
    <w:rsid w:val="00024D0A"/>
    <w:rsid w:val="000277D3"/>
    <w:rsid w:val="00031FD9"/>
    <w:rsid w:val="00034EA0"/>
    <w:rsid w:val="000359CF"/>
    <w:rsid w:val="00037477"/>
    <w:rsid w:val="00040564"/>
    <w:rsid w:val="000408BF"/>
    <w:rsid w:val="00044A05"/>
    <w:rsid w:val="00045F0B"/>
    <w:rsid w:val="000466BB"/>
    <w:rsid w:val="00047DC4"/>
    <w:rsid w:val="00051ADE"/>
    <w:rsid w:val="00054650"/>
    <w:rsid w:val="0005692E"/>
    <w:rsid w:val="00060ADD"/>
    <w:rsid w:val="00060CAB"/>
    <w:rsid w:val="00060D86"/>
    <w:rsid w:val="0006260D"/>
    <w:rsid w:val="00064BE2"/>
    <w:rsid w:val="000662A0"/>
    <w:rsid w:val="00066D48"/>
    <w:rsid w:val="00070065"/>
    <w:rsid w:val="00071F77"/>
    <w:rsid w:val="0007426E"/>
    <w:rsid w:val="00081C2A"/>
    <w:rsid w:val="00083548"/>
    <w:rsid w:val="000852C6"/>
    <w:rsid w:val="00085D25"/>
    <w:rsid w:val="00091248"/>
    <w:rsid w:val="00091E56"/>
    <w:rsid w:val="000928CB"/>
    <w:rsid w:val="000940D4"/>
    <w:rsid w:val="000960AF"/>
    <w:rsid w:val="00096885"/>
    <w:rsid w:val="000973ED"/>
    <w:rsid w:val="00097655"/>
    <w:rsid w:val="000A0ABC"/>
    <w:rsid w:val="000A1C1A"/>
    <w:rsid w:val="000A4FEE"/>
    <w:rsid w:val="000B2C97"/>
    <w:rsid w:val="000B37BF"/>
    <w:rsid w:val="000B3DA1"/>
    <w:rsid w:val="000B5939"/>
    <w:rsid w:val="000B646C"/>
    <w:rsid w:val="000B776F"/>
    <w:rsid w:val="000C04BC"/>
    <w:rsid w:val="000C41B1"/>
    <w:rsid w:val="000C6AF7"/>
    <w:rsid w:val="000C7119"/>
    <w:rsid w:val="000D03C6"/>
    <w:rsid w:val="000D3AFA"/>
    <w:rsid w:val="000D429C"/>
    <w:rsid w:val="000D5EC9"/>
    <w:rsid w:val="000D66C0"/>
    <w:rsid w:val="000E23A9"/>
    <w:rsid w:val="000E249A"/>
    <w:rsid w:val="000E626D"/>
    <w:rsid w:val="000E7549"/>
    <w:rsid w:val="000F032F"/>
    <w:rsid w:val="000F1524"/>
    <w:rsid w:val="000F32C6"/>
    <w:rsid w:val="000F3682"/>
    <w:rsid w:val="000F5DA5"/>
    <w:rsid w:val="00100BB1"/>
    <w:rsid w:val="00106B71"/>
    <w:rsid w:val="00106CF1"/>
    <w:rsid w:val="0011310C"/>
    <w:rsid w:val="001134E7"/>
    <w:rsid w:val="0011378B"/>
    <w:rsid w:val="001143C0"/>
    <w:rsid w:val="00114FA6"/>
    <w:rsid w:val="00115B68"/>
    <w:rsid w:val="00116756"/>
    <w:rsid w:val="00123C79"/>
    <w:rsid w:val="00125615"/>
    <w:rsid w:val="001262C9"/>
    <w:rsid w:val="0012757A"/>
    <w:rsid w:val="0013132E"/>
    <w:rsid w:val="00132A38"/>
    <w:rsid w:val="001336FF"/>
    <w:rsid w:val="00133907"/>
    <w:rsid w:val="00134DE3"/>
    <w:rsid w:val="001350C6"/>
    <w:rsid w:val="00136206"/>
    <w:rsid w:val="0014346C"/>
    <w:rsid w:val="00143AC3"/>
    <w:rsid w:val="001500F3"/>
    <w:rsid w:val="001508F3"/>
    <w:rsid w:val="00154849"/>
    <w:rsid w:val="001550F1"/>
    <w:rsid w:val="00156DA2"/>
    <w:rsid w:val="00157BBE"/>
    <w:rsid w:val="00161F3C"/>
    <w:rsid w:val="00164F3F"/>
    <w:rsid w:val="00165070"/>
    <w:rsid w:val="0017169E"/>
    <w:rsid w:val="00172849"/>
    <w:rsid w:val="00173A62"/>
    <w:rsid w:val="00173B09"/>
    <w:rsid w:val="00175E3B"/>
    <w:rsid w:val="00176B47"/>
    <w:rsid w:val="00182AB6"/>
    <w:rsid w:val="001839FB"/>
    <w:rsid w:val="00185D5B"/>
    <w:rsid w:val="00190B5D"/>
    <w:rsid w:val="00191EDE"/>
    <w:rsid w:val="0019264A"/>
    <w:rsid w:val="00194E43"/>
    <w:rsid w:val="00197964"/>
    <w:rsid w:val="001A4674"/>
    <w:rsid w:val="001A6635"/>
    <w:rsid w:val="001A7E3C"/>
    <w:rsid w:val="001B05C7"/>
    <w:rsid w:val="001B0EE9"/>
    <w:rsid w:val="001B65B3"/>
    <w:rsid w:val="001B72C9"/>
    <w:rsid w:val="001C3BCA"/>
    <w:rsid w:val="001C44CC"/>
    <w:rsid w:val="001C69CF"/>
    <w:rsid w:val="001D06A7"/>
    <w:rsid w:val="001D3BFE"/>
    <w:rsid w:val="001E13B2"/>
    <w:rsid w:val="001E4921"/>
    <w:rsid w:val="001E60D6"/>
    <w:rsid w:val="001F04D1"/>
    <w:rsid w:val="001F1C6D"/>
    <w:rsid w:val="001F26D7"/>
    <w:rsid w:val="001F3615"/>
    <w:rsid w:val="001F4355"/>
    <w:rsid w:val="001F49A7"/>
    <w:rsid w:val="001F671C"/>
    <w:rsid w:val="00201DE0"/>
    <w:rsid w:val="002043D9"/>
    <w:rsid w:val="002124D5"/>
    <w:rsid w:val="002214E8"/>
    <w:rsid w:val="002216CF"/>
    <w:rsid w:val="0022219D"/>
    <w:rsid w:val="0022221D"/>
    <w:rsid w:val="00224403"/>
    <w:rsid w:val="0022700F"/>
    <w:rsid w:val="0022777F"/>
    <w:rsid w:val="002310C1"/>
    <w:rsid w:val="002333A1"/>
    <w:rsid w:val="00233A76"/>
    <w:rsid w:val="00233E13"/>
    <w:rsid w:val="0023653C"/>
    <w:rsid w:val="002408EA"/>
    <w:rsid w:val="002416D0"/>
    <w:rsid w:val="00242A8A"/>
    <w:rsid w:val="002514FB"/>
    <w:rsid w:val="00253775"/>
    <w:rsid w:val="00253939"/>
    <w:rsid w:val="002549B6"/>
    <w:rsid w:val="00254ABF"/>
    <w:rsid w:val="00255A8B"/>
    <w:rsid w:val="0025603E"/>
    <w:rsid w:val="0025770B"/>
    <w:rsid w:val="00257886"/>
    <w:rsid w:val="002607E4"/>
    <w:rsid w:val="00261FBC"/>
    <w:rsid w:val="00264E70"/>
    <w:rsid w:val="002667CE"/>
    <w:rsid w:val="00273C4D"/>
    <w:rsid w:val="002759CA"/>
    <w:rsid w:val="00277D50"/>
    <w:rsid w:val="00277FC7"/>
    <w:rsid w:val="002803DD"/>
    <w:rsid w:val="002819D7"/>
    <w:rsid w:val="00285D2E"/>
    <w:rsid w:val="00286397"/>
    <w:rsid w:val="00287F87"/>
    <w:rsid w:val="0029128F"/>
    <w:rsid w:val="0029150D"/>
    <w:rsid w:val="00294EC2"/>
    <w:rsid w:val="00297D81"/>
    <w:rsid w:val="002A0791"/>
    <w:rsid w:val="002A3C13"/>
    <w:rsid w:val="002A553D"/>
    <w:rsid w:val="002A6C5F"/>
    <w:rsid w:val="002B3711"/>
    <w:rsid w:val="002B3B0B"/>
    <w:rsid w:val="002B7EAF"/>
    <w:rsid w:val="002C1A7E"/>
    <w:rsid w:val="002C2900"/>
    <w:rsid w:val="002C2BBB"/>
    <w:rsid w:val="002C470E"/>
    <w:rsid w:val="002C5BA3"/>
    <w:rsid w:val="002C632B"/>
    <w:rsid w:val="002D3376"/>
    <w:rsid w:val="002D4B89"/>
    <w:rsid w:val="002D4D49"/>
    <w:rsid w:val="002D5958"/>
    <w:rsid w:val="002D7EE9"/>
    <w:rsid w:val="002E2FAB"/>
    <w:rsid w:val="002E35E9"/>
    <w:rsid w:val="002E482A"/>
    <w:rsid w:val="002E67A9"/>
    <w:rsid w:val="002E7F04"/>
    <w:rsid w:val="002F1FF6"/>
    <w:rsid w:val="002F29B7"/>
    <w:rsid w:val="002F2EC0"/>
    <w:rsid w:val="002F32E6"/>
    <w:rsid w:val="002F5432"/>
    <w:rsid w:val="002F6163"/>
    <w:rsid w:val="002F636F"/>
    <w:rsid w:val="0030208F"/>
    <w:rsid w:val="003027F2"/>
    <w:rsid w:val="0030351C"/>
    <w:rsid w:val="00303832"/>
    <w:rsid w:val="00307C33"/>
    <w:rsid w:val="00307F7C"/>
    <w:rsid w:val="00310EDE"/>
    <w:rsid w:val="0031193C"/>
    <w:rsid w:val="00311BC7"/>
    <w:rsid w:val="00311D13"/>
    <w:rsid w:val="00311ED0"/>
    <w:rsid w:val="00312980"/>
    <w:rsid w:val="00312C1F"/>
    <w:rsid w:val="0031460B"/>
    <w:rsid w:val="003166AC"/>
    <w:rsid w:val="00316D6F"/>
    <w:rsid w:val="00317CD3"/>
    <w:rsid w:val="00320080"/>
    <w:rsid w:val="003234F0"/>
    <w:rsid w:val="00324AB7"/>
    <w:rsid w:val="00324D6C"/>
    <w:rsid w:val="00327E58"/>
    <w:rsid w:val="003306C2"/>
    <w:rsid w:val="003346AE"/>
    <w:rsid w:val="00335DBD"/>
    <w:rsid w:val="003410FA"/>
    <w:rsid w:val="0034149A"/>
    <w:rsid w:val="00342FBC"/>
    <w:rsid w:val="00343589"/>
    <w:rsid w:val="0034564B"/>
    <w:rsid w:val="0034658A"/>
    <w:rsid w:val="00347CCB"/>
    <w:rsid w:val="00350361"/>
    <w:rsid w:val="003523D8"/>
    <w:rsid w:val="00352706"/>
    <w:rsid w:val="00352EE2"/>
    <w:rsid w:val="00353D8C"/>
    <w:rsid w:val="00354230"/>
    <w:rsid w:val="00356399"/>
    <w:rsid w:val="00357DCB"/>
    <w:rsid w:val="003618E5"/>
    <w:rsid w:val="003648C5"/>
    <w:rsid w:val="003664AE"/>
    <w:rsid w:val="00367B75"/>
    <w:rsid w:val="0037105E"/>
    <w:rsid w:val="0037115E"/>
    <w:rsid w:val="00371ACE"/>
    <w:rsid w:val="003722FA"/>
    <w:rsid w:val="003728B9"/>
    <w:rsid w:val="00374BC7"/>
    <w:rsid w:val="003754EA"/>
    <w:rsid w:val="003759A4"/>
    <w:rsid w:val="00380486"/>
    <w:rsid w:val="00381026"/>
    <w:rsid w:val="00382576"/>
    <w:rsid w:val="003860CF"/>
    <w:rsid w:val="00386BBA"/>
    <w:rsid w:val="003870B6"/>
    <w:rsid w:val="00392420"/>
    <w:rsid w:val="00393E56"/>
    <w:rsid w:val="00397557"/>
    <w:rsid w:val="003A079F"/>
    <w:rsid w:val="003A4C5F"/>
    <w:rsid w:val="003A4ECB"/>
    <w:rsid w:val="003A5282"/>
    <w:rsid w:val="003A7092"/>
    <w:rsid w:val="003B384D"/>
    <w:rsid w:val="003C0D55"/>
    <w:rsid w:val="003C306B"/>
    <w:rsid w:val="003C37C8"/>
    <w:rsid w:val="003C3A16"/>
    <w:rsid w:val="003C6E6D"/>
    <w:rsid w:val="003C726C"/>
    <w:rsid w:val="003C7AAF"/>
    <w:rsid w:val="003C7B33"/>
    <w:rsid w:val="003D058C"/>
    <w:rsid w:val="003D21AB"/>
    <w:rsid w:val="003D3B79"/>
    <w:rsid w:val="003E15E4"/>
    <w:rsid w:val="003E18ED"/>
    <w:rsid w:val="003E40F9"/>
    <w:rsid w:val="003E4D01"/>
    <w:rsid w:val="003E59A5"/>
    <w:rsid w:val="003E5CDC"/>
    <w:rsid w:val="003E631B"/>
    <w:rsid w:val="003E6D0E"/>
    <w:rsid w:val="003E7298"/>
    <w:rsid w:val="003F0783"/>
    <w:rsid w:val="003F0A04"/>
    <w:rsid w:val="003F1641"/>
    <w:rsid w:val="003F1C1C"/>
    <w:rsid w:val="003F391F"/>
    <w:rsid w:val="003F421A"/>
    <w:rsid w:val="003F5DDE"/>
    <w:rsid w:val="003F60A3"/>
    <w:rsid w:val="00400355"/>
    <w:rsid w:val="004021ED"/>
    <w:rsid w:val="004027DD"/>
    <w:rsid w:val="00404938"/>
    <w:rsid w:val="004075B6"/>
    <w:rsid w:val="00411F6F"/>
    <w:rsid w:val="00420952"/>
    <w:rsid w:val="00421378"/>
    <w:rsid w:val="0042206F"/>
    <w:rsid w:val="00422305"/>
    <w:rsid w:val="00422617"/>
    <w:rsid w:val="00423898"/>
    <w:rsid w:val="0042570D"/>
    <w:rsid w:val="00426226"/>
    <w:rsid w:val="00427B2A"/>
    <w:rsid w:val="004308AA"/>
    <w:rsid w:val="00430E97"/>
    <w:rsid w:val="0043279A"/>
    <w:rsid w:val="00443E37"/>
    <w:rsid w:val="004447B0"/>
    <w:rsid w:val="00445AB5"/>
    <w:rsid w:val="00446BEE"/>
    <w:rsid w:val="004477B9"/>
    <w:rsid w:val="00450BC3"/>
    <w:rsid w:val="00452DC0"/>
    <w:rsid w:val="00453C65"/>
    <w:rsid w:val="00455323"/>
    <w:rsid w:val="0046020B"/>
    <w:rsid w:val="00462505"/>
    <w:rsid w:val="00467F8C"/>
    <w:rsid w:val="004715A9"/>
    <w:rsid w:val="004730E9"/>
    <w:rsid w:val="00473EF9"/>
    <w:rsid w:val="00477A32"/>
    <w:rsid w:val="00483DA5"/>
    <w:rsid w:val="00486560"/>
    <w:rsid w:val="00487205"/>
    <w:rsid w:val="004877F9"/>
    <w:rsid w:val="00487C63"/>
    <w:rsid w:val="00492E43"/>
    <w:rsid w:val="0049332D"/>
    <w:rsid w:val="00495405"/>
    <w:rsid w:val="004956A2"/>
    <w:rsid w:val="004A0733"/>
    <w:rsid w:val="004B02B0"/>
    <w:rsid w:val="004B1472"/>
    <w:rsid w:val="004B5338"/>
    <w:rsid w:val="004B57D6"/>
    <w:rsid w:val="004B6291"/>
    <w:rsid w:val="004C00B2"/>
    <w:rsid w:val="004C01E9"/>
    <w:rsid w:val="004C2DE3"/>
    <w:rsid w:val="004C3087"/>
    <w:rsid w:val="004C3271"/>
    <w:rsid w:val="004C4B88"/>
    <w:rsid w:val="004C5521"/>
    <w:rsid w:val="004C5E7E"/>
    <w:rsid w:val="004C68C9"/>
    <w:rsid w:val="004D2D96"/>
    <w:rsid w:val="004D5094"/>
    <w:rsid w:val="004D6E6C"/>
    <w:rsid w:val="004E07BD"/>
    <w:rsid w:val="004E140A"/>
    <w:rsid w:val="004E189A"/>
    <w:rsid w:val="004E230A"/>
    <w:rsid w:val="004E2F9C"/>
    <w:rsid w:val="004E7C22"/>
    <w:rsid w:val="004F04F0"/>
    <w:rsid w:val="004F3149"/>
    <w:rsid w:val="004F43CF"/>
    <w:rsid w:val="004F684B"/>
    <w:rsid w:val="004F6A41"/>
    <w:rsid w:val="005002C7"/>
    <w:rsid w:val="00500D60"/>
    <w:rsid w:val="0050235B"/>
    <w:rsid w:val="005025A1"/>
    <w:rsid w:val="0050340F"/>
    <w:rsid w:val="00505217"/>
    <w:rsid w:val="005055BA"/>
    <w:rsid w:val="00505E77"/>
    <w:rsid w:val="00506186"/>
    <w:rsid w:val="005072F5"/>
    <w:rsid w:val="005076B0"/>
    <w:rsid w:val="005104B2"/>
    <w:rsid w:val="00511204"/>
    <w:rsid w:val="005149D8"/>
    <w:rsid w:val="005150BA"/>
    <w:rsid w:val="0051555A"/>
    <w:rsid w:val="00517E60"/>
    <w:rsid w:val="00520EC4"/>
    <w:rsid w:val="00522935"/>
    <w:rsid w:val="005236D8"/>
    <w:rsid w:val="00526772"/>
    <w:rsid w:val="00532FCC"/>
    <w:rsid w:val="005330B5"/>
    <w:rsid w:val="005332E3"/>
    <w:rsid w:val="005334A8"/>
    <w:rsid w:val="00533849"/>
    <w:rsid w:val="00533E92"/>
    <w:rsid w:val="00535B7C"/>
    <w:rsid w:val="00537477"/>
    <w:rsid w:val="005378EA"/>
    <w:rsid w:val="00540066"/>
    <w:rsid w:val="00540C9A"/>
    <w:rsid w:val="00541F0F"/>
    <w:rsid w:val="00543822"/>
    <w:rsid w:val="0054382B"/>
    <w:rsid w:val="00545279"/>
    <w:rsid w:val="0055183A"/>
    <w:rsid w:val="00553E2D"/>
    <w:rsid w:val="005565E7"/>
    <w:rsid w:val="0055660C"/>
    <w:rsid w:val="00556BEC"/>
    <w:rsid w:val="0056027A"/>
    <w:rsid w:val="00564CE6"/>
    <w:rsid w:val="00572B09"/>
    <w:rsid w:val="005735E1"/>
    <w:rsid w:val="00577A1B"/>
    <w:rsid w:val="00577F18"/>
    <w:rsid w:val="005802ED"/>
    <w:rsid w:val="0058562F"/>
    <w:rsid w:val="00586F4F"/>
    <w:rsid w:val="0058702F"/>
    <w:rsid w:val="005906D2"/>
    <w:rsid w:val="00591CA3"/>
    <w:rsid w:val="00594C3A"/>
    <w:rsid w:val="00595FCF"/>
    <w:rsid w:val="005A02D5"/>
    <w:rsid w:val="005A0812"/>
    <w:rsid w:val="005A4609"/>
    <w:rsid w:val="005A6CC7"/>
    <w:rsid w:val="005A6D08"/>
    <w:rsid w:val="005B1425"/>
    <w:rsid w:val="005B1992"/>
    <w:rsid w:val="005B53AE"/>
    <w:rsid w:val="005C3F3B"/>
    <w:rsid w:val="005C4A39"/>
    <w:rsid w:val="005C7561"/>
    <w:rsid w:val="005C79FA"/>
    <w:rsid w:val="005C7FD3"/>
    <w:rsid w:val="005D0817"/>
    <w:rsid w:val="005D210F"/>
    <w:rsid w:val="005D393A"/>
    <w:rsid w:val="005D50BE"/>
    <w:rsid w:val="005D52D0"/>
    <w:rsid w:val="005E01EC"/>
    <w:rsid w:val="005E6DE4"/>
    <w:rsid w:val="005E756B"/>
    <w:rsid w:val="005F6D35"/>
    <w:rsid w:val="00603AB7"/>
    <w:rsid w:val="0060644C"/>
    <w:rsid w:val="00606ABB"/>
    <w:rsid w:val="00606B5E"/>
    <w:rsid w:val="00606EEF"/>
    <w:rsid w:val="00611EBC"/>
    <w:rsid w:val="006160B5"/>
    <w:rsid w:val="00621140"/>
    <w:rsid w:val="00621B51"/>
    <w:rsid w:val="00624140"/>
    <w:rsid w:val="00624E83"/>
    <w:rsid w:val="006251D7"/>
    <w:rsid w:val="00626E92"/>
    <w:rsid w:val="00627E3C"/>
    <w:rsid w:val="00637DCF"/>
    <w:rsid w:val="006412A1"/>
    <w:rsid w:val="00642150"/>
    <w:rsid w:val="00642E4C"/>
    <w:rsid w:val="00650CEF"/>
    <w:rsid w:val="006538C1"/>
    <w:rsid w:val="006544EC"/>
    <w:rsid w:val="006546B6"/>
    <w:rsid w:val="00655AF9"/>
    <w:rsid w:val="006609DB"/>
    <w:rsid w:val="0066271C"/>
    <w:rsid w:val="00662978"/>
    <w:rsid w:val="0066355E"/>
    <w:rsid w:val="00663795"/>
    <w:rsid w:val="0066498C"/>
    <w:rsid w:val="00666DD3"/>
    <w:rsid w:val="00667A55"/>
    <w:rsid w:val="006700C4"/>
    <w:rsid w:val="006709A9"/>
    <w:rsid w:val="00670CFB"/>
    <w:rsid w:val="00672318"/>
    <w:rsid w:val="006730D3"/>
    <w:rsid w:val="006802A7"/>
    <w:rsid w:val="0068310E"/>
    <w:rsid w:val="00684973"/>
    <w:rsid w:val="00686CBA"/>
    <w:rsid w:val="0069088A"/>
    <w:rsid w:val="006921E1"/>
    <w:rsid w:val="0069235E"/>
    <w:rsid w:val="006923EC"/>
    <w:rsid w:val="00693870"/>
    <w:rsid w:val="00693A1F"/>
    <w:rsid w:val="00693BE1"/>
    <w:rsid w:val="00694FC1"/>
    <w:rsid w:val="00696888"/>
    <w:rsid w:val="00696C0A"/>
    <w:rsid w:val="006971D8"/>
    <w:rsid w:val="006A001B"/>
    <w:rsid w:val="006A28FB"/>
    <w:rsid w:val="006A334C"/>
    <w:rsid w:val="006A57D2"/>
    <w:rsid w:val="006B0656"/>
    <w:rsid w:val="006B0ED9"/>
    <w:rsid w:val="006B257B"/>
    <w:rsid w:val="006B66BA"/>
    <w:rsid w:val="006B7E90"/>
    <w:rsid w:val="006C2FC2"/>
    <w:rsid w:val="006C680D"/>
    <w:rsid w:val="006C71F2"/>
    <w:rsid w:val="006C78D6"/>
    <w:rsid w:val="006D01A8"/>
    <w:rsid w:val="006D2257"/>
    <w:rsid w:val="006D4ECD"/>
    <w:rsid w:val="006D5DED"/>
    <w:rsid w:val="006E1A4D"/>
    <w:rsid w:val="006E3DC3"/>
    <w:rsid w:val="006E481A"/>
    <w:rsid w:val="006F0967"/>
    <w:rsid w:val="006F1EA0"/>
    <w:rsid w:val="00706246"/>
    <w:rsid w:val="0070649E"/>
    <w:rsid w:val="007073DE"/>
    <w:rsid w:val="00711FBE"/>
    <w:rsid w:val="007201D3"/>
    <w:rsid w:val="00722E29"/>
    <w:rsid w:val="00725F30"/>
    <w:rsid w:val="007276D4"/>
    <w:rsid w:val="00731DBD"/>
    <w:rsid w:val="00736348"/>
    <w:rsid w:val="0073662E"/>
    <w:rsid w:val="0073693B"/>
    <w:rsid w:val="00737054"/>
    <w:rsid w:val="00740C4C"/>
    <w:rsid w:val="00741AAF"/>
    <w:rsid w:val="00743EE1"/>
    <w:rsid w:val="00744C9E"/>
    <w:rsid w:val="00747B84"/>
    <w:rsid w:val="007517B1"/>
    <w:rsid w:val="007567F4"/>
    <w:rsid w:val="00761964"/>
    <w:rsid w:val="00763B32"/>
    <w:rsid w:val="00764825"/>
    <w:rsid w:val="007707C9"/>
    <w:rsid w:val="0077376B"/>
    <w:rsid w:val="0077508B"/>
    <w:rsid w:val="00775E14"/>
    <w:rsid w:val="0077707D"/>
    <w:rsid w:val="007778BA"/>
    <w:rsid w:val="00781C41"/>
    <w:rsid w:val="00782115"/>
    <w:rsid w:val="00787BE0"/>
    <w:rsid w:val="00792C29"/>
    <w:rsid w:val="00793113"/>
    <w:rsid w:val="007A1733"/>
    <w:rsid w:val="007A57A8"/>
    <w:rsid w:val="007A7638"/>
    <w:rsid w:val="007B02FE"/>
    <w:rsid w:val="007B0C66"/>
    <w:rsid w:val="007B122F"/>
    <w:rsid w:val="007B183C"/>
    <w:rsid w:val="007C16B2"/>
    <w:rsid w:val="007C44B2"/>
    <w:rsid w:val="007C4726"/>
    <w:rsid w:val="007C641B"/>
    <w:rsid w:val="007C7435"/>
    <w:rsid w:val="007C7751"/>
    <w:rsid w:val="007C7D57"/>
    <w:rsid w:val="007E094C"/>
    <w:rsid w:val="007E2650"/>
    <w:rsid w:val="007E2F41"/>
    <w:rsid w:val="007E301D"/>
    <w:rsid w:val="007E5444"/>
    <w:rsid w:val="007E759B"/>
    <w:rsid w:val="007E7FD6"/>
    <w:rsid w:val="007F006B"/>
    <w:rsid w:val="007F0088"/>
    <w:rsid w:val="007F199A"/>
    <w:rsid w:val="007F2C28"/>
    <w:rsid w:val="007F5006"/>
    <w:rsid w:val="00801076"/>
    <w:rsid w:val="00801E43"/>
    <w:rsid w:val="0080629D"/>
    <w:rsid w:val="00806EB7"/>
    <w:rsid w:val="00815167"/>
    <w:rsid w:val="0082254D"/>
    <w:rsid w:val="008233A4"/>
    <w:rsid w:val="008245C1"/>
    <w:rsid w:val="00824DAF"/>
    <w:rsid w:val="00833D8A"/>
    <w:rsid w:val="0083423F"/>
    <w:rsid w:val="00835189"/>
    <w:rsid w:val="00841ABC"/>
    <w:rsid w:val="00844458"/>
    <w:rsid w:val="00851C3D"/>
    <w:rsid w:val="00857950"/>
    <w:rsid w:val="008605D8"/>
    <w:rsid w:val="00861B92"/>
    <w:rsid w:val="00862273"/>
    <w:rsid w:val="008637B3"/>
    <w:rsid w:val="00873C6B"/>
    <w:rsid w:val="00876FA3"/>
    <w:rsid w:val="008777FA"/>
    <w:rsid w:val="00880023"/>
    <w:rsid w:val="00880D00"/>
    <w:rsid w:val="008814FB"/>
    <w:rsid w:val="00882A1E"/>
    <w:rsid w:val="00887832"/>
    <w:rsid w:val="00887C8A"/>
    <w:rsid w:val="008911C0"/>
    <w:rsid w:val="0089302F"/>
    <w:rsid w:val="008956D5"/>
    <w:rsid w:val="00895BC0"/>
    <w:rsid w:val="00895F9B"/>
    <w:rsid w:val="0089629E"/>
    <w:rsid w:val="00896A48"/>
    <w:rsid w:val="00897715"/>
    <w:rsid w:val="00897798"/>
    <w:rsid w:val="008977CF"/>
    <w:rsid w:val="008A15CB"/>
    <w:rsid w:val="008A41BF"/>
    <w:rsid w:val="008A5193"/>
    <w:rsid w:val="008B37B1"/>
    <w:rsid w:val="008B5808"/>
    <w:rsid w:val="008C1288"/>
    <w:rsid w:val="008C2C28"/>
    <w:rsid w:val="008C71E3"/>
    <w:rsid w:val="008D0EB7"/>
    <w:rsid w:val="008D19B4"/>
    <w:rsid w:val="008D5AA5"/>
    <w:rsid w:val="008D61C4"/>
    <w:rsid w:val="008E437F"/>
    <w:rsid w:val="008E7826"/>
    <w:rsid w:val="008E7F04"/>
    <w:rsid w:val="008F58AA"/>
    <w:rsid w:val="008F5E30"/>
    <w:rsid w:val="008F6FB7"/>
    <w:rsid w:val="0090437E"/>
    <w:rsid w:val="00905BF6"/>
    <w:rsid w:val="00907844"/>
    <w:rsid w:val="0091435D"/>
    <w:rsid w:val="00914D7F"/>
    <w:rsid w:val="00921473"/>
    <w:rsid w:val="00933AC7"/>
    <w:rsid w:val="00933ADA"/>
    <w:rsid w:val="00944006"/>
    <w:rsid w:val="00944E05"/>
    <w:rsid w:val="00957BEF"/>
    <w:rsid w:val="00957DBE"/>
    <w:rsid w:val="0096105C"/>
    <w:rsid w:val="009622C1"/>
    <w:rsid w:val="00964658"/>
    <w:rsid w:val="0096663F"/>
    <w:rsid w:val="00966D54"/>
    <w:rsid w:val="00967297"/>
    <w:rsid w:val="0097084C"/>
    <w:rsid w:val="00972293"/>
    <w:rsid w:val="00972D8D"/>
    <w:rsid w:val="0097305A"/>
    <w:rsid w:val="009731D1"/>
    <w:rsid w:val="0097400D"/>
    <w:rsid w:val="00975CB9"/>
    <w:rsid w:val="00976597"/>
    <w:rsid w:val="00976D09"/>
    <w:rsid w:val="009817F3"/>
    <w:rsid w:val="00982FD1"/>
    <w:rsid w:val="00983FD1"/>
    <w:rsid w:val="00984E08"/>
    <w:rsid w:val="009931C8"/>
    <w:rsid w:val="00995239"/>
    <w:rsid w:val="00995593"/>
    <w:rsid w:val="00995BD4"/>
    <w:rsid w:val="009A17A7"/>
    <w:rsid w:val="009A27C0"/>
    <w:rsid w:val="009A2A45"/>
    <w:rsid w:val="009A3C31"/>
    <w:rsid w:val="009A5805"/>
    <w:rsid w:val="009B030F"/>
    <w:rsid w:val="009B59B7"/>
    <w:rsid w:val="009B61CF"/>
    <w:rsid w:val="009B727A"/>
    <w:rsid w:val="009B77BB"/>
    <w:rsid w:val="009C08FD"/>
    <w:rsid w:val="009C4FA7"/>
    <w:rsid w:val="009C5631"/>
    <w:rsid w:val="009C6BDD"/>
    <w:rsid w:val="009D0B45"/>
    <w:rsid w:val="009D189C"/>
    <w:rsid w:val="009D2D1B"/>
    <w:rsid w:val="009D775F"/>
    <w:rsid w:val="009E130F"/>
    <w:rsid w:val="009E4ACB"/>
    <w:rsid w:val="009E5181"/>
    <w:rsid w:val="009E649B"/>
    <w:rsid w:val="009E67FB"/>
    <w:rsid w:val="009E680B"/>
    <w:rsid w:val="009E681E"/>
    <w:rsid w:val="009F1340"/>
    <w:rsid w:val="009F1DB9"/>
    <w:rsid w:val="009F2D38"/>
    <w:rsid w:val="009F4FB8"/>
    <w:rsid w:val="009F5098"/>
    <w:rsid w:val="00A026D0"/>
    <w:rsid w:val="00A107EF"/>
    <w:rsid w:val="00A11B56"/>
    <w:rsid w:val="00A1414C"/>
    <w:rsid w:val="00A15A1F"/>
    <w:rsid w:val="00A2011B"/>
    <w:rsid w:val="00A22501"/>
    <w:rsid w:val="00A231FE"/>
    <w:rsid w:val="00A236E5"/>
    <w:rsid w:val="00A25A7E"/>
    <w:rsid w:val="00A302A1"/>
    <w:rsid w:val="00A30FD2"/>
    <w:rsid w:val="00A311F5"/>
    <w:rsid w:val="00A3142B"/>
    <w:rsid w:val="00A314D0"/>
    <w:rsid w:val="00A3325A"/>
    <w:rsid w:val="00A33B1E"/>
    <w:rsid w:val="00A358AE"/>
    <w:rsid w:val="00A36445"/>
    <w:rsid w:val="00A41538"/>
    <w:rsid w:val="00A41FE1"/>
    <w:rsid w:val="00A426A8"/>
    <w:rsid w:val="00A42ED4"/>
    <w:rsid w:val="00A43013"/>
    <w:rsid w:val="00A443C0"/>
    <w:rsid w:val="00A45D60"/>
    <w:rsid w:val="00A475A1"/>
    <w:rsid w:val="00A500F0"/>
    <w:rsid w:val="00A53443"/>
    <w:rsid w:val="00A5568F"/>
    <w:rsid w:val="00A57033"/>
    <w:rsid w:val="00A57279"/>
    <w:rsid w:val="00A5741D"/>
    <w:rsid w:val="00A57A27"/>
    <w:rsid w:val="00A60EE4"/>
    <w:rsid w:val="00A626D6"/>
    <w:rsid w:val="00A66A09"/>
    <w:rsid w:val="00A70C42"/>
    <w:rsid w:val="00A73607"/>
    <w:rsid w:val="00A73729"/>
    <w:rsid w:val="00A73D76"/>
    <w:rsid w:val="00A74B0C"/>
    <w:rsid w:val="00A8137E"/>
    <w:rsid w:val="00A8293B"/>
    <w:rsid w:val="00A83454"/>
    <w:rsid w:val="00A902A2"/>
    <w:rsid w:val="00A90CD8"/>
    <w:rsid w:val="00A9114C"/>
    <w:rsid w:val="00A958E8"/>
    <w:rsid w:val="00AA203C"/>
    <w:rsid w:val="00AA246A"/>
    <w:rsid w:val="00AA289C"/>
    <w:rsid w:val="00AA3978"/>
    <w:rsid w:val="00AA47FB"/>
    <w:rsid w:val="00AA71E8"/>
    <w:rsid w:val="00AB4CD1"/>
    <w:rsid w:val="00AB5C92"/>
    <w:rsid w:val="00AC43C7"/>
    <w:rsid w:val="00AC69D7"/>
    <w:rsid w:val="00AD23EA"/>
    <w:rsid w:val="00AD4ED5"/>
    <w:rsid w:val="00AD6DE1"/>
    <w:rsid w:val="00AE0DD1"/>
    <w:rsid w:val="00AE18FB"/>
    <w:rsid w:val="00AE58F6"/>
    <w:rsid w:val="00AE6A61"/>
    <w:rsid w:val="00AE72ED"/>
    <w:rsid w:val="00AE7434"/>
    <w:rsid w:val="00AE7B9F"/>
    <w:rsid w:val="00AF108A"/>
    <w:rsid w:val="00AF3238"/>
    <w:rsid w:val="00AF35A3"/>
    <w:rsid w:val="00AF6455"/>
    <w:rsid w:val="00B02CF4"/>
    <w:rsid w:val="00B02E55"/>
    <w:rsid w:val="00B036C1"/>
    <w:rsid w:val="00B0398B"/>
    <w:rsid w:val="00B05FD5"/>
    <w:rsid w:val="00B06CA7"/>
    <w:rsid w:val="00B07C55"/>
    <w:rsid w:val="00B07E17"/>
    <w:rsid w:val="00B07F18"/>
    <w:rsid w:val="00B10125"/>
    <w:rsid w:val="00B102CF"/>
    <w:rsid w:val="00B123AD"/>
    <w:rsid w:val="00B143C9"/>
    <w:rsid w:val="00B15C4D"/>
    <w:rsid w:val="00B16DA0"/>
    <w:rsid w:val="00B241FB"/>
    <w:rsid w:val="00B25414"/>
    <w:rsid w:val="00B312C3"/>
    <w:rsid w:val="00B31AD1"/>
    <w:rsid w:val="00B33624"/>
    <w:rsid w:val="00B33716"/>
    <w:rsid w:val="00B37DD6"/>
    <w:rsid w:val="00B4261E"/>
    <w:rsid w:val="00B4338D"/>
    <w:rsid w:val="00B50576"/>
    <w:rsid w:val="00B51E4B"/>
    <w:rsid w:val="00B5431F"/>
    <w:rsid w:val="00B54367"/>
    <w:rsid w:val="00B62888"/>
    <w:rsid w:val="00B64764"/>
    <w:rsid w:val="00B6480A"/>
    <w:rsid w:val="00B65A11"/>
    <w:rsid w:val="00B65E9F"/>
    <w:rsid w:val="00B66815"/>
    <w:rsid w:val="00B73B99"/>
    <w:rsid w:val="00B73D1D"/>
    <w:rsid w:val="00B81209"/>
    <w:rsid w:val="00B90A4A"/>
    <w:rsid w:val="00B92B1C"/>
    <w:rsid w:val="00B94E50"/>
    <w:rsid w:val="00B9530C"/>
    <w:rsid w:val="00B96314"/>
    <w:rsid w:val="00B97B9C"/>
    <w:rsid w:val="00BA00E1"/>
    <w:rsid w:val="00BA45B1"/>
    <w:rsid w:val="00BA5FF3"/>
    <w:rsid w:val="00BA7F78"/>
    <w:rsid w:val="00BB01FC"/>
    <w:rsid w:val="00BB63C3"/>
    <w:rsid w:val="00BC04CD"/>
    <w:rsid w:val="00BC184B"/>
    <w:rsid w:val="00BC65D9"/>
    <w:rsid w:val="00BD2569"/>
    <w:rsid w:val="00BD48E6"/>
    <w:rsid w:val="00BD566B"/>
    <w:rsid w:val="00BE0CD4"/>
    <w:rsid w:val="00BE2632"/>
    <w:rsid w:val="00BE30D1"/>
    <w:rsid w:val="00BE3284"/>
    <w:rsid w:val="00BE59DD"/>
    <w:rsid w:val="00BE71E4"/>
    <w:rsid w:val="00BF02E1"/>
    <w:rsid w:val="00BF1B16"/>
    <w:rsid w:val="00BF3B03"/>
    <w:rsid w:val="00BF4208"/>
    <w:rsid w:val="00BF4617"/>
    <w:rsid w:val="00BF7FE0"/>
    <w:rsid w:val="00C01480"/>
    <w:rsid w:val="00C039D3"/>
    <w:rsid w:val="00C046FD"/>
    <w:rsid w:val="00C050DD"/>
    <w:rsid w:val="00C054FC"/>
    <w:rsid w:val="00C10360"/>
    <w:rsid w:val="00C16AAD"/>
    <w:rsid w:val="00C1736A"/>
    <w:rsid w:val="00C2084C"/>
    <w:rsid w:val="00C24AD0"/>
    <w:rsid w:val="00C24EF9"/>
    <w:rsid w:val="00C30856"/>
    <w:rsid w:val="00C30C11"/>
    <w:rsid w:val="00C32709"/>
    <w:rsid w:val="00C346C9"/>
    <w:rsid w:val="00C34B61"/>
    <w:rsid w:val="00C35D50"/>
    <w:rsid w:val="00C36044"/>
    <w:rsid w:val="00C36969"/>
    <w:rsid w:val="00C37037"/>
    <w:rsid w:val="00C400B1"/>
    <w:rsid w:val="00C40C30"/>
    <w:rsid w:val="00C43D77"/>
    <w:rsid w:val="00C44AC2"/>
    <w:rsid w:val="00C54C64"/>
    <w:rsid w:val="00C5623A"/>
    <w:rsid w:val="00C57DD7"/>
    <w:rsid w:val="00C6296C"/>
    <w:rsid w:val="00C641F0"/>
    <w:rsid w:val="00C64713"/>
    <w:rsid w:val="00C70570"/>
    <w:rsid w:val="00C70868"/>
    <w:rsid w:val="00C719C4"/>
    <w:rsid w:val="00C71A74"/>
    <w:rsid w:val="00C71C6E"/>
    <w:rsid w:val="00C73352"/>
    <w:rsid w:val="00C734E3"/>
    <w:rsid w:val="00C73C7C"/>
    <w:rsid w:val="00C73F5F"/>
    <w:rsid w:val="00C743EA"/>
    <w:rsid w:val="00C758C5"/>
    <w:rsid w:val="00C77C66"/>
    <w:rsid w:val="00C80393"/>
    <w:rsid w:val="00C80D35"/>
    <w:rsid w:val="00C82415"/>
    <w:rsid w:val="00C83B0A"/>
    <w:rsid w:val="00C85682"/>
    <w:rsid w:val="00C87BE5"/>
    <w:rsid w:val="00C90D44"/>
    <w:rsid w:val="00C90F9D"/>
    <w:rsid w:val="00C937CE"/>
    <w:rsid w:val="00C93F76"/>
    <w:rsid w:val="00C94450"/>
    <w:rsid w:val="00C947F1"/>
    <w:rsid w:val="00C96411"/>
    <w:rsid w:val="00C978A4"/>
    <w:rsid w:val="00CA0744"/>
    <w:rsid w:val="00CA3A8C"/>
    <w:rsid w:val="00CA4224"/>
    <w:rsid w:val="00CA7B4A"/>
    <w:rsid w:val="00CB14E6"/>
    <w:rsid w:val="00CB2369"/>
    <w:rsid w:val="00CB2D65"/>
    <w:rsid w:val="00CB6575"/>
    <w:rsid w:val="00CB6D8B"/>
    <w:rsid w:val="00CC0BDF"/>
    <w:rsid w:val="00CC0EDC"/>
    <w:rsid w:val="00CC25BA"/>
    <w:rsid w:val="00CC36C8"/>
    <w:rsid w:val="00CC627E"/>
    <w:rsid w:val="00CC64E9"/>
    <w:rsid w:val="00CC679F"/>
    <w:rsid w:val="00CD0C3D"/>
    <w:rsid w:val="00CD3395"/>
    <w:rsid w:val="00CD587B"/>
    <w:rsid w:val="00CE1464"/>
    <w:rsid w:val="00CE4FC9"/>
    <w:rsid w:val="00CE657E"/>
    <w:rsid w:val="00CF1C53"/>
    <w:rsid w:val="00CF2416"/>
    <w:rsid w:val="00CF2E5C"/>
    <w:rsid w:val="00CF58B7"/>
    <w:rsid w:val="00CF5BB3"/>
    <w:rsid w:val="00D017B4"/>
    <w:rsid w:val="00D01F06"/>
    <w:rsid w:val="00D02A8F"/>
    <w:rsid w:val="00D0365D"/>
    <w:rsid w:val="00D03D08"/>
    <w:rsid w:val="00D04F7C"/>
    <w:rsid w:val="00D1090F"/>
    <w:rsid w:val="00D12D44"/>
    <w:rsid w:val="00D139C6"/>
    <w:rsid w:val="00D13C63"/>
    <w:rsid w:val="00D15F11"/>
    <w:rsid w:val="00D1699D"/>
    <w:rsid w:val="00D16B54"/>
    <w:rsid w:val="00D173F8"/>
    <w:rsid w:val="00D20000"/>
    <w:rsid w:val="00D214BE"/>
    <w:rsid w:val="00D21EDB"/>
    <w:rsid w:val="00D22293"/>
    <w:rsid w:val="00D22EC5"/>
    <w:rsid w:val="00D23C45"/>
    <w:rsid w:val="00D27DD8"/>
    <w:rsid w:val="00D314A8"/>
    <w:rsid w:val="00D33976"/>
    <w:rsid w:val="00D347B5"/>
    <w:rsid w:val="00D351C1"/>
    <w:rsid w:val="00D35576"/>
    <w:rsid w:val="00D35EFB"/>
    <w:rsid w:val="00D36034"/>
    <w:rsid w:val="00D41E32"/>
    <w:rsid w:val="00D44D43"/>
    <w:rsid w:val="00D461FC"/>
    <w:rsid w:val="00D4640F"/>
    <w:rsid w:val="00D4783E"/>
    <w:rsid w:val="00D47D55"/>
    <w:rsid w:val="00D47DC3"/>
    <w:rsid w:val="00D504B3"/>
    <w:rsid w:val="00D53FBB"/>
    <w:rsid w:val="00D551CD"/>
    <w:rsid w:val="00D56C36"/>
    <w:rsid w:val="00D61943"/>
    <w:rsid w:val="00D62152"/>
    <w:rsid w:val="00D64B4E"/>
    <w:rsid w:val="00D7107A"/>
    <w:rsid w:val="00D712FC"/>
    <w:rsid w:val="00D74752"/>
    <w:rsid w:val="00D74C14"/>
    <w:rsid w:val="00D80593"/>
    <w:rsid w:val="00D80947"/>
    <w:rsid w:val="00D824E8"/>
    <w:rsid w:val="00D830F1"/>
    <w:rsid w:val="00D83F4F"/>
    <w:rsid w:val="00D845C5"/>
    <w:rsid w:val="00D84B78"/>
    <w:rsid w:val="00D85C5C"/>
    <w:rsid w:val="00D86BF0"/>
    <w:rsid w:val="00D86BFB"/>
    <w:rsid w:val="00D8733A"/>
    <w:rsid w:val="00D9363C"/>
    <w:rsid w:val="00D93973"/>
    <w:rsid w:val="00D96545"/>
    <w:rsid w:val="00D97F1C"/>
    <w:rsid w:val="00DA1136"/>
    <w:rsid w:val="00DA1A4D"/>
    <w:rsid w:val="00DA3458"/>
    <w:rsid w:val="00DA4EB5"/>
    <w:rsid w:val="00DB227A"/>
    <w:rsid w:val="00DB69D1"/>
    <w:rsid w:val="00DC20A1"/>
    <w:rsid w:val="00DC2674"/>
    <w:rsid w:val="00DC51CA"/>
    <w:rsid w:val="00DC5C03"/>
    <w:rsid w:val="00DC5CA7"/>
    <w:rsid w:val="00DC6514"/>
    <w:rsid w:val="00DC7FA2"/>
    <w:rsid w:val="00DD0A30"/>
    <w:rsid w:val="00DD4042"/>
    <w:rsid w:val="00DD5F55"/>
    <w:rsid w:val="00DD60D2"/>
    <w:rsid w:val="00DE1011"/>
    <w:rsid w:val="00DE4BAF"/>
    <w:rsid w:val="00DE5201"/>
    <w:rsid w:val="00DE55D4"/>
    <w:rsid w:val="00DF2C47"/>
    <w:rsid w:val="00DF311D"/>
    <w:rsid w:val="00DF31C3"/>
    <w:rsid w:val="00DF6BEB"/>
    <w:rsid w:val="00DF72E1"/>
    <w:rsid w:val="00DF744A"/>
    <w:rsid w:val="00DF7670"/>
    <w:rsid w:val="00E0011C"/>
    <w:rsid w:val="00E0088F"/>
    <w:rsid w:val="00E01C55"/>
    <w:rsid w:val="00E03FDE"/>
    <w:rsid w:val="00E04579"/>
    <w:rsid w:val="00E04808"/>
    <w:rsid w:val="00E06521"/>
    <w:rsid w:val="00E0769C"/>
    <w:rsid w:val="00E079FB"/>
    <w:rsid w:val="00E07F9D"/>
    <w:rsid w:val="00E10607"/>
    <w:rsid w:val="00E14B64"/>
    <w:rsid w:val="00E16E14"/>
    <w:rsid w:val="00E221C3"/>
    <w:rsid w:val="00E2365D"/>
    <w:rsid w:val="00E23A97"/>
    <w:rsid w:val="00E26480"/>
    <w:rsid w:val="00E26609"/>
    <w:rsid w:val="00E27A4A"/>
    <w:rsid w:val="00E27C94"/>
    <w:rsid w:val="00E27F70"/>
    <w:rsid w:val="00E3213D"/>
    <w:rsid w:val="00E32501"/>
    <w:rsid w:val="00E328F9"/>
    <w:rsid w:val="00E3314A"/>
    <w:rsid w:val="00E351C5"/>
    <w:rsid w:val="00E40367"/>
    <w:rsid w:val="00E43FA4"/>
    <w:rsid w:val="00E4533C"/>
    <w:rsid w:val="00E4544C"/>
    <w:rsid w:val="00E50373"/>
    <w:rsid w:val="00E51079"/>
    <w:rsid w:val="00E51920"/>
    <w:rsid w:val="00E531BC"/>
    <w:rsid w:val="00E564C7"/>
    <w:rsid w:val="00E568D3"/>
    <w:rsid w:val="00E5704C"/>
    <w:rsid w:val="00E57F94"/>
    <w:rsid w:val="00E61B62"/>
    <w:rsid w:val="00E62B22"/>
    <w:rsid w:val="00E635E2"/>
    <w:rsid w:val="00E63F4B"/>
    <w:rsid w:val="00E64120"/>
    <w:rsid w:val="00E660A1"/>
    <w:rsid w:val="00E66788"/>
    <w:rsid w:val="00E70F20"/>
    <w:rsid w:val="00E7165D"/>
    <w:rsid w:val="00E727D5"/>
    <w:rsid w:val="00E72AE9"/>
    <w:rsid w:val="00E7762F"/>
    <w:rsid w:val="00E77FE7"/>
    <w:rsid w:val="00E80470"/>
    <w:rsid w:val="00E8084C"/>
    <w:rsid w:val="00E851C4"/>
    <w:rsid w:val="00E8627E"/>
    <w:rsid w:val="00E87AA6"/>
    <w:rsid w:val="00E920C3"/>
    <w:rsid w:val="00E94B5D"/>
    <w:rsid w:val="00EA56C7"/>
    <w:rsid w:val="00EA782C"/>
    <w:rsid w:val="00EB096F"/>
    <w:rsid w:val="00EB20D0"/>
    <w:rsid w:val="00EC1709"/>
    <w:rsid w:val="00EC21B2"/>
    <w:rsid w:val="00ED077E"/>
    <w:rsid w:val="00ED2917"/>
    <w:rsid w:val="00ED3041"/>
    <w:rsid w:val="00ED5D50"/>
    <w:rsid w:val="00ED663F"/>
    <w:rsid w:val="00EE0333"/>
    <w:rsid w:val="00EE20EA"/>
    <w:rsid w:val="00EE3874"/>
    <w:rsid w:val="00EE5DEA"/>
    <w:rsid w:val="00EE63A2"/>
    <w:rsid w:val="00EF025A"/>
    <w:rsid w:val="00EF07DB"/>
    <w:rsid w:val="00EF423D"/>
    <w:rsid w:val="00EF4719"/>
    <w:rsid w:val="00EF471E"/>
    <w:rsid w:val="00EF5E30"/>
    <w:rsid w:val="00F00C20"/>
    <w:rsid w:val="00F0165E"/>
    <w:rsid w:val="00F02728"/>
    <w:rsid w:val="00F03935"/>
    <w:rsid w:val="00F04514"/>
    <w:rsid w:val="00F055F1"/>
    <w:rsid w:val="00F07FFC"/>
    <w:rsid w:val="00F125C7"/>
    <w:rsid w:val="00F137E6"/>
    <w:rsid w:val="00F13C51"/>
    <w:rsid w:val="00F14F9E"/>
    <w:rsid w:val="00F25158"/>
    <w:rsid w:val="00F2577C"/>
    <w:rsid w:val="00F275F0"/>
    <w:rsid w:val="00F30FF7"/>
    <w:rsid w:val="00F31C60"/>
    <w:rsid w:val="00F32468"/>
    <w:rsid w:val="00F32DD5"/>
    <w:rsid w:val="00F34816"/>
    <w:rsid w:val="00F35E4E"/>
    <w:rsid w:val="00F41D30"/>
    <w:rsid w:val="00F461BB"/>
    <w:rsid w:val="00F461F1"/>
    <w:rsid w:val="00F53E94"/>
    <w:rsid w:val="00F545DB"/>
    <w:rsid w:val="00F57469"/>
    <w:rsid w:val="00F60BD1"/>
    <w:rsid w:val="00F60DCD"/>
    <w:rsid w:val="00F60F20"/>
    <w:rsid w:val="00F610AF"/>
    <w:rsid w:val="00F615C3"/>
    <w:rsid w:val="00F6238F"/>
    <w:rsid w:val="00F6403F"/>
    <w:rsid w:val="00F650FF"/>
    <w:rsid w:val="00F70ED1"/>
    <w:rsid w:val="00F717EB"/>
    <w:rsid w:val="00F71802"/>
    <w:rsid w:val="00F72CDC"/>
    <w:rsid w:val="00F746EF"/>
    <w:rsid w:val="00F7629C"/>
    <w:rsid w:val="00F76B96"/>
    <w:rsid w:val="00F76C09"/>
    <w:rsid w:val="00F76D5C"/>
    <w:rsid w:val="00F7790A"/>
    <w:rsid w:val="00F81F3C"/>
    <w:rsid w:val="00F83647"/>
    <w:rsid w:val="00F85746"/>
    <w:rsid w:val="00F868AB"/>
    <w:rsid w:val="00F90367"/>
    <w:rsid w:val="00F905C9"/>
    <w:rsid w:val="00F90AA9"/>
    <w:rsid w:val="00F94C5B"/>
    <w:rsid w:val="00FA0265"/>
    <w:rsid w:val="00FA02CF"/>
    <w:rsid w:val="00FA13E4"/>
    <w:rsid w:val="00FA2C5A"/>
    <w:rsid w:val="00FA2F26"/>
    <w:rsid w:val="00FA5A85"/>
    <w:rsid w:val="00FB0388"/>
    <w:rsid w:val="00FB0881"/>
    <w:rsid w:val="00FB230A"/>
    <w:rsid w:val="00FB252F"/>
    <w:rsid w:val="00FB25CA"/>
    <w:rsid w:val="00FB6060"/>
    <w:rsid w:val="00FC1039"/>
    <w:rsid w:val="00FC12F4"/>
    <w:rsid w:val="00FC2600"/>
    <w:rsid w:val="00FC2D11"/>
    <w:rsid w:val="00FC6230"/>
    <w:rsid w:val="00FC7F6B"/>
    <w:rsid w:val="00FC7FC2"/>
    <w:rsid w:val="00FD248A"/>
    <w:rsid w:val="00FD531D"/>
    <w:rsid w:val="00FD535D"/>
    <w:rsid w:val="00FD5435"/>
    <w:rsid w:val="00FD67E4"/>
    <w:rsid w:val="00FD6D47"/>
    <w:rsid w:val="00FD78F9"/>
    <w:rsid w:val="00FD7DC9"/>
    <w:rsid w:val="00FE663D"/>
    <w:rsid w:val="00FE6B55"/>
    <w:rsid w:val="00FF1480"/>
    <w:rsid w:val="00FF1C05"/>
    <w:rsid w:val="00FF214C"/>
    <w:rsid w:val="00FF232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F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uiPriority w:val="5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2E482A"/>
    <w:pPr>
      <w:spacing w:before="240" w:after="240" w:line="276" w:lineRule="auto"/>
    </w:pPr>
    <w:rPr>
      <w:rFonts w:ascii="Arial" w:hAnsi="Arial"/>
      <w:lang w:eastAsia="en-US"/>
    </w:rPr>
  </w:style>
  <w:style w:type="paragraph" w:customStyle="1" w:styleId="tabletext0">
    <w:name w:val="table text"/>
    <w:basedOn w:val="Paragraphnonumbers"/>
    <w:link w:val="tabletextChar"/>
    <w:qFormat/>
    <w:rsid w:val="002E482A"/>
    <w:pPr>
      <w:spacing w:before="60" w:after="60" w:line="240" w:lineRule="auto"/>
    </w:pPr>
    <w:rPr>
      <w:lang w:eastAsia="en-GB"/>
    </w:rPr>
  </w:style>
  <w:style w:type="character" w:customStyle="1" w:styleId="tabletextChar">
    <w:name w:val="table text Char"/>
    <w:basedOn w:val="DefaultParagraphFont"/>
    <w:link w:val="tabletext0"/>
    <w:rsid w:val="002E482A"/>
    <w:rPr>
      <w:rFonts w:ascii="Arial" w:hAnsi="Arial"/>
      <w:sz w:val="24"/>
      <w:szCs w:val="24"/>
    </w:rPr>
  </w:style>
  <w:style w:type="character" w:styleId="UnresolvedMention">
    <w:name w:val="Unresolved Mention"/>
    <w:basedOn w:val="DefaultParagraphFont"/>
    <w:uiPriority w:val="99"/>
    <w:semiHidden/>
    <w:unhideWhenUsed/>
    <w:rsid w:val="002E482A"/>
    <w:rPr>
      <w:color w:val="605E5C"/>
      <w:shd w:val="clear" w:color="auto" w:fill="E1DFDD"/>
    </w:rPr>
  </w:style>
  <w:style w:type="paragraph" w:customStyle="1" w:styleId="NICEnormal">
    <w:name w:val="NICE normal"/>
    <w:link w:val="NICEnormalChar"/>
    <w:rsid w:val="00D712FC"/>
    <w:pPr>
      <w:spacing w:after="240" w:line="360" w:lineRule="auto"/>
    </w:pPr>
    <w:rPr>
      <w:rFonts w:ascii="Arial" w:hAnsi="Arial"/>
      <w:sz w:val="24"/>
      <w:szCs w:val="24"/>
      <w:lang w:val="en-US" w:eastAsia="en-US"/>
    </w:rPr>
  </w:style>
  <w:style w:type="character" w:customStyle="1" w:styleId="NICEnormalChar">
    <w:name w:val="NICE normal Char"/>
    <w:basedOn w:val="DefaultParagraphFont"/>
    <w:link w:val="NICEnormal"/>
    <w:rsid w:val="00D712FC"/>
    <w:rPr>
      <w:rFonts w:ascii="Arial" w:hAnsi="Arial"/>
      <w:sz w:val="24"/>
      <w:szCs w:val="24"/>
      <w:lang w:val="en-US" w:eastAsia="en-US"/>
    </w:rPr>
  </w:style>
  <w:style w:type="paragraph" w:customStyle="1" w:styleId="TableText1">
    <w:name w:val="Table Text 1"/>
    <w:basedOn w:val="Normal"/>
    <w:qFormat/>
    <w:rsid w:val="00D712FC"/>
    <w:rPr>
      <w:rFonts w:ascii="Arial" w:hAnsi="Arial"/>
      <w:sz w:val="22"/>
    </w:rPr>
  </w:style>
  <w:style w:type="character" w:styleId="FollowedHyperlink">
    <w:name w:val="FollowedHyperlink"/>
    <w:basedOn w:val="DefaultParagraphFont"/>
    <w:semiHidden/>
    <w:rsid w:val="006544EC"/>
    <w:rPr>
      <w:color w:val="00436C" w:themeColor="followedHyperlink"/>
      <w:u w:val="single"/>
    </w:rPr>
  </w:style>
  <w:style w:type="table" w:customStyle="1" w:styleId="TableGrid1">
    <w:name w:val="Table Grid1"/>
    <w:basedOn w:val="TableNormal"/>
    <w:next w:val="TableGrid"/>
    <w:uiPriority w:val="39"/>
    <w:rsid w:val="004F04F0"/>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04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45" TargetMode="External"/><Relationship Id="rId13" Type="http://schemas.openxmlformats.org/officeDocument/2006/relationships/hyperlink" Target="https://www.asthmaandlung.org.uk/conditions/asthma/manage/asthma-review" TargetMode="External"/><Relationship Id="rId18" Type="http://schemas.openxmlformats.org/officeDocument/2006/relationships/header" Target="header1.xml"/><Relationship Id="rId26" Type="http://schemas.openxmlformats.org/officeDocument/2006/relationships/hyperlink" Target="https://www.dovepress.com/persistence-of-eosinophilic-asthma-endotype-and-clinical-outcomes-a-re-peer-reviewed-fulltext-article-JAA" TargetMode="External"/><Relationship Id="rId3" Type="http://schemas.openxmlformats.org/officeDocument/2006/relationships/styles" Target="styles.xml"/><Relationship Id="rId21" Type="http://schemas.openxmlformats.org/officeDocument/2006/relationships/hyperlink" Target="https://thorax.bmj.com/content/79/2/112" TargetMode="External"/><Relationship Id="rId7" Type="http://schemas.openxmlformats.org/officeDocument/2006/relationships/endnotes" Target="endnotes.xml"/><Relationship Id="rId12" Type="http://schemas.openxmlformats.org/officeDocument/2006/relationships/hyperlink" Target="https://www.nice.org.uk/guidance/ng245" TargetMode="External"/><Relationship Id="rId17" Type="http://schemas.openxmlformats.org/officeDocument/2006/relationships/footer" Target="footer1.xml"/><Relationship Id="rId25" Type="http://schemas.openxmlformats.org/officeDocument/2006/relationships/hyperlink" Target="https://link.springer.com/article/10.1007/s12325-020-01444-5" TargetMode="External"/><Relationship Id="rId2" Type="http://schemas.openxmlformats.org/officeDocument/2006/relationships/numbering" Target="numbering.xml"/><Relationship Id="rId16" Type="http://schemas.openxmlformats.org/officeDocument/2006/relationships/hyperlink" Target="https://www.nice.org.uk/guidance/ng245" TargetMode="External"/><Relationship Id="rId20" Type="http://schemas.openxmlformats.org/officeDocument/2006/relationships/hyperlink" Target="https://publications.ersnet.org/content/erj/53/4/18021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245" TargetMode="External"/><Relationship Id="rId24" Type="http://schemas.openxmlformats.org/officeDocument/2006/relationships/hyperlink" Target="https://spiral.imperial.ac.uk/entities/publication/9c1e110a-6cee-49f4-b59e-963909a54ad2" TargetMode="External"/><Relationship Id="rId5" Type="http://schemas.openxmlformats.org/officeDocument/2006/relationships/webSettings" Target="webSettings.xml"/><Relationship Id="rId15" Type="http://schemas.openxmlformats.org/officeDocument/2006/relationships/hyperlink" Target="https://www.beatasthma.co.uk/wp-content/uploads/2025/04/MART-Consensus-statement-FINAL.pdf" TargetMode="External"/><Relationship Id="rId23" Type="http://schemas.openxmlformats.org/officeDocument/2006/relationships/hyperlink" Target="https://www.atsjournals.org/doi/10.1164/rccm.202107-1704OC" TargetMode="External"/><Relationship Id="rId28" Type="http://schemas.openxmlformats.org/officeDocument/2006/relationships/theme" Target="theme/theme1.xml"/><Relationship Id="rId10" Type="http://schemas.openxmlformats.org/officeDocument/2006/relationships/hyperlink" Target="https://www.nice.org.uk/indicators/ind273-asthma-annual-review"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ice.org.uk/guidance/ng245" TargetMode="External"/><Relationship Id="rId14" Type="http://schemas.openxmlformats.org/officeDocument/2006/relationships/hyperlink" Target="https://www.gov.uk/drug-safety-update/short-acting-beta-2-agonists-saba-salbutamol-and-terbutaline-reminder-of-the-risks-from-overuse-in-asthma-and-to-be-aware-of-changes-in-the-saba-prescribing-guidelines" TargetMode="External"/><Relationship Id="rId22" Type="http://schemas.openxmlformats.org/officeDocument/2006/relationships/hyperlink" Target="https://thorax.bmj.com/content/73/4/313"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71FD3-BB71-46F4-B493-7F0A2BF8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10511</Words>
  <Characters>57086</Characters>
  <Application>Microsoft Office Word</Application>
  <DocSecurity>0</DocSecurity>
  <Lines>1968</Lines>
  <Paragraphs>572</Paragraphs>
  <ScaleCrop>false</ScaleCrop>
  <Company/>
  <LinksUpToDate>false</LinksUpToDate>
  <CharactersWithSpaces>67025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2025-10-29T10:47:00Z</dcterms:created>
  <dcterms:modified xsi:type="dcterms:W3CDTF">2025-10-29T10:47:00Z</dcterms:modified>
</cp:coreProperties>
</file>