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2E482A">
      <w:pPr>
        <w:pStyle w:val="Title"/>
      </w:pPr>
      <w:r>
        <w:t>Indicator development programme</w:t>
      </w:r>
      <w:r w:rsidR="002E482A">
        <w:tab/>
      </w:r>
    </w:p>
    <w:p w14:paraId="5C05FA6A" w14:textId="0ED6B503" w:rsidR="002E482A" w:rsidRDefault="002E482A" w:rsidP="002E482A">
      <w:pPr>
        <w:pStyle w:val="Title"/>
      </w:pPr>
      <w:r>
        <w:t>Consultation report</w:t>
      </w:r>
      <w:r w:rsidR="00A90CD8">
        <w:t xml:space="preserve">: </w:t>
      </w:r>
      <w:r w:rsidR="0097564C">
        <w:t>Chronic heart failure</w:t>
      </w:r>
    </w:p>
    <w:p w14:paraId="332315A0" w14:textId="77777777" w:rsidR="002E482A" w:rsidRDefault="002E482A" w:rsidP="002E482A">
      <w:pPr>
        <w:pStyle w:val="Paragraph"/>
      </w:pPr>
    </w:p>
    <w:p w14:paraId="6D16CB90" w14:textId="689E6444" w:rsidR="002E482A" w:rsidRDefault="002E482A" w:rsidP="002E482A">
      <w:pPr>
        <w:pStyle w:val="Paragraph"/>
      </w:pPr>
      <w:r>
        <w:t xml:space="preserve">Consultation period: </w:t>
      </w:r>
      <w:r w:rsidR="00D77466">
        <w:t>03</w:t>
      </w:r>
      <w:r>
        <w:t xml:space="preserve"> </w:t>
      </w:r>
      <w:r w:rsidR="00D77466">
        <w:t>July</w:t>
      </w:r>
      <w:r>
        <w:t xml:space="preserve"> – </w:t>
      </w:r>
      <w:r w:rsidR="008F4476">
        <w:t>31 July</w:t>
      </w:r>
      <w:r>
        <w:t xml:space="preserve"> 20</w:t>
      </w:r>
      <w:r w:rsidR="008F4476">
        <w:t>25</w:t>
      </w:r>
    </w:p>
    <w:p w14:paraId="0CF938F0" w14:textId="77777777" w:rsidR="007B36DD" w:rsidRDefault="007B36DD" w:rsidP="007B36DD">
      <w:pPr>
        <w:pStyle w:val="Heading1"/>
      </w:pPr>
      <w:r>
        <w:t>Introduction</w:t>
      </w:r>
    </w:p>
    <w:p w14:paraId="51044A56" w14:textId="3E113BF5" w:rsidR="002E482A" w:rsidRDefault="007B36DD" w:rsidP="007B36DD">
      <w:pPr>
        <w:pStyle w:val="Paragraph"/>
      </w:pPr>
      <w:r>
        <w:t xml:space="preserve">This paper outlines stakeholder responses from a consultation in July 2025 on the following draft indicators that are potentially suitable for use in the QOF: </w:t>
      </w:r>
    </w:p>
    <w:tbl>
      <w:tblPr>
        <w:tblStyle w:val="TableGridLight"/>
        <w:tblW w:w="8500" w:type="dxa"/>
        <w:tblLook w:val="04A0" w:firstRow="1" w:lastRow="0" w:firstColumn="1" w:lastColumn="0" w:noHBand="0" w:noVBand="1"/>
      </w:tblPr>
      <w:tblGrid>
        <w:gridCol w:w="1207"/>
        <w:gridCol w:w="3362"/>
        <w:gridCol w:w="3931"/>
      </w:tblGrid>
      <w:tr w:rsidR="002E482A" w14:paraId="597465C8" w14:textId="77777777" w:rsidTr="004425E7">
        <w:tc>
          <w:tcPr>
            <w:tcW w:w="1207" w:type="dxa"/>
          </w:tcPr>
          <w:p w14:paraId="68E0C9EA" w14:textId="78A4363A" w:rsidR="002E482A" w:rsidRDefault="002E482A" w:rsidP="002E482A">
            <w:pPr>
              <w:pStyle w:val="Tableheading"/>
            </w:pPr>
            <w:r>
              <w:t>ID</w:t>
            </w:r>
          </w:p>
        </w:tc>
        <w:tc>
          <w:tcPr>
            <w:tcW w:w="3362" w:type="dxa"/>
          </w:tcPr>
          <w:p w14:paraId="12AF0AE6" w14:textId="0C4A53EA" w:rsidR="002E482A" w:rsidRDefault="002E482A" w:rsidP="002E482A">
            <w:pPr>
              <w:pStyle w:val="Tableheading"/>
            </w:pPr>
            <w:r>
              <w:t>Indicator</w:t>
            </w:r>
          </w:p>
        </w:tc>
        <w:tc>
          <w:tcPr>
            <w:tcW w:w="3931" w:type="dxa"/>
          </w:tcPr>
          <w:p w14:paraId="6041DAD1" w14:textId="357E2F6F" w:rsidR="002E482A" w:rsidRDefault="002E482A" w:rsidP="002E482A">
            <w:pPr>
              <w:pStyle w:val="Tableheading"/>
            </w:pPr>
            <w:r>
              <w:t xml:space="preserve">Evidence source </w:t>
            </w:r>
          </w:p>
        </w:tc>
      </w:tr>
      <w:tr w:rsidR="002E482A" w14:paraId="39C8BC32" w14:textId="77777777" w:rsidTr="004425E7">
        <w:tc>
          <w:tcPr>
            <w:tcW w:w="1207" w:type="dxa"/>
          </w:tcPr>
          <w:p w14:paraId="61718C09" w14:textId="0D4B707F" w:rsidR="002E482A" w:rsidRDefault="00F71358" w:rsidP="002E482A">
            <w:pPr>
              <w:pStyle w:val="Tabletext"/>
            </w:pPr>
            <w:r>
              <w:t>GID-IND103</w:t>
            </w:r>
            <w:r w:rsidR="00784C25">
              <w:t>32</w:t>
            </w:r>
          </w:p>
        </w:tc>
        <w:tc>
          <w:tcPr>
            <w:tcW w:w="3362" w:type="dxa"/>
          </w:tcPr>
          <w:p w14:paraId="7DC836D5" w14:textId="77777777" w:rsidR="004277FC" w:rsidRPr="004277FC" w:rsidRDefault="004277FC" w:rsidP="004277FC">
            <w:pPr>
              <w:pStyle w:val="Paragraph"/>
              <w:spacing w:after="0" w:line="240" w:lineRule="auto"/>
              <w:rPr>
                <w:sz w:val="22"/>
                <w:szCs w:val="22"/>
              </w:rPr>
            </w:pPr>
            <w:r w:rsidRPr="004277FC">
              <w:rPr>
                <w:sz w:val="22"/>
                <w:szCs w:val="22"/>
              </w:rPr>
              <w:t xml:space="preserve">The percentage of patients with a current diagnosis of heart failure with reduced ejection fraction, who are currently treated with: </w:t>
            </w:r>
          </w:p>
          <w:p w14:paraId="04EC9473" w14:textId="77777777" w:rsidR="004277FC" w:rsidRPr="004277FC" w:rsidRDefault="004277FC" w:rsidP="004277FC">
            <w:pPr>
              <w:pStyle w:val="Bullets"/>
              <w:spacing w:line="240" w:lineRule="auto"/>
              <w:rPr>
                <w:sz w:val="22"/>
                <w:szCs w:val="22"/>
              </w:rPr>
            </w:pPr>
            <w:r w:rsidRPr="004277FC">
              <w:rPr>
                <w:sz w:val="22"/>
                <w:szCs w:val="22"/>
              </w:rPr>
              <w:t>an angiotensin-converting enzyme inhibitor or angiotensin receptor-neprilysin inhibitor or angiotensin II receptor blocker</w:t>
            </w:r>
          </w:p>
          <w:p w14:paraId="0307B80D" w14:textId="77777777" w:rsidR="004277FC" w:rsidRPr="004277FC" w:rsidRDefault="004277FC" w:rsidP="004277FC">
            <w:pPr>
              <w:pStyle w:val="Bullets"/>
              <w:spacing w:line="240" w:lineRule="auto"/>
              <w:rPr>
                <w:sz w:val="22"/>
                <w:szCs w:val="22"/>
              </w:rPr>
            </w:pPr>
            <w:r w:rsidRPr="004277FC">
              <w:rPr>
                <w:sz w:val="22"/>
                <w:szCs w:val="22"/>
              </w:rPr>
              <w:t xml:space="preserve">a beta blocker </w:t>
            </w:r>
          </w:p>
          <w:p w14:paraId="5A2C8E02" w14:textId="77777777" w:rsidR="004277FC" w:rsidRPr="004277FC" w:rsidRDefault="004277FC" w:rsidP="004277FC">
            <w:pPr>
              <w:pStyle w:val="Bullets"/>
              <w:spacing w:line="240" w:lineRule="auto"/>
              <w:rPr>
                <w:sz w:val="22"/>
                <w:szCs w:val="22"/>
              </w:rPr>
            </w:pPr>
            <w:r w:rsidRPr="004277FC">
              <w:rPr>
                <w:sz w:val="22"/>
                <w:szCs w:val="22"/>
              </w:rPr>
              <w:t xml:space="preserve">a mineralocorticoid receptor antagonist </w:t>
            </w:r>
          </w:p>
          <w:p w14:paraId="5C162210" w14:textId="09862CA7" w:rsidR="002E482A" w:rsidRDefault="004277FC" w:rsidP="004277FC">
            <w:pPr>
              <w:pStyle w:val="Bullets"/>
              <w:spacing w:line="240" w:lineRule="auto"/>
            </w:pPr>
            <w:r w:rsidRPr="004277FC">
              <w:rPr>
                <w:sz w:val="22"/>
                <w:szCs w:val="22"/>
              </w:rPr>
              <w:t>a sodium glucose co-transporter-2 inhibitor.</w:t>
            </w:r>
          </w:p>
        </w:tc>
        <w:tc>
          <w:tcPr>
            <w:tcW w:w="3931" w:type="dxa"/>
          </w:tcPr>
          <w:p w14:paraId="5825B620" w14:textId="3467B5F3" w:rsidR="002E482A" w:rsidRPr="009747F7" w:rsidRDefault="005702D1" w:rsidP="009747F7">
            <w:pPr>
              <w:pStyle w:val="Paragraph"/>
              <w:spacing w:after="0" w:line="240" w:lineRule="auto"/>
              <w:rPr>
                <w:b/>
                <w:bCs/>
              </w:rPr>
            </w:pPr>
            <w:hyperlink r:id="rId8" w:history="1">
              <w:hyperlink r:id="rId9" w:history="1">
                <w:r>
                  <w:rPr>
                    <w:rStyle w:val="Hyperlink"/>
                    <w:sz w:val="22"/>
                    <w:szCs w:val="22"/>
                  </w:rPr>
                  <w:t>NICE’s guideline on chronic heart failure in adults: diagnosis and management</w:t>
                </w:r>
              </w:hyperlink>
              <w:r w:rsidR="009747F7" w:rsidRPr="009747F7">
                <w:rPr>
                  <w:sz w:val="22"/>
                  <w:szCs w:val="22"/>
                </w:rPr>
                <w:t xml:space="preserve"> (2018, updated 2025) recommendations 1.4.1 and 1.4.7</w:t>
              </w:r>
            </w:hyperlink>
            <w:r w:rsidR="009747F7" w:rsidRPr="009747F7">
              <w:rPr>
                <w:sz w:val="22"/>
                <w:szCs w:val="22"/>
              </w:rPr>
              <w:t xml:space="preserve">. </w:t>
            </w:r>
          </w:p>
        </w:tc>
      </w:tr>
      <w:tr w:rsidR="002E482A" w14:paraId="634F290E" w14:textId="77777777" w:rsidTr="004425E7">
        <w:tc>
          <w:tcPr>
            <w:tcW w:w="1207" w:type="dxa"/>
          </w:tcPr>
          <w:p w14:paraId="64E8AA72" w14:textId="58BFE55F" w:rsidR="002E482A" w:rsidRDefault="00F03095" w:rsidP="007434ED">
            <w:pPr>
              <w:pStyle w:val="Tabletext"/>
              <w:spacing w:after="0"/>
            </w:pPr>
            <w:r>
              <w:rPr>
                <w:rFonts w:eastAsia="Arial" w:cs="Arial"/>
              </w:rPr>
              <w:t>GID-IND103</w:t>
            </w:r>
            <w:r w:rsidR="00784C25">
              <w:rPr>
                <w:rFonts w:eastAsia="Arial" w:cs="Arial"/>
              </w:rPr>
              <w:t>34</w:t>
            </w:r>
          </w:p>
        </w:tc>
        <w:tc>
          <w:tcPr>
            <w:tcW w:w="3362" w:type="dxa"/>
          </w:tcPr>
          <w:p w14:paraId="4CDFC0EA" w14:textId="4EFEFB0D" w:rsidR="002E482A" w:rsidRDefault="00741F82" w:rsidP="007434ED">
            <w:pPr>
              <w:pStyle w:val="Tabletext"/>
              <w:spacing w:after="0"/>
            </w:pPr>
            <w:r w:rsidRPr="00741F82">
              <w:t>The percentage of patients with a diagnosis of heart failure on or after 1st April 2026 who have a recorded ejection fraction category (reduced, mildly reduced, or preserved).</w:t>
            </w:r>
          </w:p>
        </w:tc>
        <w:tc>
          <w:tcPr>
            <w:tcW w:w="3931" w:type="dxa"/>
          </w:tcPr>
          <w:p w14:paraId="1D288EA0" w14:textId="77777777" w:rsidR="007434ED" w:rsidRPr="007434ED" w:rsidRDefault="007434ED" w:rsidP="007434ED">
            <w:pPr>
              <w:tabs>
                <w:tab w:val="left" w:pos="426"/>
              </w:tabs>
              <w:rPr>
                <w:rFonts w:ascii="Arial" w:hAnsi="Arial"/>
                <w:sz w:val="22"/>
                <w:szCs w:val="22"/>
                <w:lang w:eastAsia="en-US"/>
              </w:rPr>
            </w:pPr>
            <w:hyperlink r:id="rId10">
              <w:r w:rsidRPr="007434ED">
                <w:rPr>
                  <w:rFonts w:ascii="Arial" w:eastAsia="Arial" w:hAnsi="Arial" w:cs="Arial"/>
                  <w:color w:val="0000FF"/>
                  <w:sz w:val="22"/>
                  <w:szCs w:val="22"/>
                  <w:u w:val="single"/>
                  <w:lang w:eastAsia="en-US"/>
                </w:rPr>
                <w:t>NICE’s guideline on chronic heart failure in adults: diagnosis and management</w:t>
              </w:r>
            </w:hyperlink>
            <w:r w:rsidRPr="007434ED">
              <w:rPr>
                <w:rFonts w:ascii="Arial" w:eastAsia="Arial" w:hAnsi="Arial"/>
                <w:sz w:val="22"/>
                <w:szCs w:val="22"/>
                <w:lang w:eastAsia="en-US"/>
              </w:rPr>
              <w:t xml:space="preserve"> (2018, updated 2025) </w:t>
            </w:r>
          </w:p>
          <w:p w14:paraId="3EF8A142" w14:textId="2AD0891B" w:rsidR="002E482A" w:rsidRPr="007434ED" w:rsidRDefault="002E482A" w:rsidP="007434ED">
            <w:pPr>
              <w:pStyle w:val="Tabletext"/>
              <w:spacing w:after="0"/>
              <w:rPr>
                <w:szCs w:val="22"/>
              </w:rPr>
            </w:pPr>
          </w:p>
        </w:tc>
      </w:tr>
    </w:tbl>
    <w:p w14:paraId="33AEDD31" w14:textId="56687B50" w:rsidR="002E482A" w:rsidRDefault="002E482A" w:rsidP="002E482A">
      <w:pPr>
        <w:pStyle w:val="Paragraph"/>
      </w:pPr>
    </w:p>
    <w:p w14:paraId="014F9617" w14:textId="653DA4A7" w:rsidR="002E482A" w:rsidRDefault="002E482A" w:rsidP="002E482A">
      <w:pPr>
        <w:pStyle w:val="Paragraph"/>
      </w:pPr>
    </w:p>
    <w:p w14:paraId="08E292A2" w14:textId="7720085F" w:rsidR="002E482A" w:rsidRDefault="002E482A" w:rsidP="002E482A">
      <w:pPr>
        <w:pStyle w:val="Paragraph"/>
      </w:pPr>
    </w:p>
    <w:p w14:paraId="22EE1535" w14:textId="02AA9377" w:rsidR="002E482A" w:rsidRDefault="002E482A">
      <w:pPr>
        <w:rPr>
          <w:rFonts w:ascii="Arial" w:hAnsi="Arial"/>
          <w:lang w:eastAsia="en-US"/>
        </w:rPr>
      </w:pPr>
      <w:r>
        <w:br w:type="page"/>
      </w:r>
    </w:p>
    <w:p w14:paraId="41B97529" w14:textId="77777777" w:rsidR="008E268B" w:rsidRPr="008E268B" w:rsidRDefault="008E268B" w:rsidP="008E268B">
      <w:pPr>
        <w:pStyle w:val="Heading1"/>
      </w:pPr>
      <w:bookmarkStart w:id="0" w:name="_Toc830288804"/>
      <w:bookmarkStart w:id="1" w:name="_Toc201916050"/>
      <w:bookmarkStart w:id="2" w:name="_Toc205564943"/>
      <w:r w:rsidRPr="008E268B">
        <w:lastRenderedPageBreak/>
        <w:t>Heart failure: 4 pillars (heart failure with reduced ejection fraction)</w:t>
      </w:r>
      <w:bookmarkEnd w:id="0"/>
      <w:bookmarkEnd w:id="1"/>
      <w:bookmarkEnd w:id="2"/>
    </w:p>
    <w:p w14:paraId="7FFAEDD9" w14:textId="6FCDBFC4" w:rsidR="003F3CE0" w:rsidRDefault="003F3CE0" w:rsidP="003F3CE0">
      <w:pPr>
        <w:pStyle w:val="Paragraph"/>
      </w:pPr>
      <w:r>
        <w:t>GID-IND103</w:t>
      </w:r>
      <w:r w:rsidR="00784C25">
        <w:t>32</w:t>
      </w:r>
      <w:r>
        <w:t xml:space="preserve">: </w:t>
      </w:r>
      <w:r w:rsidRPr="00434EF6">
        <w:t xml:space="preserve">The percentage of patients with a current diagnosis of heart failure </w:t>
      </w:r>
      <w:r>
        <w:t>with</w:t>
      </w:r>
      <w:r w:rsidRPr="00434EF6">
        <w:t xml:space="preserve"> </w:t>
      </w:r>
      <w:r>
        <w:t>reduced ejection fraction</w:t>
      </w:r>
      <w:r w:rsidRPr="00434EF6">
        <w:t>, who are currently treated with</w:t>
      </w:r>
      <w:r>
        <w:t>:</w:t>
      </w:r>
      <w:r w:rsidRPr="00434EF6">
        <w:t xml:space="preserve"> </w:t>
      </w:r>
    </w:p>
    <w:p w14:paraId="5883A5FA" w14:textId="77777777" w:rsidR="003F3CE0" w:rsidRDefault="003F3CE0" w:rsidP="003F3CE0">
      <w:pPr>
        <w:pStyle w:val="Bullets"/>
      </w:pPr>
      <w:r>
        <w:t>an angiotensin-converting enzyme inhibitor or angiotensin receptor-neprilysin inhibitor or angiotensin II receptor blocker</w:t>
      </w:r>
    </w:p>
    <w:p w14:paraId="4D83434F" w14:textId="77777777" w:rsidR="003F3CE0" w:rsidRDefault="003F3CE0" w:rsidP="003F3CE0">
      <w:pPr>
        <w:pStyle w:val="Bullets"/>
      </w:pPr>
      <w:r>
        <w:t xml:space="preserve">a beta blocker </w:t>
      </w:r>
    </w:p>
    <w:p w14:paraId="3FB9FF39" w14:textId="77777777" w:rsidR="003F3CE0" w:rsidRDefault="003F3CE0" w:rsidP="003F3CE0">
      <w:pPr>
        <w:pStyle w:val="Bullets"/>
      </w:pPr>
      <w:r>
        <w:t xml:space="preserve">a mineralocorticoid receptor antagonist </w:t>
      </w:r>
    </w:p>
    <w:p w14:paraId="5D80F929" w14:textId="77777777" w:rsidR="003F3CE0" w:rsidRDefault="003F3CE0" w:rsidP="003F3CE0">
      <w:pPr>
        <w:pStyle w:val="Bullets"/>
      </w:pPr>
      <w:r>
        <w:t>a sodium glucose co-transporter-2 inhibitor</w:t>
      </w:r>
      <w:r w:rsidRPr="00434EF6">
        <w:t>.</w:t>
      </w:r>
    </w:p>
    <w:p w14:paraId="6FCD5BA5" w14:textId="77777777" w:rsidR="00DE4BAF" w:rsidRDefault="00DE4BAF" w:rsidP="00DE4BAF">
      <w:pPr>
        <w:pStyle w:val="Heading2"/>
      </w:pPr>
      <w:r>
        <w:t>Rationale</w:t>
      </w:r>
    </w:p>
    <w:p w14:paraId="655687D2" w14:textId="3900CBC4" w:rsidR="009C1006" w:rsidRDefault="000F3EE2" w:rsidP="004C3087">
      <w:pPr>
        <w:pStyle w:val="ParagraphNumbered"/>
      </w:pPr>
      <w:r w:rsidRPr="000F3EE2">
        <w:t>The updated NICE guideline for chronic heart failure promotes the four-pillar medication approach (ACE inhibitors, beta-blockers, SGLT2 inhibitors, and MRAs) as first-line treatment for heart failure with reduced ejection fraction. This approach to care is cost-effective and leads to a reduction in cardiovascular-related mortality and hospital admissions.</w:t>
      </w:r>
    </w:p>
    <w:p w14:paraId="5586D5E7" w14:textId="77777777" w:rsidR="00DE4BAF" w:rsidRDefault="00DE4BAF" w:rsidP="00DE4BAF">
      <w:pPr>
        <w:pStyle w:val="Heading2"/>
      </w:pPr>
      <w:r>
        <w:t>Summary of consultation comments</w:t>
      </w:r>
    </w:p>
    <w:p w14:paraId="6F29B946" w14:textId="77777777" w:rsidR="00043D46" w:rsidRDefault="00EF4A4C" w:rsidP="00B43457">
      <w:pPr>
        <w:pStyle w:val="ParagraphNumbered"/>
      </w:pPr>
      <w:r>
        <w:t>A s</w:t>
      </w:r>
      <w:r w:rsidR="00A34727" w:rsidRPr="00A34727">
        <w:t xml:space="preserve">takeholder </w:t>
      </w:r>
      <w:r w:rsidR="00043D46" w:rsidRPr="00043D46">
        <w:t>highlighted the need for clarity in indicator design</w:t>
      </w:r>
      <w:r w:rsidR="00043D46">
        <w:t xml:space="preserve">: </w:t>
      </w:r>
      <w:r w:rsidRPr="00EF4A4C">
        <w:t xml:space="preserve">whether the indicator measures </w:t>
      </w:r>
      <w:r w:rsidR="00043D46">
        <w:t xml:space="preserve">provision of an </w:t>
      </w:r>
      <w:r w:rsidRPr="00EF4A4C">
        <w:t>individual therap</w:t>
      </w:r>
      <w:r w:rsidR="00043D46">
        <w:t>y</w:t>
      </w:r>
      <w:r w:rsidRPr="00EF4A4C">
        <w:t xml:space="preserve"> or full adherence to all four treatments</w:t>
      </w:r>
      <w:r w:rsidR="001E22BF">
        <w:t>.</w:t>
      </w:r>
      <w:r w:rsidRPr="00EF4A4C">
        <w:t xml:space="preserve"> </w:t>
      </w:r>
    </w:p>
    <w:p w14:paraId="472F8081" w14:textId="41EBBD31" w:rsidR="00EF58D2" w:rsidRDefault="00EF58D2" w:rsidP="00B43457">
      <w:pPr>
        <w:pStyle w:val="ParagraphNumbered"/>
      </w:pPr>
      <w:r w:rsidRPr="00EF58D2">
        <w:t xml:space="preserve">The initiation of MRAs remains complex and resource-intensive, requiring appropriate thresholds and support. To ensure equitable care, </w:t>
      </w:r>
      <w:r w:rsidR="006C1FDE">
        <w:t xml:space="preserve">stakeholders emphasised the need for </w:t>
      </w:r>
      <w:r w:rsidRPr="00EF58D2">
        <w:t>personalised</w:t>
      </w:r>
      <w:r w:rsidR="000B32B3">
        <w:t xml:space="preserve"> care</w:t>
      </w:r>
      <w:r w:rsidRPr="00EF58D2">
        <w:t xml:space="preserve"> adjustments </w:t>
      </w:r>
      <w:r w:rsidR="000B32B3">
        <w:t>to</w:t>
      </w:r>
      <w:r w:rsidRPr="00EF58D2">
        <w:t xml:space="preserve"> be applied consistently and avoid variation</w:t>
      </w:r>
      <w:r w:rsidR="000B32B3">
        <w:t xml:space="preserve"> in use</w:t>
      </w:r>
      <w:r w:rsidRPr="00EF58D2">
        <w:t>.</w:t>
      </w:r>
    </w:p>
    <w:p w14:paraId="75A94D3C" w14:textId="77777777" w:rsidR="00DE4BAF" w:rsidRDefault="00DE4BAF" w:rsidP="00DE4BAF">
      <w:pPr>
        <w:pStyle w:val="Heading2"/>
      </w:pPr>
      <w:r>
        <w:t>Specific question/s included at consultation</w:t>
      </w:r>
    </w:p>
    <w:p w14:paraId="19D074CA" w14:textId="50E414BC" w:rsidR="00DE4BAF" w:rsidRDefault="00043D46" w:rsidP="00E42E43">
      <w:pPr>
        <w:pStyle w:val="ParagraphNumbered"/>
      </w:pPr>
      <w:r>
        <w:t xml:space="preserve">Stakeholders were asked if there are </w:t>
      </w:r>
      <w:r w:rsidR="00FA5161" w:rsidRPr="00FA5161">
        <w:t>any barriers to prescribing all four recommended drug classes in routine care</w:t>
      </w:r>
      <w:r w:rsidR="006C1FDE">
        <w:t>.</w:t>
      </w:r>
      <w:r w:rsidR="00B268E5">
        <w:t xml:space="preserve"> </w:t>
      </w:r>
      <w:r w:rsidR="00153702" w:rsidRPr="00153702">
        <w:t xml:space="preserve">A stakeholder </w:t>
      </w:r>
      <w:r w:rsidR="00F1724A">
        <w:t>highlighted</w:t>
      </w:r>
      <w:r w:rsidR="00B15942">
        <w:t xml:space="preserve"> </w:t>
      </w:r>
      <w:r w:rsidR="00B15942" w:rsidRPr="00B15942">
        <w:t xml:space="preserve">concerns regarding </w:t>
      </w:r>
      <w:r w:rsidR="00B15942">
        <w:t>r</w:t>
      </w:r>
      <w:r w:rsidR="00B15942" w:rsidRPr="00B15942">
        <w:t xml:space="preserve">ecommendation 1.7.4 in NICE’s 2025 draft guideline for heart failure, which advises general practitioners seek specialist input before prescribing SGLT2 inhibitors. They </w:t>
      </w:r>
      <w:r w:rsidR="00C1402C">
        <w:t>propose</w:t>
      </w:r>
      <w:r w:rsidR="00B15942" w:rsidRPr="00B15942">
        <w:t xml:space="preserve"> this requirement </w:t>
      </w:r>
      <w:r w:rsidR="00B15942" w:rsidRPr="00B15942">
        <w:lastRenderedPageBreak/>
        <w:t xml:space="preserve">presents a significant barrier to implementing the four-pillar therapy for </w:t>
      </w:r>
      <w:r w:rsidR="00EE4408" w:rsidRPr="00B15942">
        <w:t>HFrEF and</w:t>
      </w:r>
      <w:r w:rsidR="00BE25B1">
        <w:t xml:space="preserve"> note that</w:t>
      </w:r>
      <w:r w:rsidR="00B15942">
        <w:t xml:space="preserve"> </w:t>
      </w:r>
      <w:r w:rsidR="00B15942" w:rsidRPr="00B15942">
        <w:t xml:space="preserve">GPs already possess substantial experience with SGLT2 inhibitors through their use in managing type 2 diabetes and chronic kidney disease, </w:t>
      </w:r>
      <w:r w:rsidR="00764437">
        <w:t>so</w:t>
      </w:r>
      <w:r w:rsidR="00B15942" w:rsidRPr="00B15942">
        <w:t xml:space="preserve"> are well-equipped to monitor patients and manage adverse effects.</w:t>
      </w:r>
      <w:r w:rsidR="006C1FDE">
        <w:t xml:space="preserve"> It should be noted that the updated guideline has been amended to remove this requirement. </w:t>
      </w:r>
    </w:p>
    <w:p w14:paraId="52AFCBF3" w14:textId="5F29A871" w:rsidR="00A6085D" w:rsidRDefault="00A6085D" w:rsidP="00E42E43">
      <w:pPr>
        <w:pStyle w:val="ParagraphNumbered"/>
      </w:pPr>
      <w:r>
        <w:t xml:space="preserve">One stakeholder noted that </w:t>
      </w:r>
      <w:r w:rsidR="00394EF8">
        <w:t>“</w:t>
      </w:r>
      <w:r>
        <w:t>MRAs and SGLT2is are secondary care initiated, therefore not within the responsibility of general practice</w:t>
      </w:r>
      <w:r w:rsidR="00394EF8">
        <w:t>”</w:t>
      </w:r>
      <w:r>
        <w:t>.</w:t>
      </w:r>
    </w:p>
    <w:p w14:paraId="08F51FB5" w14:textId="77777777" w:rsidR="003F237A" w:rsidRDefault="006C1FDE" w:rsidP="00DF702F">
      <w:pPr>
        <w:pStyle w:val="ParagraphNumbered"/>
      </w:pPr>
      <w:r w:rsidRPr="006C1FDE">
        <w:t xml:space="preserve">Stakeholders were asked if </w:t>
      </w:r>
      <w:r>
        <w:t>they</w:t>
      </w:r>
      <w:r w:rsidR="0037128D" w:rsidRPr="00881430">
        <w:t xml:space="preserve"> agree </w:t>
      </w:r>
      <w:r w:rsidR="0037128D">
        <w:t>with the</w:t>
      </w:r>
      <w:r w:rsidR="0037128D" w:rsidRPr="00881430">
        <w:t xml:space="preserve"> focus on people with heart failure and recorded reduced ejection fraction</w:t>
      </w:r>
      <w:r w:rsidR="0037128D" w:rsidRPr="00E87396">
        <w:t xml:space="preserve"> </w:t>
      </w:r>
      <w:r w:rsidR="0037128D">
        <w:t>given likely under-recording</w:t>
      </w:r>
      <w:r w:rsidR="00B268E5">
        <w:t xml:space="preserve">. </w:t>
      </w:r>
      <w:r w:rsidR="00664FDD">
        <w:t xml:space="preserve">Stakeholders </w:t>
      </w:r>
      <w:r w:rsidR="00664FDD" w:rsidRPr="000011D2">
        <w:t>suggest</w:t>
      </w:r>
      <w:r w:rsidR="00664FDD">
        <w:t>ed</w:t>
      </w:r>
      <w:r w:rsidR="00664FDD" w:rsidRPr="000011D2">
        <w:t xml:space="preserve"> </w:t>
      </w:r>
      <w:r w:rsidR="00664FDD">
        <w:t>including</w:t>
      </w:r>
      <w:r w:rsidR="00664FDD" w:rsidRPr="000011D2">
        <w:t xml:space="preserve"> patients coded with left ventricular systolic dysfunction (LVSD) </w:t>
      </w:r>
      <w:r w:rsidR="00664FDD">
        <w:t>or</w:t>
      </w:r>
      <w:r w:rsidR="00664FDD" w:rsidRPr="000011D2">
        <w:t xml:space="preserve"> </w:t>
      </w:r>
      <w:r w:rsidR="00664FDD">
        <w:t>reduced ejection fraction</w:t>
      </w:r>
      <w:r w:rsidR="00664FDD" w:rsidRPr="000011D2">
        <w:t xml:space="preserve"> to avoid exclusion due to coding inconsistencies.</w:t>
      </w:r>
      <w:r w:rsidR="00664FDD">
        <w:t xml:space="preserve"> Current QOF HF</w:t>
      </w:r>
      <w:r w:rsidR="004B54A0">
        <w:t xml:space="preserve">003 and HF006 include both. </w:t>
      </w:r>
    </w:p>
    <w:p w14:paraId="352E3D34" w14:textId="00EC83D6" w:rsidR="0037128D" w:rsidRDefault="00B268E5" w:rsidP="00DF702F">
      <w:pPr>
        <w:pStyle w:val="ParagraphNumbered"/>
      </w:pPr>
      <w:r>
        <w:t>Alternatively,</w:t>
      </w:r>
      <w:r w:rsidR="004B54A0">
        <w:t xml:space="preserve"> a sta</w:t>
      </w:r>
      <w:r w:rsidR="0037128D">
        <w:t xml:space="preserve">keholder </w:t>
      </w:r>
      <w:r w:rsidR="00FB571D">
        <w:t>recommended</w:t>
      </w:r>
      <w:r w:rsidR="000011D2">
        <w:t xml:space="preserve"> </w:t>
      </w:r>
      <w:r w:rsidR="000011D2" w:rsidRPr="000011D2">
        <w:t xml:space="preserve">expanding </w:t>
      </w:r>
      <w:r w:rsidR="00664FDD">
        <w:t xml:space="preserve">or developing new </w:t>
      </w:r>
      <w:r w:rsidR="000011D2" w:rsidRPr="000011D2">
        <w:t>indicators to include patients with mildly reduced and preserved ejection fraction</w:t>
      </w:r>
      <w:r w:rsidR="003F237A">
        <w:t xml:space="preserve">. In the updated NICE guideline on heart failure these are weaker recommendations for the medications to be considered. </w:t>
      </w:r>
    </w:p>
    <w:p w14:paraId="4D6A72B8" w14:textId="77777777" w:rsidR="00DE4BAF" w:rsidRDefault="00DE4BAF" w:rsidP="00DE4BAF">
      <w:pPr>
        <w:pStyle w:val="Heading2"/>
      </w:pPr>
      <w:r>
        <w:t>Considerations for the advisory committee</w:t>
      </w:r>
    </w:p>
    <w:p w14:paraId="3CD07C6B" w14:textId="1E8265C0" w:rsidR="00664FDD" w:rsidRDefault="00DE4BAF" w:rsidP="004C3087">
      <w:pPr>
        <w:pStyle w:val="ParagraphNumbered"/>
      </w:pPr>
      <w:r>
        <w:t>The committee is asked to</w:t>
      </w:r>
      <w:r w:rsidR="00A6085D">
        <w:t xml:space="preserve"> consider</w:t>
      </w:r>
      <w:r w:rsidR="00664FDD">
        <w:t>:</w:t>
      </w:r>
    </w:p>
    <w:p w14:paraId="160A97F0" w14:textId="35288930" w:rsidR="002E482A" w:rsidRDefault="00664FDD" w:rsidP="00041F78">
      <w:pPr>
        <w:pStyle w:val="Bullets"/>
      </w:pPr>
      <w:r>
        <w:t>expanding the proposed indicator to include people with LVSD or reduced ejection fraction until recording of ejection fraction category improves.</w:t>
      </w:r>
      <w:r w:rsidR="004B54A0">
        <w:t xml:space="preserve"> </w:t>
      </w:r>
    </w:p>
    <w:p w14:paraId="6EC00EE4" w14:textId="12420797" w:rsidR="003F237A" w:rsidRDefault="003F237A" w:rsidP="00041F78">
      <w:pPr>
        <w:pStyle w:val="Bullets"/>
      </w:pPr>
      <w:r>
        <w:t xml:space="preserve">clarifying if success </w:t>
      </w:r>
      <w:r w:rsidR="00AA2997">
        <w:t xml:space="preserve">requires provision of all four medications or personalised care adjustment for each.   </w:t>
      </w:r>
    </w:p>
    <w:p w14:paraId="1BF43124" w14:textId="6F23C359" w:rsidR="00664FDD" w:rsidRDefault="00664FDD" w:rsidP="004B54A0">
      <w:pPr>
        <w:pStyle w:val="Bullets"/>
      </w:pPr>
      <w:r>
        <w:t>whether additional indicators focused on</w:t>
      </w:r>
      <w:r w:rsidR="004B54A0">
        <w:t xml:space="preserve"> </w:t>
      </w:r>
      <w:r w:rsidR="004B54A0" w:rsidRPr="004B54A0">
        <w:t>mildly reduced and preserved ejection fraction</w:t>
      </w:r>
      <w:r w:rsidR="004B54A0">
        <w:t xml:space="preserve"> should be developed. </w:t>
      </w:r>
      <w:r>
        <w:t xml:space="preserve"> </w:t>
      </w:r>
    </w:p>
    <w:p w14:paraId="25D7B28E" w14:textId="5EE9B086" w:rsidR="00DE4BAF" w:rsidRDefault="00DE4BAF">
      <w:pPr>
        <w:rPr>
          <w:rFonts w:ascii="Arial" w:hAnsi="Arial"/>
          <w:lang w:eastAsia="en-US"/>
        </w:rPr>
      </w:pPr>
      <w:r>
        <w:br w:type="page"/>
      </w:r>
    </w:p>
    <w:p w14:paraId="1BEEB657" w14:textId="77777777" w:rsidR="008D60CD" w:rsidRDefault="008D60CD" w:rsidP="008D60CD">
      <w:pPr>
        <w:pStyle w:val="Heading1"/>
      </w:pPr>
      <w:bookmarkStart w:id="3" w:name="_Toc205564944"/>
      <w:bookmarkStart w:id="4" w:name="_Hlk118099340"/>
      <w:r w:rsidRPr="008D60CD">
        <w:lastRenderedPageBreak/>
        <w:t>Heart failure: ejection fraction category (newly diagnosed)</w:t>
      </w:r>
      <w:bookmarkEnd w:id="3"/>
    </w:p>
    <w:p w14:paraId="43CA86FF" w14:textId="13E38DFD" w:rsidR="00312457" w:rsidRPr="00B36476" w:rsidRDefault="00312457" w:rsidP="00312457">
      <w:pPr>
        <w:spacing w:line="360" w:lineRule="auto"/>
        <w:rPr>
          <w:rFonts w:ascii="Arial" w:eastAsia="Arial" w:hAnsi="Arial" w:cs="Arial"/>
        </w:rPr>
      </w:pPr>
      <w:r>
        <w:rPr>
          <w:rFonts w:ascii="Arial" w:eastAsia="Arial" w:hAnsi="Arial" w:cs="Arial"/>
        </w:rPr>
        <w:t>GID-IND103</w:t>
      </w:r>
      <w:r w:rsidR="00784C25">
        <w:rPr>
          <w:rFonts w:ascii="Arial" w:eastAsia="Arial" w:hAnsi="Arial" w:cs="Arial"/>
        </w:rPr>
        <w:t>34</w:t>
      </w:r>
      <w:r w:rsidRPr="03625D26">
        <w:rPr>
          <w:rFonts w:ascii="Arial" w:eastAsia="Arial" w:hAnsi="Arial" w:cs="Arial"/>
        </w:rPr>
        <w:t xml:space="preserve">: The percentage of patients with a diagnosis </w:t>
      </w:r>
      <w:r w:rsidRPr="003113E2">
        <w:rPr>
          <w:rFonts w:ascii="Arial" w:eastAsia="Arial" w:hAnsi="Arial" w:cs="Arial"/>
        </w:rPr>
        <w:t xml:space="preserve">of </w:t>
      </w:r>
      <w:r w:rsidRPr="03625D26">
        <w:rPr>
          <w:rFonts w:ascii="Arial" w:eastAsia="Arial" w:hAnsi="Arial" w:cs="Arial"/>
        </w:rPr>
        <w:t>heart failure</w:t>
      </w:r>
      <w:r>
        <w:rPr>
          <w:rFonts w:ascii="Arial" w:eastAsia="Arial" w:hAnsi="Arial" w:cs="Arial"/>
        </w:rPr>
        <w:t xml:space="preserve"> on or after 1</w:t>
      </w:r>
      <w:r w:rsidRPr="00B36476">
        <w:rPr>
          <w:rFonts w:ascii="Arial" w:eastAsia="Arial" w:hAnsi="Arial" w:cs="Arial"/>
          <w:vertAlign w:val="superscript"/>
        </w:rPr>
        <w:t>st</w:t>
      </w:r>
      <w:r>
        <w:rPr>
          <w:rFonts w:ascii="Arial" w:eastAsia="Arial" w:hAnsi="Arial" w:cs="Arial"/>
        </w:rPr>
        <w:t xml:space="preserve"> April 2026</w:t>
      </w:r>
      <w:r>
        <w:t xml:space="preserve"> </w:t>
      </w:r>
      <w:r w:rsidRPr="1E894A76">
        <w:rPr>
          <w:rFonts w:ascii="Arial" w:eastAsia="Arial" w:hAnsi="Arial" w:cs="Arial"/>
        </w:rPr>
        <w:t>who</w:t>
      </w:r>
      <w:r w:rsidRPr="03625D26">
        <w:rPr>
          <w:rFonts w:ascii="Arial" w:eastAsia="Arial" w:hAnsi="Arial" w:cs="Arial"/>
        </w:rPr>
        <w:t xml:space="preserve"> </w:t>
      </w:r>
      <w:r>
        <w:rPr>
          <w:rFonts w:ascii="Arial" w:eastAsia="Arial" w:hAnsi="Arial" w:cs="Arial"/>
        </w:rPr>
        <w:t>have a</w:t>
      </w:r>
      <w:r w:rsidRPr="03625D26">
        <w:rPr>
          <w:rFonts w:ascii="Arial" w:eastAsia="Arial" w:hAnsi="Arial" w:cs="Arial"/>
        </w:rPr>
        <w:t xml:space="preserve"> recorded ejection fraction </w:t>
      </w:r>
      <w:r>
        <w:rPr>
          <w:rFonts w:ascii="Arial" w:eastAsia="Arial" w:hAnsi="Arial" w:cs="Arial"/>
        </w:rPr>
        <w:t>category (reduced, mildly reduced, or preserved)</w:t>
      </w:r>
      <w:r w:rsidRPr="03625D26">
        <w:rPr>
          <w:rFonts w:ascii="Arial" w:eastAsia="Arial" w:hAnsi="Arial" w:cs="Arial"/>
        </w:rPr>
        <w:t xml:space="preserve">. </w:t>
      </w:r>
    </w:p>
    <w:p w14:paraId="3F7F3975" w14:textId="12387124" w:rsidR="00DE4BAF" w:rsidRDefault="00DE4BAF" w:rsidP="00DE4BAF">
      <w:pPr>
        <w:pStyle w:val="Heading2"/>
      </w:pPr>
      <w:r>
        <w:t>Rationale</w:t>
      </w:r>
    </w:p>
    <w:p w14:paraId="0ECC09EF" w14:textId="7EAB1CAA" w:rsidR="00DE4BAF" w:rsidRDefault="00595E3B" w:rsidP="004C3087">
      <w:pPr>
        <w:pStyle w:val="ParagraphNumbered"/>
      </w:pPr>
      <w:r w:rsidRPr="00595E3B">
        <w:t>The recording of heart failure (HF) ejection fraction category (reduced, mildly reduced, or preserved) appears to be suboptimal in primary care records, contributing to disparities in treatment and poorer patient outcomes. The lack of precise phenotype classification can result in inconsistent and suboptimal care, through both under and overtreatment. Improving the routine coding of heart failure type in general practice electronic medical records (EMRs) presents an opportunity to refine care pathways and improve care outcomes.</w:t>
      </w:r>
    </w:p>
    <w:p w14:paraId="44A5D3CA" w14:textId="77777777" w:rsidR="00DE4BAF" w:rsidRDefault="00DE4BAF" w:rsidP="00DE4BAF">
      <w:pPr>
        <w:pStyle w:val="Heading2"/>
      </w:pPr>
      <w:r>
        <w:t>Summary of consultation comments</w:t>
      </w:r>
    </w:p>
    <w:p w14:paraId="351A8BD0" w14:textId="480DE914" w:rsidR="001838A4" w:rsidRPr="001838A4" w:rsidRDefault="003F6997" w:rsidP="001838A4">
      <w:pPr>
        <w:pStyle w:val="ParagraphNumbered"/>
      </w:pPr>
      <w:r>
        <w:t>S</w:t>
      </w:r>
      <w:r w:rsidR="00F36F70" w:rsidRPr="00F36F70">
        <w:t>takeholder</w:t>
      </w:r>
      <w:r>
        <w:t>s</w:t>
      </w:r>
      <w:r w:rsidR="00F36F70" w:rsidRPr="00F36F70">
        <w:t xml:space="preserve"> </w:t>
      </w:r>
      <w:r w:rsidRPr="003F6997">
        <w:t>support</w:t>
      </w:r>
      <w:r w:rsidR="00EE4408">
        <w:t>ed</w:t>
      </w:r>
      <w:r w:rsidRPr="003F6997">
        <w:t xml:space="preserve"> efforts to improve the recording of ejection fraction categories in patients with heart failure, as this is essential for implementing the treatment recommendations outlined in NICE’s </w:t>
      </w:r>
      <w:r w:rsidR="004B54A0">
        <w:t>heart failure</w:t>
      </w:r>
      <w:r w:rsidRPr="003F6997">
        <w:t xml:space="preserve"> guideline.</w:t>
      </w:r>
      <w:r w:rsidR="001838A4" w:rsidRPr="001838A4">
        <w:t xml:space="preserve"> </w:t>
      </w:r>
    </w:p>
    <w:p w14:paraId="21925C07" w14:textId="77777777" w:rsidR="00DE4BAF" w:rsidRDefault="00DE4BAF" w:rsidP="00DE4BAF">
      <w:pPr>
        <w:pStyle w:val="Heading2"/>
      </w:pPr>
      <w:r>
        <w:t>Specific question/s included at consultation</w:t>
      </w:r>
    </w:p>
    <w:p w14:paraId="21EE7432" w14:textId="6D9A24D5" w:rsidR="00DE4BAF" w:rsidRDefault="004B54A0" w:rsidP="00767B6B">
      <w:pPr>
        <w:pStyle w:val="ParagraphNumbered"/>
      </w:pPr>
      <w:r w:rsidRPr="00B268E5">
        <w:rPr>
          <w:rFonts w:eastAsia="Arial"/>
        </w:rPr>
        <w:t xml:space="preserve">Stakeholders were asked if focusing on new diagnoses </w:t>
      </w:r>
      <w:r w:rsidR="00B268E5">
        <w:rPr>
          <w:rFonts w:eastAsia="Arial"/>
        </w:rPr>
        <w:t xml:space="preserve">only </w:t>
      </w:r>
      <w:r w:rsidRPr="00B268E5">
        <w:rPr>
          <w:rFonts w:eastAsia="Arial"/>
        </w:rPr>
        <w:t>was a pragmatic approach for quality improvement g</w:t>
      </w:r>
      <w:r w:rsidR="00784FA7" w:rsidRPr="00B268E5">
        <w:rPr>
          <w:rFonts w:eastAsia="Arial"/>
        </w:rPr>
        <w:t>iven the likely under-recording of ejection fraction category for patients with long-standing diagnosed heart failure</w:t>
      </w:r>
      <w:r w:rsidRPr="00B268E5">
        <w:rPr>
          <w:rFonts w:eastAsia="Arial"/>
        </w:rPr>
        <w:t>.</w:t>
      </w:r>
      <w:r w:rsidR="007E2A70" w:rsidRPr="007E2A70">
        <w:t xml:space="preserve"> </w:t>
      </w:r>
      <w:r w:rsidR="00A6085D">
        <w:t>Two</w:t>
      </w:r>
      <w:r w:rsidR="00B268E5">
        <w:t xml:space="preserve"> stakeholder</w:t>
      </w:r>
      <w:r w:rsidR="00A6085D">
        <w:t>s</w:t>
      </w:r>
      <w:r w:rsidR="00B268E5">
        <w:t xml:space="preserve"> agreed, whilst another felt the</w:t>
      </w:r>
      <w:r w:rsidR="00822E8B" w:rsidRPr="00822E8B">
        <w:t xml:space="preserve"> approach risks disadvantaging</w:t>
      </w:r>
      <w:r w:rsidR="00B268E5">
        <w:t xml:space="preserve"> some</w:t>
      </w:r>
      <w:r w:rsidR="00822E8B" w:rsidRPr="00822E8B">
        <w:t xml:space="preserve"> patients. </w:t>
      </w:r>
      <w:r w:rsidR="00B60B7D">
        <w:t>They recommend</w:t>
      </w:r>
      <w:r w:rsidR="00B268E5">
        <w:t>ed</w:t>
      </w:r>
      <w:r w:rsidR="00822E8B" w:rsidRPr="00822E8B">
        <w:t xml:space="preserve"> regular reviews</w:t>
      </w:r>
      <w:r w:rsidR="00B60B7D">
        <w:t xml:space="preserve">, which are </w:t>
      </w:r>
      <w:r w:rsidR="00822E8B" w:rsidRPr="00822E8B">
        <w:t>already embedded in clinical practice</w:t>
      </w:r>
      <w:r w:rsidR="00B60B7D">
        <w:t xml:space="preserve"> and </w:t>
      </w:r>
      <w:r w:rsidR="00822E8B" w:rsidRPr="00822E8B">
        <w:t xml:space="preserve">offer a practical opportunity to update ejection fraction records. Including these patients is </w:t>
      </w:r>
      <w:r w:rsidR="00B60B7D">
        <w:t>important</w:t>
      </w:r>
      <w:r w:rsidR="00822E8B" w:rsidRPr="00822E8B">
        <w:t xml:space="preserve"> for accurate measurement of therapy uptake and for ensuring equitable access to recommended treatments across all heart failure populations</w:t>
      </w:r>
      <w:r w:rsidR="005A31FE" w:rsidRPr="005A31FE">
        <w:t>.</w:t>
      </w:r>
    </w:p>
    <w:p w14:paraId="7E4F9FD4" w14:textId="3C9B3399" w:rsidR="00B52AD8" w:rsidRDefault="004B54A0" w:rsidP="008B73A3">
      <w:pPr>
        <w:pStyle w:val="ParagraphNumbered"/>
      </w:pPr>
      <w:r w:rsidRPr="00B268E5">
        <w:rPr>
          <w:rFonts w:eastAsia="Arial"/>
        </w:rPr>
        <w:lastRenderedPageBreak/>
        <w:t>Stakeholders were asked if there a</w:t>
      </w:r>
      <w:r w:rsidR="00B52AD8" w:rsidRPr="00B268E5">
        <w:rPr>
          <w:rFonts w:eastAsia="Arial"/>
        </w:rPr>
        <w:t>re specific clinical or practical challenges in the routine recording of ejection fraction category for all patient newly diagnosed with heart failure</w:t>
      </w:r>
      <w:r w:rsidR="00B268E5" w:rsidRPr="00B268E5">
        <w:rPr>
          <w:rFonts w:eastAsia="Arial"/>
        </w:rPr>
        <w:t xml:space="preserve">. </w:t>
      </w:r>
      <w:r w:rsidR="00845C76">
        <w:t>A stakeholder noted their</w:t>
      </w:r>
      <w:r w:rsidR="00845C76" w:rsidRPr="00845C76">
        <w:t xml:space="preserve"> support</w:t>
      </w:r>
      <w:r w:rsidR="00845C76">
        <w:t xml:space="preserve"> for</w:t>
      </w:r>
      <w:r w:rsidR="00845C76" w:rsidRPr="00845C76">
        <w:t xml:space="preserve"> the routine recording of ejection fraction category for all patients with heart failure </w:t>
      </w:r>
      <w:r w:rsidR="00B268E5">
        <w:t>as</w:t>
      </w:r>
      <w:r w:rsidR="00845C76" w:rsidRPr="00845C76">
        <w:t xml:space="preserve"> treatment</w:t>
      </w:r>
      <w:r w:rsidR="00B268E5">
        <w:t xml:space="preserve"> is</w:t>
      </w:r>
      <w:r w:rsidR="00845C76" w:rsidRPr="00845C76">
        <w:t xml:space="preserve"> </w:t>
      </w:r>
      <w:r w:rsidR="00B268E5" w:rsidRPr="00845C76">
        <w:t>base</w:t>
      </w:r>
      <w:r w:rsidR="00B268E5">
        <w:t>d</w:t>
      </w:r>
      <w:r w:rsidR="00B268E5" w:rsidRPr="00845C76">
        <w:t xml:space="preserve"> </w:t>
      </w:r>
      <w:r w:rsidR="00845C76" w:rsidRPr="00845C76">
        <w:t>on this classification. They consider it feasible for newly diagnosed patients to have ejection fraction recorded as part of standard practice. For pre-existing patients, regular reviews offer opportunities to update this information, even if not previously coded.</w:t>
      </w:r>
      <w:r w:rsidR="00A6085D">
        <w:t xml:space="preserve"> It was suggested that personalised care adjustments will be needed for clinically diagnosed heart failure where echo results would not alter management. </w:t>
      </w:r>
    </w:p>
    <w:p w14:paraId="53EC5663" w14:textId="77777777" w:rsidR="00DE4BAF" w:rsidRDefault="00DE4BAF" w:rsidP="00DE4BAF">
      <w:pPr>
        <w:pStyle w:val="Heading2"/>
      </w:pPr>
      <w:r>
        <w:t>Considerations for the advisory committee</w:t>
      </w:r>
    </w:p>
    <w:p w14:paraId="1DBA018C" w14:textId="3D57084F" w:rsidR="00DE4BAF" w:rsidRPr="004B54A0" w:rsidRDefault="00DE4BAF" w:rsidP="004B54A0">
      <w:pPr>
        <w:pStyle w:val="ParagraphNumbered"/>
      </w:pPr>
      <w:r w:rsidRPr="004B54A0">
        <w:t>The committee is asked to consider</w:t>
      </w:r>
      <w:r w:rsidR="004B54A0">
        <w:t xml:space="preserve"> whether the indicator should be expanded to focus on all people with diagnosed heart failure</w:t>
      </w:r>
      <w:r w:rsidR="00CD6724">
        <w:t xml:space="preserve"> (prevalent cases)</w:t>
      </w:r>
      <w:r w:rsidR="0047786E">
        <w:t xml:space="preserve">, rather than focusing on </w:t>
      </w:r>
      <w:r w:rsidR="00CD6724">
        <w:t>new cases</w:t>
      </w:r>
      <w:r w:rsidR="004B54A0">
        <w:t>.</w:t>
      </w:r>
    </w:p>
    <w:bookmarkEnd w:id="4"/>
    <w:p w14:paraId="7566F692" w14:textId="747CD0B7" w:rsidR="00DE4BAF" w:rsidRDefault="00DE4BAF" w:rsidP="00DE4BAF">
      <w:pPr>
        <w:pStyle w:val="Bullets"/>
        <w:numPr>
          <w:ilvl w:val="0"/>
          <w:numId w:val="0"/>
        </w:numPr>
        <w:rPr>
          <w:highlight w:val="lightGray"/>
        </w:rPr>
      </w:pPr>
    </w:p>
    <w:p w14:paraId="4625F4B3" w14:textId="78925BFC" w:rsidR="00D712FC" w:rsidRPr="007E2A70" w:rsidRDefault="00D712FC">
      <w:pPr>
        <w:rPr>
          <w:rFonts w:ascii="Arial" w:hAnsi="Arial"/>
          <w:highlight w:val="lightGray"/>
          <w:lang w:eastAsia="en-US"/>
        </w:rPr>
      </w:pPr>
      <w:r>
        <w:br w:type="page"/>
      </w:r>
    </w:p>
    <w:p w14:paraId="259BEA8A" w14:textId="77777777" w:rsidR="00D712FC" w:rsidRDefault="00D712FC" w:rsidP="002E482A">
      <w:pPr>
        <w:pStyle w:val="Paragraph"/>
        <w:sectPr w:rsidR="00D712FC" w:rsidSect="008F6FB7">
          <w:footerReference w:type="default" r:id="rId11"/>
          <w:headerReference w:type="first" r:id="rId12"/>
          <w:footerReference w:type="first" r:id="rId13"/>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5" w:name="_Toc205564945"/>
      <w:r>
        <w:lastRenderedPageBreak/>
        <w:t>Appendix A: Consultation comments</w:t>
      </w:r>
      <w:bookmarkEnd w:id="5"/>
    </w:p>
    <w:tbl>
      <w:tblPr>
        <w:tblStyle w:val="TableGrid"/>
        <w:tblW w:w="5000" w:type="pct"/>
        <w:tblLook w:val="04A0" w:firstRow="1" w:lastRow="0" w:firstColumn="1" w:lastColumn="0" w:noHBand="0" w:noVBand="1"/>
      </w:tblPr>
      <w:tblGrid>
        <w:gridCol w:w="522"/>
        <w:gridCol w:w="1623"/>
        <w:gridCol w:w="2650"/>
        <w:gridCol w:w="5328"/>
        <w:gridCol w:w="3825"/>
      </w:tblGrid>
      <w:tr w:rsidR="00D51F57" w:rsidRPr="00215444" w14:paraId="1B19D44D" w14:textId="6AEDF07E" w:rsidTr="00D51F57">
        <w:trPr>
          <w:tblHeader/>
        </w:trPr>
        <w:tc>
          <w:tcPr>
            <w:tcW w:w="187" w:type="pct"/>
            <w:noWrap/>
            <w:hideMark/>
          </w:tcPr>
          <w:p w14:paraId="48985A53" w14:textId="77777777" w:rsidR="00D51F57" w:rsidRPr="00215444" w:rsidRDefault="00D51F57" w:rsidP="00D712FC">
            <w:pPr>
              <w:pStyle w:val="Tabletext"/>
            </w:pPr>
            <w:r>
              <w:t>ID</w:t>
            </w:r>
          </w:p>
        </w:tc>
        <w:tc>
          <w:tcPr>
            <w:tcW w:w="582" w:type="pct"/>
          </w:tcPr>
          <w:p w14:paraId="17CDF4E0" w14:textId="77777777" w:rsidR="00D51F57" w:rsidRPr="00215444" w:rsidRDefault="00D51F57" w:rsidP="00D712FC">
            <w:pPr>
              <w:pStyle w:val="Tabletext"/>
            </w:pPr>
            <w:r w:rsidRPr="00215444">
              <w:t>Proforma question no.</w:t>
            </w:r>
          </w:p>
        </w:tc>
        <w:tc>
          <w:tcPr>
            <w:tcW w:w="950" w:type="pct"/>
            <w:noWrap/>
            <w:hideMark/>
          </w:tcPr>
          <w:p w14:paraId="5337FD3B" w14:textId="77777777" w:rsidR="00D51F57" w:rsidRPr="00215444" w:rsidRDefault="00D51F57" w:rsidP="00D712FC">
            <w:pPr>
              <w:pStyle w:val="Tabletext"/>
            </w:pPr>
            <w:r w:rsidRPr="00215444">
              <w:t>Stakeholder organisation</w:t>
            </w:r>
          </w:p>
        </w:tc>
        <w:tc>
          <w:tcPr>
            <w:tcW w:w="1910" w:type="pct"/>
            <w:hideMark/>
          </w:tcPr>
          <w:p w14:paraId="25FAA1B1" w14:textId="77777777" w:rsidR="00D51F57" w:rsidRPr="00215444" w:rsidRDefault="00D51F57" w:rsidP="00D712FC">
            <w:pPr>
              <w:pStyle w:val="Tabletext"/>
            </w:pPr>
            <w:r w:rsidRPr="00215444">
              <w:t>Comment</w:t>
            </w:r>
          </w:p>
        </w:tc>
        <w:tc>
          <w:tcPr>
            <w:tcW w:w="1371" w:type="pct"/>
          </w:tcPr>
          <w:p w14:paraId="45300E3B" w14:textId="06C591BB" w:rsidR="00D51F57" w:rsidRPr="00215444" w:rsidRDefault="00D51F57" w:rsidP="00D712FC">
            <w:pPr>
              <w:pStyle w:val="Tabletext"/>
            </w:pPr>
            <w:r>
              <w:t>Responses</w:t>
            </w:r>
          </w:p>
        </w:tc>
      </w:tr>
      <w:tr w:rsidR="00D51F57" w:rsidRPr="00394EF8" w14:paraId="2FC17C7E" w14:textId="5F9EBC08" w:rsidTr="00D51F57">
        <w:tc>
          <w:tcPr>
            <w:tcW w:w="187" w:type="pct"/>
            <w:hideMark/>
          </w:tcPr>
          <w:p w14:paraId="5C12EC31" w14:textId="77777777" w:rsidR="00D51F57" w:rsidRPr="005B73E7" w:rsidRDefault="00D51F57" w:rsidP="002B29A1">
            <w:pPr>
              <w:pStyle w:val="Tabletext"/>
              <w:rPr>
                <w:color w:val="000000"/>
                <w:lang w:eastAsia="en-GB"/>
              </w:rPr>
            </w:pPr>
            <w:r>
              <w:t>1.</w:t>
            </w:r>
          </w:p>
        </w:tc>
        <w:tc>
          <w:tcPr>
            <w:tcW w:w="582" w:type="pct"/>
            <w:hideMark/>
          </w:tcPr>
          <w:p w14:paraId="5CFC08B0" w14:textId="5441D872" w:rsidR="00D51F57" w:rsidRPr="005B73E7" w:rsidRDefault="00D51F57" w:rsidP="002B29A1">
            <w:pPr>
              <w:pStyle w:val="Tabletext"/>
              <w:rPr>
                <w:color w:val="000000"/>
                <w:lang w:eastAsia="en-GB"/>
              </w:rPr>
            </w:pPr>
            <w:r w:rsidRPr="00686BEC">
              <w:rPr>
                <w:color w:val="000000"/>
                <w:lang w:eastAsia="en-GB"/>
              </w:rPr>
              <w:t>GID-IND10332</w:t>
            </w:r>
          </w:p>
        </w:tc>
        <w:tc>
          <w:tcPr>
            <w:tcW w:w="950" w:type="pct"/>
            <w:hideMark/>
          </w:tcPr>
          <w:p w14:paraId="4BE62F90" w14:textId="77777777" w:rsidR="00D51F57" w:rsidRPr="005B73E7" w:rsidRDefault="00D51F57" w:rsidP="002B29A1">
            <w:pPr>
              <w:pStyle w:val="Tabletext"/>
            </w:pPr>
            <w:r w:rsidRPr="00705790">
              <w:t>AstraZeneca UK Ltd</w:t>
            </w:r>
            <w:r>
              <w:t>.</w:t>
            </w:r>
          </w:p>
        </w:tc>
        <w:tc>
          <w:tcPr>
            <w:tcW w:w="1910" w:type="pct"/>
            <w:hideMark/>
          </w:tcPr>
          <w:p w14:paraId="58BB892B" w14:textId="77777777" w:rsidR="00D51F57" w:rsidRDefault="00D51F57" w:rsidP="002B29A1">
            <w:pPr>
              <w:pStyle w:val="Tabletext"/>
            </w:pPr>
            <w:r>
              <w:t xml:space="preserve">AstraZeneca support the update of the heart failure indicators to align with the four-pillar approach to treating heart failure with reduced ejection fraction (HFrEF) outlined in the 2025 draft guideline for the diagnosis and management of heart failure in adults (GID-NG10405) [1]. </w:t>
            </w:r>
          </w:p>
          <w:p w14:paraId="2D8A1901" w14:textId="77777777" w:rsidR="00D51F57" w:rsidRDefault="00D51F57" w:rsidP="002B29A1">
            <w:pPr>
              <w:pStyle w:val="Tabletext"/>
            </w:pPr>
          </w:p>
          <w:p w14:paraId="25EE01CC" w14:textId="77777777" w:rsidR="00D51F57" w:rsidRDefault="00D51F57" w:rsidP="002B29A1">
            <w:pPr>
              <w:pStyle w:val="Tabletext"/>
            </w:pPr>
            <w:r>
              <w:t xml:space="preserve">It is not clear from the current wording whether the indicator is for those patients receiving all four pillars of treatment, or if it is intended to record patients treated with each of these therapies individually. AstraZeneca recommend that the indicator support the adoption of the four pillars of heart failure treatment and collect the percentage who are currently treated with all the listed treatment options. AstraZeneca are aware that there are some patients for whom the ejection fraction has been recorded as &lt;40%, but the ejection fraction category has not been coded as HFrEF. These patients may instead be coded as having left ventricular systolic dysfunction. Please see our response to Consultation Question 13 for further detail. </w:t>
            </w:r>
          </w:p>
          <w:p w14:paraId="36C7BF0F" w14:textId="77777777" w:rsidR="00D51F57" w:rsidRDefault="00D51F57" w:rsidP="002B29A1">
            <w:pPr>
              <w:pStyle w:val="Tabletext"/>
            </w:pPr>
          </w:p>
          <w:p w14:paraId="27F97506" w14:textId="77777777" w:rsidR="00D51F57" w:rsidRDefault="00D51F57" w:rsidP="002B29A1">
            <w:pPr>
              <w:pStyle w:val="Tabletext"/>
            </w:pPr>
            <w:r>
              <w:t xml:space="preserve">For clarity, AstraZeneca therefore propose the wording be amended to ‘The percentage of patients with a current diagnosis of heart failure and reduced </w:t>
            </w:r>
            <w:r>
              <w:lastRenderedPageBreak/>
              <w:t xml:space="preserve">ejection fraction, or heart failure with left ventricular systolic dysfunction and ejection fraction &lt;40%, who are currently treated with all of the following, unless contraindicated: an angiotensin-converting enzyme inhibitor or angiotensin receptor-neprilysin inhibitor or angiotensin II receptor blocker; a beta blocker; a mineralocorticoid receptor antagonist; a sodium glucose co-transporter-2 inhibitor.’  </w:t>
            </w:r>
          </w:p>
          <w:p w14:paraId="280B211A" w14:textId="77777777" w:rsidR="00D51F57" w:rsidRDefault="00D51F57" w:rsidP="002B29A1">
            <w:pPr>
              <w:pStyle w:val="Tabletext"/>
            </w:pPr>
          </w:p>
          <w:p w14:paraId="4E01A595" w14:textId="77777777" w:rsidR="00D51F57" w:rsidRDefault="00D51F57" w:rsidP="002B29A1">
            <w:pPr>
              <w:pStyle w:val="Tabletext"/>
            </w:pPr>
            <w:r>
              <w:t>AstraZeneca also highlight that the draft NICE guideline (GID-NG10405) [1] recommends the four-pillar approach for patients with mildly reduced ejection fraction (HFmrEF), and that SGLT2 inhibitors and MRAs should also be used for patients with preserved ejection fraction (HFpEF). For this reason, AstraZeneca suggest that indicators also be developed for HFmrEF and HFpEF, to track patients receiving the guideline recommended therapies for each heart failure sub-type. This could be done with separate indicators or a single indicator for all ejection fraction categories, measuring how many patients receive the guideline recommended treatments unless contraindicated. More details can be found in our response to Consultation Question 13, where we underline the importance of considering all heart failure types, not just HFrEF.</w:t>
            </w:r>
          </w:p>
          <w:p w14:paraId="303A1561" w14:textId="77777777" w:rsidR="00D51F57" w:rsidRDefault="00D51F57" w:rsidP="002B29A1">
            <w:pPr>
              <w:pStyle w:val="Tabletext"/>
            </w:pPr>
          </w:p>
          <w:p w14:paraId="3F52F252" w14:textId="77777777" w:rsidR="00D51F57" w:rsidRDefault="00D51F57" w:rsidP="002B29A1">
            <w:pPr>
              <w:pStyle w:val="Tabletext"/>
            </w:pPr>
            <w:r>
              <w:lastRenderedPageBreak/>
              <w:t>References:</w:t>
            </w:r>
          </w:p>
          <w:p w14:paraId="6C270396" w14:textId="77777777" w:rsidR="00D51F57" w:rsidRPr="00394EF8" w:rsidRDefault="00D51F57" w:rsidP="002B29A1">
            <w:pPr>
              <w:pStyle w:val="Tabletext"/>
              <w:rPr>
                <w:lang w:val="fr-FR"/>
              </w:rPr>
            </w:pPr>
            <w:r>
              <w:t>1.</w:t>
            </w:r>
            <w:r>
              <w:tab/>
              <w:t xml:space="preserve">National Institute for Health and Care Excellence, “Chronic heart failure in adults: diagnosis and management (in development),” [Online]. </w:t>
            </w:r>
            <w:proofErr w:type="gramStart"/>
            <w:r w:rsidRPr="00394EF8">
              <w:rPr>
                <w:lang w:val="fr-FR"/>
              </w:rPr>
              <w:t>Available:</w:t>
            </w:r>
            <w:proofErr w:type="gramEnd"/>
            <w:r w:rsidRPr="00394EF8">
              <w:rPr>
                <w:lang w:val="fr-FR"/>
              </w:rPr>
              <w:t xml:space="preserve"> https://www.nice.org.uk/guidance/gid-ng10405/documents/450.</w:t>
            </w:r>
          </w:p>
        </w:tc>
        <w:tc>
          <w:tcPr>
            <w:tcW w:w="1371" w:type="pct"/>
          </w:tcPr>
          <w:p w14:paraId="436E77E6" w14:textId="4C4FF4B0" w:rsidR="008B2536" w:rsidRDefault="00D51F57" w:rsidP="008B2536">
            <w:pPr>
              <w:pStyle w:val="Tabletext"/>
            </w:pPr>
            <w:r>
              <w:lastRenderedPageBreak/>
              <w:t xml:space="preserve">Thank you for your comment. The points raised were discussed at the post consultation advisory committee meeting. </w:t>
            </w:r>
            <w:r w:rsidR="008B2536">
              <w:t>They agreed that the indicator should align with the updated NICE guidance on chronic heart failure (NG106), which recommends that patients diagnosed with heart failure with reduced ejection fraction (HFrEF) receive all four pillars of treatment.</w:t>
            </w:r>
          </w:p>
          <w:p w14:paraId="67A06D80" w14:textId="7FFA9C6D" w:rsidR="00D51F57" w:rsidRDefault="008B2536" w:rsidP="008B2536">
            <w:pPr>
              <w:pStyle w:val="Tabletext"/>
            </w:pPr>
            <w:r>
              <w:t>This recommendation specifically applies to HFrEF rather than left ventricular systolic dysfunction, due to the robust evidence base supporting the four-pillar approach for HFrEF. In contrast, the evidence for heart failure with mildly reduced (HFmrEF) or preserved ejection fraction (HFpEF) is less conclusive, and therefore indicators for these groups were not prioritised.</w:t>
            </w:r>
          </w:p>
        </w:tc>
      </w:tr>
      <w:tr w:rsidR="00D51F57" w:rsidRPr="00215444" w14:paraId="1F80F6FD" w14:textId="1095A53D" w:rsidTr="00D51F57">
        <w:tc>
          <w:tcPr>
            <w:tcW w:w="187" w:type="pct"/>
          </w:tcPr>
          <w:p w14:paraId="739A5005" w14:textId="2D894918" w:rsidR="00D51F57" w:rsidRDefault="00D51F57" w:rsidP="00A515DE">
            <w:pPr>
              <w:pStyle w:val="Tabletext"/>
              <w:spacing w:before="0" w:after="0"/>
            </w:pPr>
            <w:r>
              <w:lastRenderedPageBreak/>
              <w:t>2.</w:t>
            </w:r>
          </w:p>
        </w:tc>
        <w:tc>
          <w:tcPr>
            <w:tcW w:w="582" w:type="pct"/>
          </w:tcPr>
          <w:p w14:paraId="01FCC515" w14:textId="4ED56B54"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59217472" w14:textId="730CBADD" w:rsidR="00D51F57" w:rsidRPr="00705790" w:rsidRDefault="00D51F57" w:rsidP="00A515DE">
            <w:pPr>
              <w:pStyle w:val="Tabletext"/>
              <w:spacing w:before="0" w:after="0"/>
            </w:pPr>
            <w:r>
              <w:rPr>
                <w:rFonts w:cs="Arial"/>
                <w:szCs w:val="22"/>
              </w:rPr>
              <w:t>Primary Care Cardiovascular Society (PCCS)</w:t>
            </w:r>
          </w:p>
        </w:tc>
        <w:tc>
          <w:tcPr>
            <w:tcW w:w="1910" w:type="pct"/>
          </w:tcPr>
          <w:p w14:paraId="737D0DA2" w14:textId="7AE93181" w:rsidR="00D51F57" w:rsidRPr="00A515DE" w:rsidRDefault="00D51F57" w:rsidP="00A515DE">
            <w:pPr>
              <w:pStyle w:val="Tabletext"/>
              <w:spacing w:before="0" w:after="0"/>
              <w:rPr>
                <w:szCs w:val="28"/>
              </w:rPr>
            </w:pPr>
            <w:r w:rsidRPr="00A515DE">
              <w:rPr>
                <w:rFonts w:cs="Arial"/>
                <w:szCs w:val="28"/>
              </w:rPr>
              <w:t xml:space="preserve">4 pillar therapy is only indicated for patients with HF with reduced ejection </w:t>
            </w:r>
            <w:proofErr w:type="gramStart"/>
            <w:r w:rsidRPr="00A515DE">
              <w:rPr>
                <w:rFonts w:cs="Arial"/>
                <w:szCs w:val="28"/>
              </w:rPr>
              <w:t>fraction(</w:t>
            </w:r>
            <w:proofErr w:type="gramEnd"/>
            <w:r w:rsidRPr="00A515DE">
              <w:rPr>
                <w:rFonts w:cs="Arial"/>
                <w:szCs w:val="28"/>
              </w:rPr>
              <w:t>EF 40% or less) – if this is not recorded then the patient will not be included in the denominator.</w:t>
            </w:r>
            <w:r w:rsidRPr="00A515DE">
              <w:rPr>
                <w:rFonts w:cs="Arial"/>
                <w:szCs w:val="28"/>
              </w:rPr>
              <w:br/>
              <w:t>There will likely be wide variation depending on how well this is recorded in the primary care record.</w:t>
            </w:r>
          </w:p>
        </w:tc>
        <w:tc>
          <w:tcPr>
            <w:tcW w:w="1371" w:type="pct"/>
          </w:tcPr>
          <w:p w14:paraId="57F0D18D" w14:textId="5942F2F6" w:rsidR="00D51F57" w:rsidRPr="00966A63" w:rsidRDefault="00910573" w:rsidP="00A515DE">
            <w:pPr>
              <w:pStyle w:val="Tabletext"/>
              <w:spacing w:before="0" w:after="0"/>
            </w:pPr>
            <w:r>
              <w:rPr>
                <w:rFonts w:cs="Arial"/>
                <w:szCs w:val="28"/>
              </w:rPr>
              <w:t xml:space="preserve">Thank you for your comment. </w:t>
            </w:r>
            <w:r>
              <w:t xml:space="preserve">The points raised were discussed at the post consultation advisory committee meeting. They agreed that recording of heart failure with reduced ejection fraction is inconsistent so progressed IND318 to publication, </w:t>
            </w:r>
            <w:r w:rsidR="006D14FC">
              <w:t>with the aim of improving the</w:t>
            </w:r>
            <w:r w:rsidR="00966A63">
              <w:t xml:space="preserve"> recording of ejection fraction categories.</w:t>
            </w:r>
          </w:p>
        </w:tc>
      </w:tr>
      <w:tr w:rsidR="00D51F57" w:rsidRPr="00215444" w14:paraId="0B01A8A3" w14:textId="4CA3F77F" w:rsidTr="00D51F57">
        <w:tc>
          <w:tcPr>
            <w:tcW w:w="187" w:type="pct"/>
          </w:tcPr>
          <w:p w14:paraId="30436769" w14:textId="0DCCB937" w:rsidR="00D51F57" w:rsidRDefault="00D51F57" w:rsidP="00A515DE">
            <w:pPr>
              <w:pStyle w:val="Tabletext"/>
              <w:spacing w:before="0" w:after="0"/>
            </w:pPr>
            <w:r>
              <w:t>3.</w:t>
            </w:r>
          </w:p>
        </w:tc>
        <w:tc>
          <w:tcPr>
            <w:tcW w:w="582" w:type="pct"/>
          </w:tcPr>
          <w:p w14:paraId="24E303FC" w14:textId="031F004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341C900C" w14:textId="71BC1F5E" w:rsidR="00D51F57" w:rsidRPr="00705790" w:rsidRDefault="00D51F57" w:rsidP="00A515DE">
            <w:pPr>
              <w:pStyle w:val="Tabletext"/>
              <w:spacing w:before="0" w:after="0"/>
            </w:pPr>
            <w:r>
              <w:rPr>
                <w:rFonts w:cs="Arial"/>
                <w:szCs w:val="22"/>
              </w:rPr>
              <w:t>Primary Care Cardiovascular Society (PCCS)</w:t>
            </w:r>
          </w:p>
        </w:tc>
        <w:tc>
          <w:tcPr>
            <w:tcW w:w="1910" w:type="pct"/>
          </w:tcPr>
          <w:p w14:paraId="46CEEA5C" w14:textId="5F1D2044" w:rsidR="00D51F57" w:rsidRPr="00A515DE" w:rsidRDefault="00D51F57" w:rsidP="00A515DE">
            <w:pPr>
              <w:pStyle w:val="Tabletext"/>
              <w:spacing w:before="0" w:after="0"/>
              <w:rPr>
                <w:szCs w:val="28"/>
              </w:rPr>
            </w:pPr>
            <w:r w:rsidRPr="00A515DE">
              <w:rPr>
                <w:rFonts w:cs="Arial"/>
                <w:szCs w:val="28"/>
              </w:rPr>
              <w:t>Clarification will be required on recording of the ejection fraction /HF classification ( HFrEF/HFmrEF or HFpEF)in the first instance – this should be recorded from the initial (diagnostic) echocardiogram/imaging. This can be confusing when subsequent letters are received and/or coded in primary care.</w:t>
            </w:r>
          </w:p>
        </w:tc>
        <w:tc>
          <w:tcPr>
            <w:tcW w:w="1371" w:type="pct"/>
          </w:tcPr>
          <w:p w14:paraId="495AA4D8" w14:textId="18659310" w:rsidR="00D51F57" w:rsidRPr="00A515DE" w:rsidRDefault="00966A63" w:rsidP="00A515DE">
            <w:pPr>
              <w:pStyle w:val="Tabletext"/>
              <w:spacing w:before="0" w:after="0"/>
              <w:rPr>
                <w:rFonts w:cs="Arial"/>
                <w:szCs w:val="28"/>
              </w:rPr>
            </w:pPr>
            <w:r>
              <w:rPr>
                <w:rFonts w:cs="Arial"/>
                <w:szCs w:val="28"/>
              </w:rPr>
              <w:t xml:space="preserve">Thank you for your comment. </w:t>
            </w:r>
            <w:r>
              <w:t xml:space="preserve">The points raised were discussed at the post consultation advisory committee meeting. </w:t>
            </w:r>
            <w:r w:rsidR="006D14FC">
              <w:t xml:space="preserve">With the aim of </w:t>
            </w:r>
            <w:r>
              <w:t>improv</w:t>
            </w:r>
            <w:r w:rsidR="006D14FC">
              <w:t>ing</w:t>
            </w:r>
            <w:r>
              <w:t xml:space="preserve"> consistency of ejection fraction category recording, the committee progressed IND318 to publication.</w:t>
            </w:r>
          </w:p>
        </w:tc>
      </w:tr>
      <w:tr w:rsidR="00D51F57" w:rsidRPr="00215444" w14:paraId="0B40BC39" w14:textId="3572C6EA" w:rsidTr="00D51F57">
        <w:tc>
          <w:tcPr>
            <w:tcW w:w="187" w:type="pct"/>
          </w:tcPr>
          <w:p w14:paraId="53C2EAD2" w14:textId="0D6AD858" w:rsidR="00D51F57" w:rsidRDefault="00D51F57" w:rsidP="00A515DE">
            <w:pPr>
              <w:pStyle w:val="Tabletext"/>
              <w:spacing w:before="0" w:after="0"/>
            </w:pPr>
            <w:r>
              <w:t>4.</w:t>
            </w:r>
          </w:p>
        </w:tc>
        <w:tc>
          <w:tcPr>
            <w:tcW w:w="582" w:type="pct"/>
          </w:tcPr>
          <w:p w14:paraId="77B762BD" w14:textId="13311B9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5153E572" w14:textId="11895A9F" w:rsidR="00D51F57" w:rsidRPr="00705790" w:rsidRDefault="00D51F57" w:rsidP="00A515DE">
            <w:pPr>
              <w:pStyle w:val="Tabletext"/>
              <w:spacing w:before="0" w:after="0"/>
            </w:pPr>
            <w:r>
              <w:rPr>
                <w:rFonts w:cs="Arial"/>
                <w:szCs w:val="22"/>
              </w:rPr>
              <w:t>Primary Care Cardiovascular Society (PCCS)</w:t>
            </w:r>
          </w:p>
        </w:tc>
        <w:tc>
          <w:tcPr>
            <w:tcW w:w="1910" w:type="pct"/>
          </w:tcPr>
          <w:p w14:paraId="1A9618C3" w14:textId="7B6BBB06" w:rsidR="00D51F57" w:rsidRPr="00A515DE" w:rsidRDefault="00D51F57" w:rsidP="00A515DE">
            <w:pPr>
              <w:pStyle w:val="Tabletext"/>
              <w:spacing w:before="0" w:after="0"/>
              <w:rPr>
                <w:szCs w:val="28"/>
              </w:rPr>
            </w:pPr>
            <w:r w:rsidRPr="00A515DE">
              <w:rPr>
                <w:rFonts w:cs="Arial"/>
                <w:szCs w:val="28"/>
              </w:rPr>
              <w:t>For existing patients’ wider access to these medicines in primary care is needed (</w:t>
            </w:r>
            <w:proofErr w:type="gramStart"/>
            <w:r w:rsidRPr="00A515DE">
              <w:rPr>
                <w:rFonts w:cs="Arial"/>
                <w:szCs w:val="28"/>
              </w:rPr>
              <w:t>in particular primary</w:t>
            </w:r>
            <w:proofErr w:type="gramEnd"/>
            <w:r w:rsidRPr="00A515DE">
              <w:rPr>
                <w:rFonts w:cs="Arial"/>
                <w:szCs w:val="28"/>
              </w:rPr>
              <w:t xml:space="preserve"> care should be able to initiate an SGLT2i without the requirement for specialist advice).  The final NICE update CHF guideline may address this </w:t>
            </w:r>
            <w:r w:rsidRPr="00A515DE">
              <w:rPr>
                <w:rFonts w:cs="Arial"/>
                <w:szCs w:val="28"/>
              </w:rPr>
              <w:lastRenderedPageBreak/>
              <w:t xml:space="preserve">when finally published but the draft had </w:t>
            </w:r>
            <w:proofErr w:type="gramStart"/>
            <w:r w:rsidRPr="00A515DE">
              <w:rPr>
                <w:rFonts w:cs="Arial"/>
                <w:szCs w:val="28"/>
              </w:rPr>
              <w:t>still kept</w:t>
            </w:r>
            <w:proofErr w:type="gramEnd"/>
            <w:r w:rsidRPr="00A515DE">
              <w:rPr>
                <w:rFonts w:cs="Arial"/>
                <w:szCs w:val="28"/>
              </w:rPr>
              <w:t xml:space="preserve"> the specialist advice requirement.</w:t>
            </w:r>
          </w:p>
        </w:tc>
        <w:tc>
          <w:tcPr>
            <w:tcW w:w="1371" w:type="pct"/>
          </w:tcPr>
          <w:p w14:paraId="0F45CDB0" w14:textId="7A44B6C7" w:rsidR="00D51F57" w:rsidRPr="00772169" w:rsidRDefault="00772169" w:rsidP="00772169">
            <w:pPr>
              <w:pStyle w:val="TableText1"/>
              <w:rPr>
                <w:lang w:eastAsia="en-US"/>
              </w:rPr>
            </w:pPr>
            <w:r>
              <w:lastRenderedPageBreak/>
              <w:t xml:space="preserve">Thank you for your comment. </w:t>
            </w:r>
            <w:r w:rsidRPr="00772169">
              <w:rPr>
                <w:lang w:eastAsia="en-US"/>
              </w:rPr>
              <w:t xml:space="preserve">The </w:t>
            </w:r>
            <w:r>
              <w:rPr>
                <w:lang w:eastAsia="en-US"/>
              </w:rPr>
              <w:t xml:space="preserve">final </w:t>
            </w:r>
            <w:r w:rsidRPr="00772169">
              <w:rPr>
                <w:lang w:eastAsia="en-US"/>
              </w:rPr>
              <w:t xml:space="preserve">NICE guideline on chronic heart failure does not </w:t>
            </w:r>
            <w:r>
              <w:rPr>
                <w:lang w:eastAsia="en-US"/>
              </w:rPr>
              <w:t>require</w:t>
            </w:r>
            <w:r w:rsidRPr="00772169">
              <w:rPr>
                <w:lang w:eastAsia="en-US"/>
              </w:rPr>
              <w:t xml:space="preserve"> specialist input for initiating the four-pillar treatment approach. Further </w:t>
            </w:r>
            <w:r w:rsidRPr="00772169">
              <w:rPr>
                <w:lang w:eastAsia="en-US"/>
              </w:rPr>
              <w:lastRenderedPageBreak/>
              <w:t xml:space="preserve">information can be found on the </w:t>
            </w:r>
            <w:hyperlink r:id="rId14" w:history="1">
              <w:r w:rsidRPr="00772169">
                <w:rPr>
                  <w:rStyle w:val="Hyperlink"/>
                  <w:lang w:eastAsia="en-US"/>
                </w:rPr>
                <w:t>guidance webpage</w:t>
              </w:r>
            </w:hyperlink>
            <w:r>
              <w:t>.</w:t>
            </w:r>
          </w:p>
        </w:tc>
      </w:tr>
      <w:tr w:rsidR="00D51F57" w:rsidRPr="00215444" w14:paraId="5AC3CDCA" w14:textId="03F081C7" w:rsidTr="00D51F57">
        <w:tc>
          <w:tcPr>
            <w:tcW w:w="187" w:type="pct"/>
          </w:tcPr>
          <w:p w14:paraId="385DCF05" w14:textId="5FF7518A" w:rsidR="00D51F57" w:rsidRDefault="00D51F57" w:rsidP="00A515DE">
            <w:pPr>
              <w:pStyle w:val="Tabletext"/>
              <w:spacing w:before="0" w:after="0"/>
            </w:pPr>
            <w:r>
              <w:lastRenderedPageBreak/>
              <w:t>5.</w:t>
            </w:r>
          </w:p>
        </w:tc>
        <w:tc>
          <w:tcPr>
            <w:tcW w:w="582" w:type="pct"/>
          </w:tcPr>
          <w:p w14:paraId="01DBBF53" w14:textId="2EBC94B5"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664771B9" w14:textId="3BA1C67B" w:rsidR="00D51F57" w:rsidRPr="00705790" w:rsidRDefault="00D51F57" w:rsidP="00A515DE">
            <w:pPr>
              <w:pStyle w:val="Tabletext"/>
              <w:spacing w:before="0" w:after="0"/>
            </w:pPr>
            <w:r>
              <w:rPr>
                <w:rFonts w:cs="Arial"/>
                <w:szCs w:val="22"/>
              </w:rPr>
              <w:t>Primary Care Cardiovascular Society (PCCS)</w:t>
            </w:r>
          </w:p>
        </w:tc>
        <w:tc>
          <w:tcPr>
            <w:tcW w:w="1910" w:type="pct"/>
          </w:tcPr>
          <w:p w14:paraId="5DE2A43E" w14:textId="6D5578DC" w:rsidR="00D51F57" w:rsidRPr="00D2688B" w:rsidRDefault="00D51F57" w:rsidP="00D2688B">
            <w:pPr>
              <w:pStyle w:val="Paragraphnonumbers"/>
              <w:spacing w:before="0" w:after="0" w:line="240" w:lineRule="auto"/>
              <w:rPr>
                <w:b/>
                <w:sz w:val="22"/>
                <w:szCs w:val="22"/>
              </w:rPr>
            </w:pPr>
            <w:r w:rsidRPr="00D2688B">
              <w:rPr>
                <w:sz w:val="22"/>
                <w:szCs w:val="22"/>
              </w:rPr>
              <w:t xml:space="preserve">SGLT2i are in general the easiest of the evidence based therapies to use in HFrEF particularly in patients who do not have diabetes. They require no dose adjustment for optimisation </w:t>
            </w:r>
          </w:p>
        </w:tc>
        <w:tc>
          <w:tcPr>
            <w:tcW w:w="1371" w:type="pct"/>
          </w:tcPr>
          <w:p w14:paraId="3CAF628B" w14:textId="2A081073" w:rsidR="00D51F57" w:rsidRPr="00D2688B" w:rsidRDefault="00772169" w:rsidP="00D2688B">
            <w:pPr>
              <w:pStyle w:val="Paragraphnonumbers"/>
              <w:spacing w:before="0" w:after="0" w:line="240" w:lineRule="auto"/>
              <w:rPr>
                <w:sz w:val="22"/>
                <w:szCs w:val="22"/>
              </w:rPr>
            </w:pPr>
            <w:r>
              <w:rPr>
                <w:sz w:val="22"/>
                <w:szCs w:val="22"/>
              </w:rPr>
              <w:t xml:space="preserve">Thank you for your comment. </w:t>
            </w:r>
          </w:p>
        </w:tc>
      </w:tr>
      <w:tr w:rsidR="00D51F57" w:rsidRPr="00215444" w14:paraId="19BD4BD1" w14:textId="2F6451A1" w:rsidTr="00D51F57">
        <w:tc>
          <w:tcPr>
            <w:tcW w:w="187" w:type="pct"/>
          </w:tcPr>
          <w:p w14:paraId="6E66AE58" w14:textId="5467CC73" w:rsidR="00D51F57" w:rsidRDefault="00D51F57" w:rsidP="00A515DE">
            <w:pPr>
              <w:pStyle w:val="Tabletext"/>
              <w:spacing w:before="0" w:after="0"/>
            </w:pPr>
            <w:r>
              <w:t>6.</w:t>
            </w:r>
          </w:p>
        </w:tc>
        <w:tc>
          <w:tcPr>
            <w:tcW w:w="582" w:type="pct"/>
          </w:tcPr>
          <w:p w14:paraId="743B4580" w14:textId="2B26E8D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20E6301F" w14:textId="41FB164D" w:rsidR="00D51F57" w:rsidRPr="00705790" w:rsidRDefault="00D51F57" w:rsidP="00A515DE">
            <w:pPr>
              <w:pStyle w:val="Tabletext"/>
              <w:spacing w:before="0" w:after="0"/>
            </w:pPr>
            <w:r>
              <w:rPr>
                <w:rFonts w:cs="Arial"/>
                <w:szCs w:val="22"/>
              </w:rPr>
              <w:t>Primary Care Cardiovascular Society (PCCS)</w:t>
            </w:r>
          </w:p>
        </w:tc>
        <w:tc>
          <w:tcPr>
            <w:tcW w:w="1910" w:type="pct"/>
          </w:tcPr>
          <w:p w14:paraId="39D0C90A" w14:textId="737E131A" w:rsidR="00D51F57" w:rsidRPr="00A515DE" w:rsidRDefault="00D51F57" w:rsidP="00A515DE">
            <w:pPr>
              <w:pStyle w:val="Tabletext"/>
              <w:spacing w:before="0" w:after="0"/>
              <w:rPr>
                <w:szCs w:val="28"/>
              </w:rPr>
            </w:pPr>
            <w:r w:rsidRPr="00A515DE">
              <w:rPr>
                <w:rFonts w:cs="Arial"/>
                <w:szCs w:val="28"/>
              </w:rPr>
              <w:t>The current QOF indicators for the use of RAAS blockers or Betablockers apply to all people with heart failure who have LV systolic dysfunction ( EF less than 50%) . This group includes people with HFrEF and HFmrEF. The proposed  new indicator based around the four pillars of evidence based therapy applies only to those with HFrEF. We now have evidence based therapies(SGLT2i and MRA) for people with HFmrEF and HFpEF who make up 50% or more of people with heart failure yet they are not included in existing or proposed QOF indicators .</w:t>
            </w:r>
          </w:p>
        </w:tc>
        <w:tc>
          <w:tcPr>
            <w:tcW w:w="1371" w:type="pct"/>
          </w:tcPr>
          <w:p w14:paraId="0F1A3D17" w14:textId="77777777" w:rsidR="00772169" w:rsidRDefault="00772169" w:rsidP="00772169">
            <w:pPr>
              <w:pStyle w:val="Tabletext"/>
            </w:pPr>
            <w:r>
              <w:t>Thank you for your comment. The points raised were discussed at the post consultation advisory committee meeting. They agreed that the indicator should align with the updated NICE guidance on chronic heart failure (NG106), which recommends that patients diagnosed with heart failure with reduced ejection fraction (HFrEF) receive all four pillars of treatment.</w:t>
            </w:r>
          </w:p>
          <w:p w14:paraId="369C4CE1" w14:textId="7CA64CF4" w:rsidR="00D51F57" w:rsidRPr="00A515DE" w:rsidRDefault="00772169" w:rsidP="00772169">
            <w:pPr>
              <w:pStyle w:val="Tabletext"/>
              <w:spacing w:before="0" w:after="0"/>
              <w:rPr>
                <w:rFonts w:cs="Arial"/>
                <w:szCs w:val="28"/>
              </w:rPr>
            </w:pPr>
            <w:r>
              <w:t>This recommendation specifically applies to HFrEF rather than left ventricular systolic dysfunction, due to the robust evidence base supporting the four-pillar approach for HFrEF. In contrast, the evidence for heart failure with mildly reduced (HFmrEF) or preserved ejection fraction (HFpEF) is less conclusive, and therefore indicators for these groups were not prioritised.</w:t>
            </w:r>
          </w:p>
        </w:tc>
      </w:tr>
      <w:tr w:rsidR="00D51F57" w:rsidRPr="00215444" w14:paraId="723CAE49" w14:textId="253E20D7" w:rsidTr="00D51F57">
        <w:tc>
          <w:tcPr>
            <w:tcW w:w="187" w:type="pct"/>
          </w:tcPr>
          <w:p w14:paraId="46D71331" w14:textId="07BE46E7" w:rsidR="00D51F57" w:rsidRDefault="00D51F57" w:rsidP="00A515DE">
            <w:pPr>
              <w:pStyle w:val="Tabletext"/>
              <w:spacing w:before="0" w:after="0"/>
            </w:pPr>
            <w:r>
              <w:lastRenderedPageBreak/>
              <w:t>7.</w:t>
            </w:r>
          </w:p>
        </w:tc>
        <w:tc>
          <w:tcPr>
            <w:tcW w:w="582" w:type="pct"/>
          </w:tcPr>
          <w:p w14:paraId="4408157E" w14:textId="6010719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052D62B0" w14:textId="62EF78E0" w:rsidR="00D51F57" w:rsidRPr="00705790" w:rsidRDefault="00D51F57" w:rsidP="00A515DE">
            <w:pPr>
              <w:pStyle w:val="Tabletext"/>
              <w:spacing w:before="0" w:after="0"/>
            </w:pPr>
            <w:r>
              <w:rPr>
                <w:rFonts w:cs="Arial"/>
                <w:szCs w:val="22"/>
              </w:rPr>
              <w:t>Primary Care Cardiovascular Society (PCCS)</w:t>
            </w:r>
          </w:p>
        </w:tc>
        <w:tc>
          <w:tcPr>
            <w:tcW w:w="1910" w:type="pct"/>
          </w:tcPr>
          <w:p w14:paraId="392F9A3B" w14:textId="46AFD4BD" w:rsidR="00D51F57" w:rsidRPr="00A515DE" w:rsidRDefault="00D51F57" w:rsidP="00A515DE">
            <w:pPr>
              <w:pStyle w:val="Tabletext"/>
              <w:spacing w:before="0" w:after="0"/>
              <w:rPr>
                <w:szCs w:val="28"/>
              </w:rPr>
            </w:pPr>
            <w:r w:rsidRPr="00A515DE">
              <w:rPr>
                <w:rFonts w:cs="Arial"/>
                <w:szCs w:val="28"/>
              </w:rPr>
              <w:t>MRAs typically require more healthcare professional time and monitoring to initiate and optimise. They may be more challenging for primary care to initiate for various reasons and may require specialist guidance/support.   MRA prescribing is typically lower than other evidence-based therapies ( see National Heart Failure NICOR Audit) therefore this would have to be considered when thinking about appropriate thresholds for a related QOF indicator .</w:t>
            </w:r>
          </w:p>
        </w:tc>
        <w:tc>
          <w:tcPr>
            <w:tcW w:w="1371" w:type="pct"/>
          </w:tcPr>
          <w:p w14:paraId="5B7EAE6C" w14:textId="586D9940" w:rsidR="00D51F57" w:rsidRPr="00A515DE" w:rsidRDefault="006D14FC" w:rsidP="00A515DE">
            <w:pPr>
              <w:pStyle w:val="Tabletext"/>
              <w:spacing w:before="0" w:after="0"/>
              <w:rPr>
                <w:rFonts w:cs="Arial"/>
                <w:szCs w:val="28"/>
              </w:rPr>
            </w:pPr>
            <w:r>
              <w:rPr>
                <w:rFonts w:cs="Arial"/>
                <w:szCs w:val="28"/>
              </w:rPr>
              <w:t>Thank you for your comment. QOF payment thresholds are subject to negotiations between NHS England and the British Medical Association’s General Practitioner</w:t>
            </w:r>
            <w:r w:rsidR="00567BF3">
              <w:rPr>
                <w:rFonts w:cs="Arial"/>
                <w:szCs w:val="28"/>
              </w:rPr>
              <w:t>s</w:t>
            </w:r>
            <w:r>
              <w:rPr>
                <w:rFonts w:cs="Arial"/>
                <w:szCs w:val="28"/>
              </w:rPr>
              <w:t xml:space="preserve"> </w:t>
            </w:r>
            <w:r w:rsidR="00567BF3">
              <w:rPr>
                <w:rFonts w:cs="Arial"/>
                <w:szCs w:val="28"/>
              </w:rPr>
              <w:t>Committee</w:t>
            </w:r>
            <w:r>
              <w:rPr>
                <w:rFonts w:cs="Arial"/>
                <w:szCs w:val="28"/>
              </w:rPr>
              <w:t xml:space="preserve">. We will share your comments. </w:t>
            </w:r>
          </w:p>
        </w:tc>
      </w:tr>
      <w:tr w:rsidR="00D51F57" w:rsidRPr="00215444" w14:paraId="55BA1E8E" w14:textId="25F648AB" w:rsidTr="00D51F57">
        <w:tc>
          <w:tcPr>
            <w:tcW w:w="187" w:type="pct"/>
          </w:tcPr>
          <w:p w14:paraId="7CFF4041" w14:textId="479F2BCC" w:rsidR="00D51F57" w:rsidRDefault="00D51F57" w:rsidP="00A515DE">
            <w:pPr>
              <w:pStyle w:val="Tabletext"/>
              <w:spacing w:before="0" w:after="0"/>
            </w:pPr>
            <w:r>
              <w:t>8.</w:t>
            </w:r>
          </w:p>
        </w:tc>
        <w:tc>
          <w:tcPr>
            <w:tcW w:w="582" w:type="pct"/>
          </w:tcPr>
          <w:p w14:paraId="67510827" w14:textId="1ECA1CAB"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2AB2BAD4" w14:textId="5E41B76C" w:rsidR="00D51F57" w:rsidRPr="00705790" w:rsidRDefault="00D51F57" w:rsidP="00A515DE">
            <w:pPr>
              <w:pStyle w:val="Tabletext"/>
              <w:spacing w:before="0" w:after="0"/>
            </w:pPr>
            <w:r>
              <w:rPr>
                <w:rFonts w:cs="Arial"/>
                <w:szCs w:val="22"/>
              </w:rPr>
              <w:t>Primary Care Cardiovascular Society (PCCS)</w:t>
            </w:r>
          </w:p>
        </w:tc>
        <w:tc>
          <w:tcPr>
            <w:tcW w:w="1910" w:type="pct"/>
          </w:tcPr>
          <w:p w14:paraId="25B617C1" w14:textId="62814015" w:rsidR="00D51F57" w:rsidRPr="00A515DE" w:rsidRDefault="00D51F57" w:rsidP="00A515DE">
            <w:pPr>
              <w:pStyle w:val="Tabletext"/>
              <w:spacing w:before="0" w:after="0"/>
              <w:rPr>
                <w:szCs w:val="28"/>
              </w:rPr>
            </w:pPr>
            <w:r w:rsidRPr="00A515DE">
              <w:rPr>
                <w:rFonts w:cs="Arial"/>
                <w:szCs w:val="28"/>
              </w:rPr>
              <w:t>Personalised care adjustments clearly need to be used but need to avoid wide variation in the use of these</w:t>
            </w:r>
          </w:p>
        </w:tc>
        <w:tc>
          <w:tcPr>
            <w:tcW w:w="1371" w:type="pct"/>
          </w:tcPr>
          <w:p w14:paraId="744E7D05" w14:textId="54E1E1CD" w:rsidR="00D51F57" w:rsidRPr="00A515DE" w:rsidRDefault="00E64696" w:rsidP="00A515DE">
            <w:pPr>
              <w:pStyle w:val="Tabletext"/>
              <w:spacing w:before="0" w:after="0"/>
              <w:rPr>
                <w:rFonts w:cs="Arial"/>
                <w:szCs w:val="28"/>
              </w:rPr>
            </w:pPr>
            <w:r>
              <w:rPr>
                <w:rFonts w:cs="Arial"/>
                <w:szCs w:val="28"/>
              </w:rPr>
              <w:t xml:space="preserve">Thank you for your comment. The committee </w:t>
            </w:r>
            <w:r>
              <w:t>noted the need to consider personalised care adjustments or exception codes for those unable to tolerate all four treatments.</w:t>
            </w:r>
          </w:p>
        </w:tc>
      </w:tr>
      <w:tr w:rsidR="00EE6945" w:rsidRPr="00215444" w14:paraId="1CE7D274" w14:textId="021F0BCD" w:rsidTr="00D51F57">
        <w:tc>
          <w:tcPr>
            <w:tcW w:w="187" w:type="pct"/>
          </w:tcPr>
          <w:p w14:paraId="13750A35" w14:textId="2231F6C0" w:rsidR="00EE6945" w:rsidRDefault="00EE6945" w:rsidP="00EE6945">
            <w:pPr>
              <w:pStyle w:val="Tabletext"/>
              <w:spacing w:before="0" w:after="0"/>
            </w:pPr>
            <w:r>
              <w:t xml:space="preserve">9. </w:t>
            </w:r>
          </w:p>
        </w:tc>
        <w:tc>
          <w:tcPr>
            <w:tcW w:w="582" w:type="pct"/>
          </w:tcPr>
          <w:p w14:paraId="0C155186" w14:textId="312CC22F" w:rsidR="00EE6945" w:rsidRDefault="00EE6945" w:rsidP="00EE6945">
            <w:pPr>
              <w:pStyle w:val="Tabletext"/>
              <w:spacing w:before="0" w:after="0"/>
              <w:rPr>
                <w:color w:val="000000"/>
                <w:lang w:eastAsia="en-GB"/>
              </w:rPr>
            </w:pPr>
            <w:r w:rsidRPr="00686BEC">
              <w:rPr>
                <w:color w:val="000000"/>
                <w:lang w:eastAsia="en-GB"/>
              </w:rPr>
              <w:t>GID-IND10332</w:t>
            </w:r>
          </w:p>
        </w:tc>
        <w:tc>
          <w:tcPr>
            <w:tcW w:w="950" w:type="pct"/>
          </w:tcPr>
          <w:p w14:paraId="28E532FC" w14:textId="10C4A2C1" w:rsidR="00EE6945" w:rsidRDefault="00EE6945" w:rsidP="00EE6945">
            <w:pPr>
              <w:pStyle w:val="Tabletext"/>
              <w:spacing w:before="0" w:after="0"/>
              <w:rPr>
                <w:rFonts w:cs="Arial"/>
                <w:szCs w:val="22"/>
              </w:rPr>
            </w:pPr>
            <w:r w:rsidRPr="00FB5AA3">
              <w:rPr>
                <w:rFonts w:cs="Arial"/>
                <w:szCs w:val="22"/>
              </w:rPr>
              <w:t>General Practitioners Committee England, British Medical Association</w:t>
            </w:r>
          </w:p>
        </w:tc>
        <w:tc>
          <w:tcPr>
            <w:tcW w:w="1910" w:type="pct"/>
          </w:tcPr>
          <w:p w14:paraId="7BE1B4F3" w14:textId="448F2EB8" w:rsidR="00EE6945" w:rsidRPr="00A515DE" w:rsidRDefault="00EE6945" w:rsidP="00EE6945">
            <w:pPr>
              <w:pStyle w:val="Tabletext"/>
              <w:spacing w:before="0" w:after="0"/>
              <w:rPr>
                <w:rFonts w:cs="Arial"/>
                <w:szCs w:val="28"/>
              </w:rPr>
            </w:pPr>
            <w:r w:rsidRPr="00FB5AA3">
              <w:rPr>
                <w:rFonts w:cs="Arial"/>
                <w:szCs w:val="28"/>
              </w:rPr>
              <w:t>Both mineralocorticoid and SGLT2i in Sheffield are both secondary care initiated medications. We’d question the value and appropriateness of utilising them in QOF target if not initiated by GPs</w:t>
            </w:r>
          </w:p>
        </w:tc>
        <w:tc>
          <w:tcPr>
            <w:tcW w:w="1371" w:type="pct"/>
          </w:tcPr>
          <w:p w14:paraId="7C1468FF" w14:textId="74B7C515" w:rsidR="00EE6945" w:rsidRPr="00FB5AA3" w:rsidRDefault="00EE6945" w:rsidP="00EE6945">
            <w:pPr>
              <w:pStyle w:val="Tabletext"/>
              <w:spacing w:before="0" w:after="0"/>
              <w:rPr>
                <w:rFonts w:cs="Arial"/>
                <w:szCs w:val="28"/>
              </w:rPr>
            </w:pPr>
            <w:r>
              <w:t xml:space="preserve">Thank you for your comment. </w:t>
            </w:r>
            <w:r w:rsidRPr="00772169">
              <w:t xml:space="preserve">The </w:t>
            </w:r>
            <w:r>
              <w:t xml:space="preserve">final </w:t>
            </w:r>
            <w:r w:rsidRPr="00772169">
              <w:t xml:space="preserve">NICE guideline on chronic heart failure does not </w:t>
            </w:r>
            <w:r>
              <w:t>require</w:t>
            </w:r>
            <w:r w:rsidRPr="00772169">
              <w:t xml:space="preserve"> specialist input for initiating the four-pillar treatment approach</w:t>
            </w:r>
            <w:r>
              <w:t xml:space="preserve"> and therefore the treatment can be initiated in primary care</w:t>
            </w:r>
            <w:r w:rsidRPr="00772169">
              <w:t xml:space="preserve">. Further information can be found on the </w:t>
            </w:r>
            <w:hyperlink r:id="rId15" w:history="1">
              <w:r w:rsidRPr="00772169">
                <w:rPr>
                  <w:rStyle w:val="Hyperlink"/>
                </w:rPr>
                <w:t>guidance webpage</w:t>
              </w:r>
            </w:hyperlink>
            <w:r>
              <w:t>.</w:t>
            </w:r>
          </w:p>
        </w:tc>
      </w:tr>
      <w:tr w:rsidR="00EE6945" w:rsidRPr="00394EF8" w14:paraId="4E22D25D" w14:textId="360D0151" w:rsidTr="00D51F57">
        <w:tc>
          <w:tcPr>
            <w:tcW w:w="187" w:type="pct"/>
          </w:tcPr>
          <w:p w14:paraId="167BFCF6" w14:textId="2D5577F9" w:rsidR="00EE6945" w:rsidRDefault="00EE6945" w:rsidP="00EE6945">
            <w:pPr>
              <w:pStyle w:val="Tabletext"/>
              <w:spacing w:before="0" w:after="0"/>
            </w:pPr>
            <w:r>
              <w:t xml:space="preserve">10. </w:t>
            </w:r>
          </w:p>
        </w:tc>
        <w:tc>
          <w:tcPr>
            <w:tcW w:w="582" w:type="pct"/>
          </w:tcPr>
          <w:p w14:paraId="2DA43100" w14:textId="54F03C29" w:rsidR="00EE6945" w:rsidRPr="00686BEC" w:rsidRDefault="00EE6945" w:rsidP="00EE6945">
            <w:pPr>
              <w:pStyle w:val="Tabletext"/>
              <w:spacing w:before="0" w:after="0"/>
              <w:rPr>
                <w:color w:val="000000"/>
                <w:lang w:eastAsia="en-GB"/>
              </w:rPr>
            </w:pPr>
            <w:r>
              <w:rPr>
                <w:color w:val="000000"/>
                <w:lang w:eastAsia="en-GB"/>
              </w:rPr>
              <w:t xml:space="preserve">Question 12 </w:t>
            </w:r>
            <w:r w:rsidRPr="00686BEC">
              <w:rPr>
                <w:color w:val="000000"/>
                <w:lang w:eastAsia="en-GB"/>
              </w:rPr>
              <w:t xml:space="preserve">Are there any barriers to prescribing all four recommended </w:t>
            </w:r>
            <w:r w:rsidRPr="00686BEC">
              <w:rPr>
                <w:color w:val="000000"/>
                <w:lang w:eastAsia="en-GB"/>
              </w:rPr>
              <w:lastRenderedPageBreak/>
              <w:t>drug classes in routine care?</w:t>
            </w:r>
          </w:p>
        </w:tc>
        <w:tc>
          <w:tcPr>
            <w:tcW w:w="950" w:type="pct"/>
          </w:tcPr>
          <w:p w14:paraId="0EF8995B" w14:textId="220EED98" w:rsidR="00EE6945" w:rsidRPr="00FB5AA3" w:rsidRDefault="00EE6945" w:rsidP="00EE6945">
            <w:pPr>
              <w:pStyle w:val="Tabletext"/>
              <w:spacing w:before="0" w:after="0"/>
              <w:rPr>
                <w:rFonts w:cs="Arial"/>
                <w:szCs w:val="22"/>
              </w:rPr>
            </w:pPr>
            <w:r w:rsidRPr="00705790">
              <w:lastRenderedPageBreak/>
              <w:t>AstraZeneca UK Ltd</w:t>
            </w:r>
            <w:r>
              <w:t>.</w:t>
            </w:r>
          </w:p>
        </w:tc>
        <w:tc>
          <w:tcPr>
            <w:tcW w:w="1910" w:type="pct"/>
          </w:tcPr>
          <w:p w14:paraId="66046C1F" w14:textId="77777777" w:rsidR="00EE6945" w:rsidRDefault="00EE6945" w:rsidP="00EE6945">
            <w:pPr>
              <w:pStyle w:val="Tabletext"/>
            </w:pPr>
            <w:r>
              <w:t xml:space="preserve">In the 2025 draft guideline for the diagnosis and management of heart failure in adults (GID-NG10405) [1], NICE state that GPs should seek advice from a heart failure specialist before prescribing an SGLT2 inhibitor (recommendation </w:t>
            </w:r>
            <w:r>
              <w:lastRenderedPageBreak/>
              <w:t>1.7.4). This represents a significant barrier to adopting the four-pillar medication approach for HFrEF described in this draft indicator. In its response to the draft guideline consultation, AstraZeneca urged NICE to reconsider recommendation 1.7.4 of GID-NG10405 and have provided the response below:</w:t>
            </w:r>
          </w:p>
          <w:p w14:paraId="7A2B43A5" w14:textId="77777777" w:rsidR="00EE6945" w:rsidRDefault="00EE6945" w:rsidP="00EE6945">
            <w:pPr>
              <w:pStyle w:val="Tabletext"/>
            </w:pPr>
            <w:r>
              <w:t>The clinical landscape for SGLT2 inhibitors has advanced considerably in recent years. GPs are already highly experienced with initiating and managing these medicines, with extensive practice gained from treating type 2 diabetes and chronic kidney disease. This expertise translates directly to heart failure, where GPs are fully equipped to monitor patients and manage potential adverse events from the guideline recommended therapies.</w:t>
            </w:r>
          </w:p>
          <w:p w14:paraId="68CF042E" w14:textId="77777777" w:rsidR="00EE6945" w:rsidRDefault="00EE6945" w:rsidP="00EE6945">
            <w:pPr>
              <w:pStyle w:val="Tabletext"/>
            </w:pPr>
          </w:p>
          <w:p w14:paraId="68E040A2" w14:textId="77777777" w:rsidR="00EE6945" w:rsidRDefault="00EE6945" w:rsidP="00EE6945">
            <w:pPr>
              <w:pStyle w:val="Tabletext"/>
            </w:pPr>
            <w:r>
              <w:t xml:space="preserve">NICE’s own evidence review for HFrEF in GID-NG10405 (Evidence Review A) [2] explicitly recognises both the feasibility and appropriateness of SGLT2 inhibitor prescribing in primary care and in practice, enforcing recommendation 1.7.4 would disrupt optimal treatment prescribing leading to delays in patients receiving optimal treatment. The other classes of heart failure medicines can be initiated immediately by GPs in primary care, without specialist input, while patients would face an unnecessary barrier before starting an SGLT2 inhibitor simply due to the added step of securing </w:t>
            </w:r>
            <w:r>
              <w:lastRenderedPageBreak/>
              <w:t xml:space="preserve">specialist approval. This adds complexities into the treatment pathway and could lead to delays in starting an SGLT2 inhibitor or even stop their initiation. </w:t>
            </w:r>
          </w:p>
          <w:p w14:paraId="7E1C8494" w14:textId="77777777" w:rsidR="00EE6945" w:rsidRDefault="00EE6945" w:rsidP="00EE6945">
            <w:pPr>
              <w:pStyle w:val="Tabletext"/>
            </w:pPr>
          </w:p>
          <w:p w14:paraId="557025ED" w14:textId="77777777" w:rsidR="00EE6945" w:rsidRDefault="00EE6945" w:rsidP="00EE6945">
            <w:pPr>
              <w:pStyle w:val="Tabletext"/>
            </w:pPr>
            <w:r>
              <w:t>Requiring specialist input will also necessitate additional referrals or formal requests for advice, including writing letters, making telephone calls, or requesting advice through digital communication channels such as Advice and Guidance. Even the non-face-to-face activity is time and resource intensive which burdens both specialist and GP time, reduces outpatient or community-based specialist resource, and adds significant administrative workload. Ultimately, it will place further strain on an already limited healthcare resources and increase costs without clear clinical need.</w:t>
            </w:r>
          </w:p>
          <w:p w14:paraId="4A6BE291" w14:textId="77777777" w:rsidR="00EE6945" w:rsidRDefault="00EE6945" w:rsidP="00EE6945">
            <w:pPr>
              <w:pStyle w:val="Tabletext"/>
            </w:pPr>
          </w:p>
          <w:p w14:paraId="27DFBCFA" w14:textId="77777777" w:rsidR="00EE6945" w:rsidRDefault="00EE6945" w:rsidP="00EE6945">
            <w:pPr>
              <w:pStyle w:val="Tabletext"/>
            </w:pPr>
            <w:r>
              <w:t xml:space="preserve">For these reasons, AstraZeneca strongly recommended that NICE remove recommendation 1.7.4 of the GID-NG10405 draft guideline, and allow GPs to initiate SGLT2 inhibitor therapy for all indicated heart failure populations, in line with the committee’s own conclusions as described in Evidence Review A for GID-NG10405. This would remove a barrier to the implementation of GID-IND10325. The current recommendation risks </w:t>
            </w:r>
            <w:r>
              <w:lastRenderedPageBreak/>
              <w:t>unnecessary delays, undermines existing GP competence, may lead to suboptimal prescribing of therapies, and could drive significant and unwarranted cost and resource implications.</w:t>
            </w:r>
          </w:p>
          <w:p w14:paraId="4D6196AA" w14:textId="77777777" w:rsidR="00EE6945" w:rsidRDefault="00EE6945" w:rsidP="00EE6945">
            <w:pPr>
              <w:pStyle w:val="Tabletext"/>
            </w:pPr>
          </w:p>
          <w:p w14:paraId="33DDDB6A" w14:textId="77777777" w:rsidR="00EE6945" w:rsidRDefault="00EE6945" w:rsidP="00EE6945">
            <w:pPr>
              <w:pStyle w:val="Tabletext"/>
            </w:pPr>
            <w:r>
              <w:t>With recommendation 1.7.4 removed from the GID-NG10405 draft guideline, this indicator will more effectively support the uptake of these medicines in primary care, increasing the proportion of patients on guideline-directed medical therapy.</w:t>
            </w:r>
          </w:p>
          <w:p w14:paraId="61373B4F" w14:textId="77777777" w:rsidR="00EE6945" w:rsidRDefault="00EE6945" w:rsidP="00EE6945">
            <w:pPr>
              <w:pStyle w:val="Tabletext"/>
            </w:pPr>
          </w:p>
          <w:p w14:paraId="7A51B83B" w14:textId="1EEB42AF" w:rsidR="00EE6945" w:rsidRDefault="00EE6945" w:rsidP="00EE6945">
            <w:pPr>
              <w:pStyle w:val="Tabletext"/>
            </w:pPr>
            <w:r>
              <w:t>In addition, AstraZeneca note the variation across the country in the services for monitoring and treating heart failure, and the variable availability in the positioning of these treatments on formularies, may also represent barriers to prescribing these four drug classes.</w:t>
            </w:r>
          </w:p>
          <w:p w14:paraId="42E4247F" w14:textId="77777777" w:rsidR="00EE6945" w:rsidRDefault="00EE6945" w:rsidP="00EE6945">
            <w:pPr>
              <w:pStyle w:val="Tabletext"/>
              <w:spacing w:before="0" w:after="0"/>
              <w:rPr>
                <w:rFonts w:cs="Arial"/>
                <w:szCs w:val="28"/>
              </w:rPr>
            </w:pPr>
          </w:p>
          <w:p w14:paraId="4E4EC960" w14:textId="77777777" w:rsidR="00EE6945" w:rsidRDefault="00EE6945" w:rsidP="00EE6945">
            <w:pPr>
              <w:pStyle w:val="Tabletext"/>
              <w:spacing w:before="0" w:after="0"/>
              <w:rPr>
                <w:rFonts w:cs="Arial"/>
                <w:szCs w:val="28"/>
              </w:rPr>
            </w:pPr>
            <w:r>
              <w:rPr>
                <w:rFonts w:cs="Arial"/>
                <w:szCs w:val="28"/>
              </w:rPr>
              <w:t xml:space="preserve">References: </w:t>
            </w:r>
          </w:p>
          <w:p w14:paraId="738AB6B3" w14:textId="77777777" w:rsidR="00EE6945" w:rsidRPr="00394EF8" w:rsidRDefault="00EE6945" w:rsidP="00EE6945">
            <w:pPr>
              <w:pStyle w:val="Tabletext"/>
              <w:rPr>
                <w:rFonts w:cs="Arial"/>
                <w:szCs w:val="28"/>
                <w:lang w:val="fr-FR"/>
              </w:rPr>
            </w:pPr>
            <w:r w:rsidRPr="00097401">
              <w:rPr>
                <w:rFonts w:cs="Arial"/>
                <w:szCs w:val="28"/>
              </w:rPr>
              <w:t>1.</w:t>
            </w:r>
            <w:r w:rsidRPr="00097401">
              <w:rPr>
                <w:rFonts w:cs="Arial"/>
                <w:szCs w:val="28"/>
              </w:rPr>
              <w:tab/>
              <w:t xml:space="preserve">National Institute for Health and Care Excellence, “Chronic heart failure in adults: diagnosis and management (in development),” [Online]. </w:t>
            </w:r>
            <w:proofErr w:type="gramStart"/>
            <w:r w:rsidRPr="00394EF8">
              <w:rPr>
                <w:rFonts w:cs="Arial"/>
                <w:szCs w:val="28"/>
                <w:lang w:val="fr-FR"/>
              </w:rPr>
              <w:t>Available:</w:t>
            </w:r>
            <w:proofErr w:type="gramEnd"/>
            <w:r w:rsidRPr="00394EF8">
              <w:rPr>
                <w:rFonts w:cs="Arial"/>
                <w:szCs w:val="28"/>
                <w:lang w:val="fr-FR"/>
              </w:rPr>
              <w:t xml:space="preserve"> https://www.nice.org.uk/guidance/gid-ng10405/documents/450.</w:t>
            </w:r>
          </w:p>
          <w:p w14:paraId="721FEF0E" w14:textId="2B8FF953" w:rsidR="00EE6945" w:rsidRPr="00394EF8" w:rsidRDefault="00EE6945" w:rsidP="00EE6945">
            <w:pPr>
              <w:pStyle w:val="Tabletext"/>
              <w:spacing w:before="0" w:after="0"/>
              <w:rPr>
                <w:rFonts w:cs="Arial"/>
                <w:szCs w:val="28"/>
                <w:lang w:val="fr-FR"/>
              </w:rPr>
            </w:pPr>
            <w:r w:rsidRPr="00097401">
              <w:rPr>
                <w:rFonts w:cs="Arial"/>
                <w:szCs w:val="28"/>
              </w:rPr>
              <w:t>2.</w:t>
            </w:r>
            <w:r w:rsidRPr="00097401">
              <w:rPr>
                <w:rFonts w:cs="Arial"/>
                <w:szCs w:val="28"/>
              </w:rPr>
              <w:tab/>
              <w:t xml:space="preserve">National Institute for Health and Care Excellence, “Chronic heart failure in adults: diagnosis and management. Evidence review for </w:t>
            </w:r>
            <w:r w:rsidRPr="00097401">
              <w:rPr>
                <w:rFonts w:cs="Arial"/>
                <w:szCs w:val="28"/>
              </w:rPr>
              <w:lastRenderedPageBreak/>
              <w:t xml:space="preserve">pharmacological therapy for heart failure with reduced ejection fraction (draft for consultation)” [Online]. </w:t>
            </w:r>
            <w:r w:rsidRPr="00394EF8">
              <w:rPr>
                <w:rFonts w:cs="Arial"/>
                <w:szCs w:val="28"/>
                <w:lang w:val="fr-FR"/>
              </w:rPr>
              <w:t>Available: https://www.nice.org.uk/guidance/gid-ng10405/documents/evidence-review.</w:t>
            </w:r>
          </w:p>
        </w:tc>
        <w:tc>
          <w:tcPr>
            <w:tcW w:w="1371" w:type="pct"/>
          </w:tcPr>
          <w:p w14:paraId="2BF84297" w14:textId="3DD34CE6" w:rsidR="00EE6945" w:rsidRDefault="00EE6945" w:rsidP="00EE6945">
            <w:pPr>
              <w:pStyle w:val="Tabletext"/>
            </w:pPr>
            <w:r>
              <w:lastRenderedPageBreak/>
              <w:t xml:space="preserve">Thank you for your comment. </w:t>
            </w:r>
            <w:r w:rsidRPr="00772169">
              <w:t xml:space="preserve">The </w:t>
            </w:r>
            <w:r>
              <w:t xml:space="preserve">final </w:t>
            </w:r>
            <w:r w:rsidRPr="00772169">
              <w:t xml:space="preserve">NICE guideline on chronic heart failure does not </w:t>
            </w:r>
            <w:r>
              <w:t>require</w:t>
            </w:r>
            <w:r w:rsidRPr="00772169">
              <w:t xml:space="preserve"> specialist input for initiating the four-pillar treatment approach. Further </w:t>
            </w:r>
            <w:r w:rsidRPr="00772169">
              <w:lastRenderedPageBreak/>
              <w:t xml:space="preserve">information can be found on the </w:t>
            </w:r>
            <w:hyperlink r:id="rId16" w:history="1">
              <w:r w:rsidRPr="00772169">
                <w:rPr>
                  <w:rStyle w:val="Hyperlink"/>
                </w:rPr>
                <w:t>guidance webpage</w:t>
              </w:r>
            </w:hyperlink>
            <w:r>
              <w:t>.</w:t>
            </w:r>
          </w:p>
        </w:tc>
      </w:tr>
      <w:tr w:rsidR="00BA2866" w:rsidRPr="00215444" w14:paraId="0D08485C" w14:textId="6E1F5D3D" w:rsidTr="00D51F57">
        <w:tc>
          <w:tcPr>
            <w:tcW w:w="187" w:type="pct"/>
            <w:hideMark/>
          </w:tcPr>
          <w:p w14:paraId="30C80F8C" w14:textId="79ABC78E" w:rsidR="00BA2866" w:rsidRPr="005B73E7" w:rsidRDefault="00BA2866" w:rsidP="00BA2866">
            <w:pPr>
              <w:pStyle w:val="Tabletext"/>
              <w:rPr>
                <w:color w:val="000000"/>
                <w:lang w:eastAsia="en-GB"/>
              </w:rPr>
            </w:pPr>
            <w:r>
              <w:lastRenderedPageBreak/>
              <w:t>11.</w:t>
            </w:r>
          </w:p>
        </w:tc>
        <w:tc>
          <w:tcPr>
            <w:tcW w:w="582" w:type="pct"/>
            <w:hideMark/>
          </w:tcPr>
          <w:p w14:paraId="06094861" w14:textId="06E103C6" w:rsidR="00BA2866" w:rsidRPr="005B73E7" w:rsidRDefault="00BA2866" w:rsidP="00BA2866">
            <w:pPr>
              <w:pStyle w:val="Tabletext"/>
              <w:rPr>
                <w:color w:val="000000"/>
                <w:lang w:eastAsia="en-GB"/>
              </w:rPr>
            </w:pPr>
            <w:r>
              <w:rPr>
                <w:color w:val="000000"/>
                <w:lang w:eastAsia="en-GB"/>
              </w:rPr>
              <w:t xml:space="preserve">Question 13 </w:t>
            </w:r>
            <w:r w:rsidRPr="00686BEC">
              <w:rPr>
                <w:color w:val="000000"/>
                <w:lang w:eastAsia="en-GB"/>
              </w:rPr>
              <w:t>Do stakeholders agree with the focus on people with heart failure and recorded reduced ejection fraction given likely under-recording?</w:t>
            </w:r>
          </w:p>
        </w:tc>
        <w:tc>
          <w:tcPr>
            <w:tcW w:w="950" w:type="pct"/>
            <w:hideMark/>
          </w:tcPr>
          <w:p w14:paraId="2D2A658A" w14:textId="258CD860" w:rsidR="00BA2866" w:rsidRPr="005B73E7" w:rsidRDefault="00BA2866" w:rsidP="00BA2866">
            <w:pPr>
              <w:pStyle w:val="Tabletext"/>
            </w:pPr>
            <w:r w:rsidRPr="00705790">
              <w:t>AstraZeneca UK Ltd</w:t>
            </w:r>
            <w:r>
              <w:t>.</w:t>
            </w:r>
          </w:p>
        </w:tc>
        <w:tc>
          <w:tcPr>
            <w:tcW w:w="1910" w:type="pct"/>
            <w:hideMark/>
          </w:tcPr>
          <w:p w14:paraId="55070D45" w14:textId="77777777" w:rsidR="00BA2866" w:rsidRDefault="00BA2866" w:rsidP="00BA2866">
            <w:pPr>
              <w:pStyle w:val="Tabletext"/>
            </w:pPr>
            <w:r>
              <w:t xml:space="preserve">As described in our response to Consultation Question 12, AstraZeneca recommend that HFmrEF and HFpEF should also be included in the indicator, to support the future implementation of the treatment recommended in the draft guideline (GID-NG10405) for each type of heart failure [1]. </w:t>
            </w:r>
          </w:p>
          <w:p w14:paraId="0A94F9DE" w14:textId="77777777" w:rsidR="00BA2866" w:rsidRDefault="00BA2866" w:rsidP="00BA2866">
            <w:pPr>
              <w:pStyle w:val="Tabletext"/>
            </w:pPr>
          </w:p>
          <w:p w14:paraId="10427F69" w14:textId="77777777" w:rsidR="00BA2866" w:rsidRDefault="00BA2866" w:rsidP="00BA2866">
            <w:pPr>
              <w:pStyle w:val="Tabletext"/>
            </w:pPr>
            <w:r>
              <w:t xml:space="preserve">Previous indicators have only focused on HFrEF, because there were no treatments recommended by NICE in the 2018 Chronic Heart Failure guideline for HFmrEF or HFpEF [2]. Since then, NICE have recommended treatments for HFmrEF and HFpEF [3, 4], and the draft guideline GID-NG10405 has been updated accordingly to include treatment algorithms for all ejection fraction categories [1]. Therefore, the indicators should include all ejection fraction categories, to align with NICE technology appraisal guidance and the updated guideline. According to data provided by NICE from CPRD Aurum, patients with HFrEF recorded represent only 31% of patients with an ejection fraction category recorded [5]. Having an indicator for the guideline-directed treatment of HFmrEF and HFpEF, not just HFrEF, would also help to further embed the </w:t>
            </w:r>
            <w:r>
              <w:lastRenderedPageBreak/>
              <w:t>recording of ejection fraction category in standard clinical practice.</w:t>
            </w:r>
          </w:p>
          <w:p w14:paraId="621E96BD" w14:textId="77777777" w:rsidR="00BA2866" w:rsidRDefault="00BA2866" w:rsidP="00BA2866">
            <w:pPr>
              <w:pStyle w:val="Tabletext"/>
            </w:pPr>
          </w:p>
          <w:p w14:paraId="4A89C852" w14:textId="77777777" w:rsidR="00BA2866" w:rsidRDefault="00BA2866" w:rsidP="00BA2866">
            <w:pPr>
              <w:pStyle w:val="Tabletext"/>
            </w:pPr>
            <w:r>
              <w:t>Given the under-recording of ejection fraction category, AstraZeneca suggest that the indicator for four-pillar treatment include people with heart failure who are coded as having left ventricular systolic dysfunction (LVSD) and may benefit from four-pillar treatment, but may not be coded as having HFrEF. For example, ‘The proportion of patients with heart failure with reduced ejection fraction, or heart failure with left ventricular systolic dysfunction and ejection fraction &lt;40%’. This is in line with the Quality Outcomes Framework prescribing indicators for 2025/2026 (HF003 and HF006) that include people with heart failure due to LVSD or reduced ejection fraction [6]. As noted by NICE in the equality and health inequalities assessment for this indicator [7], ‘Focusing only on people with reduced ejection fraction, instead of people with left ventricular systolic dysfunction (as described by current indicators) could increase inequalities for people diagnosed with heart failure prior to more recent approaches of identifying ejection fraction category.’</w:t>
            </w:r>
          </w:p>
          <w:p w14:paraId="22D6CEB4" w14:textId="77777777" w:rsidR="00BA2866" w:rsidRDefault="00BA2866" w:rsidP="00BA2866">
            <w:pPr>
              <w:pStyle w:val="Tabletext"/>
            </w:pPr>
          </w:p>
          <w:p w14:paraId="25C48BDC" w14:textId="77777777" w:rsidR="00BA2866" w:rsidRDefault="00BA2866" w:rsidP="00BA2866">
            <w:pPr>
              <w:pStyle w:val="Tabletext"/>
            </w:pPr>
            <w:r>
              <w:t>References:</w:t>
            </w:r>
          </w:p>
          <w:p w14:paraId="003640CE" w14:textId="77777777" w:rsidR="00BA2866" w:rsidRPr="00394EF8" w:rsidRDefault="00BA2866" w:rsidP="00BA2866">
            <w:pPr>
              <w:pStyle w:val="Tabletext"/>
              <w:rPr>
                <w:lang w:val="fr-FR"/>
              </w:rPr>
            </w:pPr>
            <w:r>
              <w:t>1.</w:t>
            </w:r>
            <w:r>
              <w:tab/>
              <w:t xml:space="preserve">National Institute for Health and Care Excellence, “Chronic heart failure in adults: </w:t>
            </w:r>
            <w:r>
              <w:lastRenderedPageBreak/>
              <w:t xml:space="preserve">diagnosis and management (in development),” [Online]. </w:t>
            </w:r>
            <w:proofErr w:type="gramStart"/>
            <w:r w:rsidRPr="00394EF8">
              <w:rPr>
                <w:lang w:val="fr-FR"/>
              </w:rPr>
              <w:t>Available:</w:t>
            </w:r>
            <w:proofErr w:type="gramEnd"/>
            <w:r w:rsidRPr="00394EF8">
              <w:rPr>
                <w:lang w:val="fr-FR"/>
              </w:rPr>
              <w:t xml:space="preserve"> https://www.nice.org.uk/guidance/gid-ng10405/documents/450.</w:t>
            </w:r>
          </w:p>
          <w:p w14:paraId="3C60D60F" w14:textId="77777777" w:rsidR="00BA2866" w:rsidRDefault="00BA2866" w:rsidP="00BA2866">
            <w:pPr>
              <w:pStyle w:val="Tabletext"/>
            </w:pPr>
            <w:r>
              <w:t>2.</w:t>
            </w:r>
            <w:r>
              <w:tab/>
              <w:t>National Institute for Health and Care Excellence. “Chronic heart failure in adults: diagnosis and management,” 2018. [Online]. Available: https://www.nice.org.uk/guidance/ng106</w:t>
            </w:r>
          </w:p>
          <w:p w14:paraId="6A00D244" w14:textId="77777777" w:rsidR="00BA2866" w:rsidRDefault="00BA2866" w:rsidP="00BA2866">
            <w:pPr>
              <w:pStyle w:val="Tabletext"/>
            </w:pPr>
            <w:r>
              <w:t>3.</w:t>
            </w:r>
            <w:r>
              <w:tab/>
              <w:t xml:space="preserve">National Institute for Health and Care Excellence, “Dapagliflozin for treating chronic heart failure with preserved or mildly reduced ejection fraction,” 2023. [Online]. Available: https://www.nice.org.uk/guidance/ta902. </w:t>
            </w:r>
          </w:p>
          <w:p w14:paraId="3C8F7A9B" w14:textId="77777777" w:rsidR="00BA2866" w:rsidRDefault="00BA2866" w:rsidP="00BA2866">
            <w:pPr>
              <w:pStyle w:val="Tabletext"/>
            </w:pPr>
            <w:r>
              <w:t>4.</w:t>
            </w:r>
            <w:r>
              <w:tab/>
              <w:t xml:space="preserve">National Institute for Health and Care Excellence, “Empagliflozin for treating chronic heart failure with preserved or mildly reduced ejection fraction,” 2023. [Online]. Available: https://www.nice.org.uk/guidance/ta929. </w:t>
            </w:r>
          </w:p>
          <w:p w14:paraId="675F6878" w14:textId="77777777" w:rsidR="00BA2866" w:rsidRPr="00394EF8" w:rsidRDefault="00BA2866" w:rsidP="00BA2866">
            <w:pPr>
              <w:pStyle w:val="Tabletext"/>
              <w:rPr>
                <w:lang w:val="fr-FR"/>
              </w:rPr>
            </w:pPr>
            <w:r>
              <w:t>5.</w:t>
            </w:r>
            <w:r>
              <w:tab/>
              <w:t xml:space="preserve">National Institute for Health and Care Excellence. “Consultation on new and updated NICE indicators: GID-IND10330 to GID-IND10335 &amp; GID-IND10337 to GID-IND10338.” </w:t>
            </w:r>
            <w:r w:rsidRPr="00394EF8">
              <w:rPr>
                <w:lang w:val="fr-FR"/>
              </w:rPr>
              <w:t xml:space="preserve">[Online]. </w:t>
            </w:r>
            <w:proofErr w:type="gramStart"/>
            <w:r w:rsidRPr="00394EF8">
              <w:rPr>
                <w:lang w:val="fr-FR"/>
              </w:rPr>
              <w:t>Available:</w:t>
            </w:r>
            <w:proofErr w:type="gramEnd"/>
            <w:r w:rsidRPr="00394EF8">
              <w:rPr>
                <w:lang w:val="fr-FR"/>
              </w:rPr>
              <w:t xml:space="preserve">  https://www.nice.org.uk/consultations/3006/11/heart-failure-4-pillars-heart-failure-with-reduced-ejection-fraction#rationale-5.</w:t>
            </w:r>
          </w:p>
          <w:p w14:paraId="5237AD77" w14:textId="77777777" w:rsidR="00BA2866" w:rsidRPr="00394EF8" w:rsidRDefault="00BA2866" w:rsidP="00BA2866">
            <w:pPr>
              <w:pStyle w:val="Tabletext"/>
              <w:rPr>
                <w:lang w:val="fr-FR"/>
              </w:rPr>
            </w:pPr>
            <w:r>
              <w:t>6.</w:t>
            </w:r>
            <w:r>
              <w:tab/>
              <w:t xml:space="preserve">NHS England, "Quality and Outcomes Framework guidance for 2025/26," NHS England, </w:t>
            </w:r>
            <w:r>
              <w:lastRenderedPageBreak/>
              <w:t xml:space="preserve">2025. </w:t>
            </w:r>
            <w:r w:rsidRPr="00394EF8">
              <w:rPr>
                <w:lang w:val="fr-FR"/>
              </w:rPr>
              <w:t xml:space="preserve">[Online]. </w:t>
            </w:r>
            <w:proofErr w:type="gramStart"/>
            <w:r w:rsidRPr="00394EF8">
              <w:rPr>
                <w:lang w:val="fr-FR"/>
              </w:rPr>
              <w:t>Available:</w:t>
            </w:r>
            <w:proofErr w:type="gramEnd"/>
            <w:r w:rsidRPr="00394EF8">
              <w:rPr>
                <w:lang w:val="fr-FR"/>
              </w:rPr>
              <w:t xml:space="preserve"> https://www.england.nhs.uk/publication/quality-and-outcomes-framework-guidance-for-2025-26/.</w:t>
            </w:r>
          </w:p>
          <w:p w14:paraId="4E8630BB" w14:textId="3D06A152" w:rsidR="00BA2866" w:rsidRPr="00EE065C" w:rsidRDefault="00BA2866" w:rsidP="00BA2866">
            <w:pPr>
              <w:pStyle w:val="Tabletext"/>
            </w:pPr>
            <w:r>
              <w:t>7.</w:t>
            </w:r>
            <w:r>
              <w:tab/>
              <w:t>National Institute for Health and Care Excellence. “Equality and health inequalities assessment (EHIA): GID-IND10334: Heart failure: ejection fraction category (newly diagnosed)” [Online]. Available:  https://www.nice.org.uk/consultations/3006/7/stage-1-consultation.</w:t>
            </w:r>
          </w:p>
        </w:tc>
        <w:tc>
          <w:tcPr>
            <w:tcW w:w="1371" w:type="pct"/>
          </w:tcPr>
          <w:p w14:paraId="68FE542A" w14:textId="77777777" w:rsidR="00BA2866" w:rsidRDefault="00BA2866" w:rsidP="00BA2866">
            <w:pPr>
              <w:pStyle w:val="Tabletext"/>
            </w:pPr>
            <w:r>
              <w:lastRenderedPageBreak/>
              <w:t>Thank you for your comment. The points raised were discussed at the post consultation advisory committee meeting. They agreed that the indicator should align with the updated NICE guidance on chronic heart failure (NG106), which recommends that patients diagnosed with heart failure with reduced ejection fraction (HFrEF) receive all four pillars of treatment.</w:t>
            </w:r>
          </w:p>
          <w:p w14:paraId="6CCF0319" w14:textId="77777777" w:rsidR="00BA2866" w:rsidRDefault="00BA2866" w:rsidP="00BA2866">
            <w:pPr>
              <w:pStyle w:val="Tabletext"/>
            </w:pPr>
            <w:r>
              <w:t>This recommendation specifically applies to HFrEF rather than left ventricular systolic dysfunction, due to the robust evidence base supporting the four-pillar approach for HFrEF. In contrast, the evidence for heart failure with mildly reduced (HFmrEF) or preserved ejection fraction (HFpEF) is less conclusive, and therefore indicators for these groups were not prioritised.</w:t>
            </w:r>
          </w:p>
          <w:p w14:paraId="4448EAD1" w14:textId="110FCE6A" w:rsidR="00BA2866" w:rsidRDefault="00BA2866" w:rsidP="00BA2866">
            <w:pPr>
              <w:pStyle w:val="Tabletext"/>
            </w:pPr>
          </w:p>
        </w:tc>
      </w:tr>
      <w:tr w:rsidR="00BA2866" w:rsidRPr="00215444" w14:paraId="32655D2C" w14:textId="3C651EEE" w:rsidTr="00D51F57">
        <w:tc>
          <w:tcPr>
            <w:tcW w:w="187" w:type="pct"/>
          </w:tcPr>
          <w:p w14:paraId="2CED17D3" w14:textId="3B59F72A" w:rsidR="00BA2866" w:rsidRDefault="00BA2866" w:rsidP="00BA2866">
            <w:pPr>
              <w:pStyle w:val="Tabletext"/>
            </w:pPr>
            <w:r>
              <w:lastRenderedPageBreak/>
              <w:t>12.</w:t>
            </w:r>
          </w:p>
        </w:tc>
        <w:tc>
          <w:tcPr>
            <w:tcW w:w="582" w:type="pct"/>
          </w:tcPr>
          <w:p w14:paraId="1EB7B5F9" w14:textId="1D2263B6" w:rsidR="00BA2866" w:rsidRDefault="00BA2866" w:rsidP="00BA2866">
            <w:pPr>
              <w:pStyle w:val="Tabletext"/>
              <w:rPr>
                <w:color w:val="000000"/>
                <w:lang w:eastAsia="en-GB"/>
              </w:rPr>
            </w:pPr>
            <w:r w:rsidRPr="00686BEC">
              <w:rPr>
                <w:color w:val="000000"/>
                <w:lang w:eastAsia="en-GB"/>
              </w:rPr>
              <w:t>Question 13: Do stakeholders agree with the focus on people with heart failure and recorded reduced ejection fraction given likely under-recording?</w:t>
            </w:r>
          </w:p>
        </w:tc>
        <w:tc>
          <w:tcPr>
            <w:tcW w:w="950" w:type="pct"/>
          </w:tcPr>
          <w:p w14:paraId="08CCCD67" w14:textId="55E342D7" w:rsidR="00BA2866" w:rsidRPr="00705790" w:rsidRDefault="00BA2866" w:rsidP="00BA2866">
            <w:pPr>
              <w:pStyle w:val="Tabletext"/>
            </w:pPr>
            <w:r w:rsidRPr="00FB5AA3">
              <w:t>General Practitioners Committee England, British Medical Association</w:t>
            </w:r>
          </w:p>
        </w:tc>
        <w:tc>
          <w:tcPr>
            <w:tcW w:w="1910" w:type="pct"/>
          </w:tcPr>
          <w:p w14:paraId="33F0A7E2" w14:textId="6A2B8BA4" w:rsidR="00BA2866" w:rsidRDefault="00BA2866" w:rsidP="00BA2866">
            <w:pPr>
              <w:pStyle w:val="Tabletext"/>
            </w:pPr>
            <w:r w:rsidRPr="00FB5AA3">
              <w:t>There are many historic coding/diagnoses where ejection fraction not coded. Some of these are in the stable younger group of patients who would likely benefit significantly but would not be picked up by this.</w:t>
            </w:r>
          </w:p>
        </w:tc>
        <w:tc>
          <w:tcPr>
            <w:tcW w:w="1371" w:type="pct"/>
          </w:tcPr>
          <w:p w14:paraId="0E60637C" w14:textId="0E9AE974" w:rsidR="00BA2866" w:rsidRPr="00FB5AA3" w:rsidRDefault="00FB7DE7" w:rsidP="00BA2866">
            <w:pPr>
              <w:pStyle w:val="Tabletext"/>
            </w:pPr>
            <w:r>
              <w:t xml:space="preserve">Thank you for your comment. The points raised were discussed at the post consultation advisory committee meeting. They noted </w:t>
            </w:r>
            <w:r w:rsidRPr="00FB7DE7">
              <w:t xml:space="preserve">that focusing on new diagnosis risks undertreatment in the prevalent population however, </w:t>
            </w:r>
            <w:r>
              <w:t>the committee agreed that this is a</w:t>
            </w:r>
            <w:r w:rsidRPr="00FB7DE7">
              <w:t xml:space="preserve"> pragmatic approach</w:t>
            </w:r>
            <w:r w:rsidR="00123F29">
              <w:t xml:space="preserve"> because a </w:t>
            </w:r>
            <w:r w:rsidRPr="00FB7DE7">
              <w:t>retrospective review of all patients would not be practical nor would referring all patients back to specialist care.</w:t>
            </w:r>
          </w:p>
        </w:tc>
      </w:tr>
      <w:tr w:rsidR="00AE0A94" w:rsidRPr="00215444" w14:paraId="764A5FAD" w14:textId="22D5496A" w:rsidTr="00D51F57">
        <w:tc>
          <w:tcPr>
            <w:tcW w:w="187" w:type="pct"/>
            <w:hideMark/>
          </w:tcPr>
          <w:p w14:paraId="60C57C4F" w14:textId="1FF457F3" w:rsidR="00AE0A94" w:rsidRDefault="00AE0A94" w:rsidP="00AE0A94">
            <w:pPr>
              <w:pStyle w:val="Tabletext"/>
            </w:pPr>
            <w:r>
              <w:t>13.</w:t>
            </w:r>
          </w:p>
        </w:tc>
        <w:tc>
          <w:tcPr>
            <w:tcW w:w="582" w:type="pct"/>
            <w:hideMark/>
          </w:tcPr>
          <w:p w14:paraId="133ECA54" w14:textId="5FE66B5B" w:rsidR="00AE0A94" w:rsidRDefault="00AE0A94" w:rsidP="00AE0A94">
            <w:pPr>
              <w:pStyle w:val="Tabletext"/>
            </w:pPr>
            <w:r w:rsidRPr="00686BEC">
              <w:t>GID-IND1033</w:t>
            </w:r>
            <w:r>
              <w:t>4</w:t>
            </w:r>
          </w:p>
        </w:tc>
        <w:tc>
          <w:tcPr>
            <w:tcW w:w="950" w:type="pct"/>
            <w:hideMark/>
          </w:tcPr>
          <w:p w14:paraId="6AE4B402" w14:textId="3336A372" w:rsidR="00AE0A94" w:rsidRPr="005B73E7" w:rsidRDefault="00AE0A94" w:rsidP="00AE0A94">
            <w:pPr>
              <w:pStyle w:val="Tabletext"/>
            </w:pPr>
            <w:r w:rsidRPr="00705790">
              <w:t>AstraZeneca UK Ltd</w:t>
            </w:r>
            <w:r>
              <w:t>.</w:t>
            </w:r>
          </w:p>
        </w:tc>
        <w:tc>
          <w:tcPr>
            <w:tcW w:w="1910" w:type="pct"/>
            <w:hideMark/>
          </w:tcPr>
          <w:p w14:paraId="2D741D2E" w14:textId="77777777" w:rsidR="00AE0A94" w:rsidRDefault="00AE0A94" w:rsidP="00AE0A94">
            <w:pPr>
              <w:pStyle w:val="Tabletext"/>
            </w:pPr>
            <w:r>
              <w:t>AstraZeneca support the intention to increase the recording of the ejection fraction category of patients with heart failure. This will be essential for the successful implementation of the draft guideline on the treatment of chronic heart failure (GID-</w:t>
            </w:r>
            <w:r>
              <w:lastRenderedPageBreak/>
              <w:t xml:space="preserve">NG10405), which recommends different treatment combinations based on ejection fraction category [1]. </w:t>
            </w:r>
          </w:p>
          <w:p w14:paraId="5A902D79" w14:textId="77777777" w:rsidR="00AE0A94" w:rsidRDefault="00AE0A94" w:rsidP="00AE0A94">
            <w:pPr>
              <w:pStyle w:val="Tabletext"/>
            </w:pPr>
          </w:p>
          <w:p w14:paraId="682D6AE6" w14:textId="77777777" w:rsidR="00AE0A94" w:rsidRDefault="00AE0A94" w:rsidP="00AE0A94">
            <w:pPr>
              <w:pStyle w:val="Tabletext"/>
            </w:pPr>
            <w:r>
              <w:t>Only including patients diagnosed after 1st April 2026 risks disadvantaging patients currently diagnosed with heart failure by increasing the likelihood that they receive suboptimal treatment if they don’t have an ejection fraction category recorded. Please see our response to Consultation Question 14 for further detail.</w:t>
            </w:r>
          </w:p>
          <w:p w14:paraId="316AE1A2" w14:textId="77777777" w:rsidR="00AE0A94" w:rsidRDefault="00AE0A94" w:rsidP="00AE0A94">
            <w:pPr>
              <w:pStyle w:val="Tabletext"/>
            </w:pPr>
          </w:p>
          <w:p w14:paraId="6C5EC2CA" w14:textId="77777777" w:rsidR="00AE0A94" w:rsidRDefault="00AE0A94" w:rsidP="00AE0A94">
            <w:pPr>
              <w:pStyle w:val="Tabletext"/>
            </w:pPr>
            <w:r>
              <w:t>Additionally, since ejection fraction category, and therefore recommended treatment, can change over time [2], we recommend including a frequency for the recording of ejection fraction category in the indicator, and consider this would be feasible in practice due to the recommended regular monitoring of patients with heart failure (for further detail see AstraZeneca’s response to Consultation Question 14). AstraZeneca propose, ‘The percentage of patients with a diagnosis of heart failure who have an ejection fraction category (reduced, mildly reduced, or preserved) recorded in the last 12 months’. This would encourage the recording of ejection fraction in patients with diagnosed heart failure as part of a patient’s regular treatment reviews.</w:t>
            </w:r>
          </w:p>
          <w:p w14:paraId="0A63AF67" w14:textId="77777777" w:rsidR="00AE0A94" w:rsidRDefault="00AE0A94" w:rsidP="00AE0A94">
            <w:pPr>
              <w:pStyle w:val="Tabletext"/>
            </w:pPr>
          </w:p>
          <w:p w14:paraId="2D4CCB2D" w14:textId="77777777" w:rsidR="00AE0A94" w:rsidRDefault="00AE0A94" w:rsidP="00AE0A94">
            <w:pPr>
              <w:pStyle w:val="Tabletext"/>
            </w:pPr>
            <w:r>
              <w:t>References:</w:t>
            </w:r>
          </w:p>
          <w:p w14:paraId="761B3F22" w14:textId="77777777" w:rsidR="00AE0A94" w:rsidRPr="00394EF8" w:rsidRDefault="00AE0A94" w:rsidP="00AE0A94">
            <w:pPr>
              <w:pStyle w:val="Tabletext"/>
              <w:rPr>
                <w:lang w:val="fr-FR"/>
              </w:rPr>
            </w:pPr>
            <w:r>
              <w:t>1.</w:t>
            </w:r>
            <w:r>
              <w:tab/>
              <w:t xml:space="preserve">National Institute for Health and Care Excellence, “Chronic heart failure in adults: diagnosis and management (in development),” [Online]. </w:t>
            </w:r>
            <w:proofErr w:type="gramStart"/>
            <w:r w:rsidRPr="00394EF8">
              <w:rPr>
                <w:lang w:val="fr-FR"/>
              </w:rPr>
              <w:t>Available:</w:t>
            </w:r>
            <w:proofErr w:type="gramEnd"/>
            <w:r w:rsidRPr="00394EF8">
              <w:rPr>
                <w:lang w:val="fr-FR"/>
              </w:rPr>
              <w:t xml:space="preserve"> https://www.nice.org.uk/guidance/gid-ng10405/documents/450.</w:t>
            </w:r>
          </w:p>
          <w:p w14:paraId="62DA931B" w14:textId="0E51E7A0" w:rsidR="00AE0A94" w:rsidRPr="00EE065C" w:rsidRDefault="00AE0A94" w:rsidP="00AE0A94">
            <w:pPr>
              <w:pStyle w:val="Tabletext"/>
            </w:pPr>
            <w:r>
              <w:t>2.</w:t>
            </w:r>
            <w:r>
              <w:tab/>
              <w:t>G. Savarese, et al., “Prevalence and prognostic implications of longitudinal ejection fraction change in heart failure,” JACC: Heart Failure, vol. 7, no. 4, pp. 306–317, 2019.</w:t>
            </w:r>
          </w:p>
        </w:tc>
        <w:tc>
          <w:tcPr>
            <w:tcW w:w="1371" w:type="pct"/>
          </w:tcPr>
          <w:p w14:paraId="6B6E3847" w14:textId="169883F0" w:rsidR="00AE0A94" w:rsidRDefault="00AE0A94" w:rsidP="00AE0A94">
            <w:pPr>
              <w:pStyle w:val="Tabletext"/>
            </w:pPr>
            <w:r>
              <w:lastRenderedPageBreak/>
              <w:t xml:space="preserve">Thank you for your comment. The points raised were discussed at the post consultation advisory committee meeting. They noted </w:t>
            </w:r>
            <w:r w:rsidRPr="00FB7DE7">
              <w:t xml:space="preserve">that focusing on new diagnosis risks </w:t>
            </w:r>
            <w:r w:rsidRPr="00FB7DE7">
              <w:lastRenderedPageBreak/>
              <w:t xml:space="preserve">undertreatment in the prevalent population however, </w:t>
            </w:r>
            <w:r>
              <w:t>the committee agreed that this is a</w:t>
            </w:r>
            <w:r w:rsidRPr="00FB7DE7">
              <w:t xml:space="preserve"> pragmatic approach</w:t>
            </w:r>
            <w:r>
              <w:t xml:space="preserve"> because a </w:t>
            </w:r>
            <w:r w:rsidRPr="00FB7DE7">
              <w:t>retrospective review of all patients would not be practical nor would referring all patients back to specialist care.</w:t>
            </w:r>
            <w:r w:rsidR="001804F0">
              <w:t xml:space="preserve"> The committee noted that </w:t>
            </w:r>
            <w:r w:rsidR="001804F0" w:rsidRPr="00822E8B">
              <w:t>regular reviews</w:t>
            </w:r>
            <w:r w:rsidR="001804F0">
              <w:t xml:space="preserve">, which are </w:t>
            </w:r>
            <w:r w:rsidR="001804F0" w:rsidRPr="00822E8B">
              <w:t>already embedded in clinical practice</w:t>
            </w:r>
            <w:r w:rsidR="001804F0">
              <w:t xml:space="preserve">, </w:t>
            </w:r>
            <w:r w:rsidR="001804F0" w:rsidRPr="00822E8B">
              <w:t>offer a practical opportunity to update ejection fraction records</w:t>
            </w:r>
            <w:r w:rsidR="001804F0">
              <w:t xml:space="preserve"> and therefore did not amend the wording of the indicator to include frequency</w:t>
            </w:r>
            <w:r w:rsidR="00316F88">
              <w:t xml:space="preserve"> of recording</w:t>
            </w:r>
            <w:r w:rsidR="001804F0">
              <w:t>.</w:t>
            </w:r>
          </w:p>
        </w:tc>
      </w:tr>
      <w:tr w:rsidR="00AE0A94" w:rsidRPr="00215444" w14:paraId="2B3FE94E" w14:textId="7E71F4A6" w:rsidTr="00D51F57">
        <w:tc>
          <w:tcPr>
            <w:tcW w:w="187" w:type="pct"/>
          </w:tcPr>
          <w:p w14:paraId="0B1A878E" w14:textId="2EE0620E" w:rsidR="00AE0A94" w:rsidRDefault="00AE0A94" w:rsidP="00AE0A94">
            <w:pPr>
              <w:pStyle w:val="Tabletext"/>
              <w:spacing w:before="0" w:after="0"/>
            </w:pPr>
            <w:r>
              <w:lastRenderedPageBreak/>
              <w:t>14.</w:t>
            </w:r>
          </w:p>
        </w:tc>
        <w:tc>
          <w:tcPr>
            <w:tcW w:w="582" w:type="pct"/>
          </w:tcPr>
          <w:p w14:paraId="13CF05D7" w14:textId="73D0D27A" w:rsidR="00AE0A94" w:rsidRDefault="00AE0A94" w:rsidP="00AE0A94">
            <w:pPr>
              <w:pStyle w:val="Tabletext"/>
              <w:spacing w:before="0" w:after="0"/>
            </w:pPr>
            <w:r w:rsidRPr="00686BEC">
              <w:t>GID-IND1033</w:t>
            </w:r>
            <w:r>
              <w:t>4</w:t>
            </w:r>
          </w:p>
        </w:tc>
        <w:tc>
          <w:tcPr>
            <w:tcW w:w="950" w:type="pct"/>
          </w:tcPr>
          <w:p w14:paraId="081FC5E0" w14:textId="65D06716" w:rsidR="00AE0A94" w:rsidRPr="00705790" w:rsidRDefault="00AE0A94" w:rsidP="00AE0A94">
            <w:pPr>
              <w:pStyle w:val="Tabletext"/>
              <w:spacing w:before="0" w:after="0"/>
            </w:pPr>
            <w:r w:rsidRPr="008B2CB8">
              <w:t>Primary Care Cardiovascular Society (PCCS)</w:t>
            </w:r>
          </w:p>
        </w:tc>
        <w:tc>
          <w:tcPr>
            <w:tcW w:w="1910" w:type="pct"/>
          </w:tcPr>
          <w:p w14:paraId="45F6E1C4" w14:textId="46052138" w:rsidR="00AE0A94" w:rsidRPr="008B2CB8" w:rsidRDefault="00AE0A94" w:rsidP="00AE0A94">
            <w:pPr>
              <w:pStyle w:val="Tabletext"/>
              <w:spacing w:before="0" w:after="0"/>
              <w:rPr>
                <w:szCs w:val="28"/>
              </w:rPr>
            </w:pPr>
            <w:r w:rsidRPr="008B2CB8">
              <w:rPr>
                <w:rFonts w:cs="Arial"/>
                <w:szCs w:val="28"/>
              </w:rPr>
              <w:t xml:space="preserve">This is a pragmatic approach as there is historical under-recording. We would support this proposed indicator as accurate classification of heart failure is key to providing the appropriate evidence-based therapy not least when annual reviews are undertaken (also linked to QOF indicator). It would though be important to promote this to heart failure specialist services/secondary care/echo services who typically make the diagnosis and would be required to provide the necessary information for coding  there by encouraging a  system wide, integrated  approach </w:t>
            </w:r>
          </w:p>
        </w:tc>
        <w:tc>
          <w:tcPr>
            <w:tcW w:w="1371" w:type="pct"/>
          </w:tcPr>
          <w:p w14:paraId="74C3840E" w14:textId="67CAC7F0" w:rsidR="00AE0A94" w:rsidRPr="008B2CB8" w:rsidRDefault="00AE0A94" w:rsidP="00AE0A94">
            <w:pPr>
              <w:pStyle w:val="Tabletext"/>
              <w:spacing w:before="0" w:after="0"/>
              <w:rPr>
                <w:rFonts w:cs="Arial"/>
                <w:szCs w:val="28"/>
              </w:rPr>
            </w:pPr>
            <w:r>
              <w:rPr>
                <w:rFonts w:cs="Arial"/>
                <w:szCs w:val="28"/>
              </w:rPr>
              <w:t>Thank you for your comment.</w:t>
            </w:r>
          </w:p>
        </w:tc>
      </w:tr>
      <w:tr w:rsidR="00316F88" w:rsidRPr="00394EF8" w14:paraId="4EE10018" w14:textId="0BAE01C1" w:rsidTr="00D51F57">
        <w:tc>
          <w:tcPr>
            <w:tcW w:w="187" w:type="pct"/>
            <w:hideMark/>
          </w:tcPr>
          <w:p w14:paraId="1522DEB5" w14:textId="3C33B038" w:rsidR="00316F88" w:rsidRPr="005B73E7" w:rsidRDefault="00316F88" w:rsidP="00316F88">
            <w:pPr>
              <w:pStyle w:val="Tabletext"/>
              <w:rPr>
                <w:color w:val="000000"/>
                <w:lang w:eastAsia="en-GB"/>
              </w:rPr>
            </w:pPr>
            <w:r>
              <w:t>15.</w:t>
            </w:r>
          </w:p>
        </w:tc>
        <w:tc>
          <w:tcPr>
            <w:tcW w:w="582" w:type="pct"/>
            <w:hideMark/>
          </w:tcPr>
          <w:p w14:paraId="75C67E9F" w14:textId="29D39C84" w:rsidR="00316F88" w:rsidRPr="005B73E7" w:rsidRDefault="00316F88" w:rsidP="00316F88">
            <w:pPr>
              <w:pStyle w:val="Tabletext"/>
              <w:rPr>
                <w:color w:val="000000"/>
                <w:lang w:eastAsia="en-GB"/>
              </w:rPr>
            </w:pPr>
            <w:r>
              <w:t xml:space="preserve">Question 14: </w:t>
            </w:r>
            <w:r w:rsidRPr="00686BEC">
              <w:t xml:space="preserve">Given the likely under-recording of </w:t>
            </w:r>
            <w:r w:rsidRPr="00686BEC">
              <w:lastRenderedPageBreak/>
              <w:t>ejection fraction category for patients with long-standing diagnosed heart failure, is focusing on new diagnoses a pragmatic approach for quality improvement?</w:t>
            </w:r>
          </w:p>
        </w:tc>
        <w:tc>
          <w:tcPr>
            <w:tcW w:w="950" w:type="pct"/>
            <w:hideMark/>
          </w:tcPr>
          <w:p w14:paraId="5AF494CB" w14:textId="3DA3C421" w:rsidR="00316F88" w:rsidRPr="005B73E7" w:rsidRDefault="00316F88" w:rsidP="00316F88">
            <w:pPr>
              <w:pStyle w:val="Tabletext"/>
            </w:pPr>
            <w:r w:rsidRPr="00705790">
              <w:lastRenderedPageBreak/>
              <w:t>AstraZeneca UK Ltd</w:t>
            </w:r>
            <w:r>
              <w:t>.</w:t>
            </w:r>
          </w:p>
        </w:tc>
        <w:tc>
          <w:tcPr>
            <w:tcW w:w="1910" w:type="pct"/>
            <w:hideMark/>
          </w:tcPr>
          <w:p w14:paraId="192AD79F" w14:textId="77777777" w:rsidR="00316F88" w:rsidRDefault="00316F88" w:rsidP="00316F88">
            <w:pPr>
              <w:pStyle w:val="Tabletext"/>
            </w:pPr>
            <w:r>
              <w:t>AstraZeneca do not agree with excluding patients diagnosed with heart failure before 1st April 2026 from this indicator.</w:t>
            </w:r>
          </w:p>
          <w:p w14:paraId="1B9EABE8" w14:textId="77777777" w:rsidR="00316F88" w:rsidRDefault="00316F88" w:rsidP="00316F88">
            <w:pPr>
              <w:pStyle w:val="Tabletext"/>
            </w:pPr>
          </w:p>
          <w:p w14:paraId="31359F26" w14:textId="77777777" w:rsidR="00316F88" w:rsidRDefault="00316F88" w:rsidP="00316F88">
            <w:pPr>
              <w:pStyle w:val="Tabletext"/>
            </w:pPr>
            <w:r>
              <w:t>Only including patients diagnosed after 1st April 2026 risks disadvantaging patients currently diagnosed with heart failure by increasing the likelihood that they receive suboptimal treatment if they don’t have an ejection fraction category recorded.</w:t>
            </w:r>
          </w:p>
          <w:p w14:paraId="712753A9" w14:textId="77777777" w:rsidR="00316F88" w:rsidRDefault="00316F88" w:rsidP="00316F88">
            <w:pPr>
              <w:pStyle w:val="Tabletext"/>
            </w:pPr>
          </w:p>
          <w:p w14:paraId="0CC178F4" w14:textId="77777777" w:rsidR="00316F88" w:rsidRDefault="00316F88" w:rsidP="00316F88">
            <w:pPr>
              <w:pStyle w:val="Tabletext"/>
            </w:pPr>
            <w:r>
              <w:t>Sections 1.4 and 1.5 of the draft guideline on the treatment of chronic heart failure (GID-NG10405) are titled ‘treating people with newly diagnosed and pre-existing heart failure with reduced ejection fraction’ and ‘treating people with newly diagnosed and pre-existing heart failure with mildly reduced or preserved ejection fraction’ [1]. The guideline recommends the same treatment approach for people with newly diagnosed and pre-existing heart failure, so to ensure the successful uptake of the NICE guideline existing heart failure patients should also be included in the indicator.</w:t>
            </w:r>
          </w:p>
          <w:p w14:paraId="7549D42C" w14:textId="77777777" w:rsidR="00316F88" w:rsidRDefault="00316F88" w:rsidP="00316F88">
            <w:pPr>
              <w:pStyle w:val="Tabletext"/>
            </w:pPr>
          </w:p>
          <w:p w14:paraId="2C5D8A48" w14:textId="77777777" w:rsidR="00316F88" w:rsidRDefault="00316F88" w:rsidP="00316F88">
            <w:pPr>
              <w:pStyle w:val="Tabletext"/>
            </w:pPr>
            <w:r>
              <w:t xml:space="preserve">Since the prevalence of heart failure in the UK is approximately 1.4% of the total population [2] and 58% of people currently diagnosed with heart failure have no ejection fraction category recorded [3], there are approximately 560,000 UK patients with a pre-existing heart failure diagnosis and no ejection fraction category recorded. These patients are not </w:t>
            </w:r>
            <w:r>
              <w:lastRenderedPageBreak/>
              <w:t>included in GID-IND10327 or GID-IND10325, so will be less likely to receive the optimal guideline-directed medical therapy for their ejection fraction category than newly diagnosed patients.</w:t>
            </w:r>
          </w:p>
          <w:p w14:paraId="1B8EAE05" w14:textId="77777777" w:rsidR="00316F88" w:rsidRDefault="00316F88" w:rsidP="00316F88">
            <w:pPr>
              <w:pStyle w:val="Tabletext"/>
            </w:pPr>
          </w:p>
          <w:p w14:paraId="4BB6C2B1" w14:textId="77777777" w:rsidR="00316F88" w:rsidRDefault="00316F88" w:rsidP="00316F88">
            <w:pPr>
              <w:pStyle w:val="Tabletext"/>
            </w:pPr>
            <w:r>
              <w:t>The draft guideline GID-NG10405 states ‘For stable people with proven heart failure, monitor at least every 6 months’ and recommends that the primary care team of a person with heart failure should ‘lead a full review of the person’s heart failure care, which may form part of a long-term conditions review’ and ‘recall the person at least every 6 months and update the clinical record’ [1]. The Quality Outcomes Framework for 2025/2026 includes ‘HF007. The percentage of patients with a diagnosis of heart failure on the register, who have had a review in the preceding 12 months, including an assessment of functional capacity and a review of medication to ensure medicines optimisation at maximal tolerated doses’ [4]. These regular reviews provide an opportunity to record the ejection fraction category, if the ejection fraction is available in the patient record, without the need for additional appointments. Since the different treatment combinations recommended in the draft guideline GID-NG10405 depends on ejection fraction category, without this recorded the majority of patients with heart failure may face a barrier to guideline-directed medical therapy and GID-</w:t>
            </w:r>
            <w:r>
              <w:lastRenderedPageBreak/>
              <w:t>IND10325 will not be an accurate measure of the proportion of patients on guideline-directed medical therapy. Increasing the proportion of patients with an existing diagnosis of heart failure who have an ejection fraction category recorded will be crucial for the successful future implementation of the draft guideline GID-NG10405, and should be addressed by this indicator.</w:t>
            </w:r>
          </w:p>
          <w:p w14:paraId="3D57E814" w14:textId="77777777" w:rsidR="00316F88" w:rsidRDefault="00316F88" w:rsidP="00316F88">
            <w:pPr>
              <w:pStyle w:val="Tabletext"/>
            </w:pPr>
          </w:p>
          <w:p w14:paraId="706F10B1" w14:textId="77777777" w:rsidR="00316F88" w:rsidRDefault="00316F88" w:rsidP="00316F88">
            <w:pPr>
              <w:pStyle w:val="Tabletext"/>
            </w:pPr>
            <w:r>
              <w:t>References:</w:t>
            </w:r>
          </w:p>
          <w:p w14:paraId="6FE056CD" w14:textId="77777777" w:rsidR="00316F88" w:rsidRPr="00394EF8" w:rsidRDefault="00316F88" w:rsidP="00316F88">
            <w:pPr>
              <w:pStyle w:val="Tabletext"/>
              <w:rPr>
                <w:lang w:val="fr-FR"/>
              </w:rPr>
            </w:pPr>
            <w:r>
              <w:t>1.</w:t>
            </w:r>
            <w:r>
              <w:tab/>
              <w:t xml:space="preserve">National Institute for Health and Care Excellence, “Chronic heart failure in adults: diagnosis and management (in development),” [Online]. </w:t>
            </w:r>
            <w:proofErr w:type="gramStart"/>
            <w:r w:rsidRPr="00394EF8">
              <w:rPr>
                <w:lang w:val="fr-FR"/>
              </w:rPr>
              <w:t>Available:</w:t>
            </w:r>
            <w:proofErr w:type="gramEnd"/>
            <w:r w:rsidRPr="00394EF8">
              <w:rPr>
                <w:lang w:val="fr-FR"/>
              </w:rPr>
              <w:t xml:space="preserve"> https://www.nice.org.uk/guidance/gid-ng10405/documents/450.</w:t>
            </w:r>
          </w:p>
          <w:p w14:paraId="0C6EE419" w14:textId="77777777" w:rsidR="00316F88" w:rsidRDefault="00316F88" w:rsidP="00316F88">
            <w:pPr>
              <w:pStyle w:val="Tabletext"/>
            </w:pPr>
            <w:r>
              <w:t>2.</w:t>
            </w:r>
            <w:r>
              <w:tab/>
              <w:t>N. Conrad, et al., “Temporal trends and patterns in heart failure incidence: a population-based study of 4 million individuals,” The Lancet, vol. 391, no. 10120, pp. 572–580, 2018.</w:t>
            </w:r>
          </w:p>
          <w:p w14:paraId="15313CAC" w14:textId="77777777" w:rsidR="00316F88" w:rsidRPr="00394EF8" w:rsidRDefault="00316F88" w:rsidP="00316F88">
            <w:pPr>
              <w:pStyle w:val="Tabletext"/>
              <w:rPr>
                <w:lang w:val="fr-FR"/>
              </w:rPr>
            </w:pPr>
            <w:r>
              <w:t>3.</w:t>
            </w:r>
            <w:r>
              <w:tab/>
              <w:t xml:space="preserve">National Institute for Health and Care Excellence. “Consultation on new and updated NICE indicators: GID-IND10330 to GID-IND10335 &amp; GID-IND10337 to GID-IND10338.” </w:t>
            </w:r>
            <w:r w:rsidRPr="00394EF8">
              <w:rPr>
                <w:lang w:val="fr-FR"/>
              </w:rPr>
              <w:t xml:space="preserve">[Online]. </w:t>
            </w:r>
            <w:proofErr w:type="gramStart"/>
            <w:r w:rsidRPr="00394EF8">
              <w:rPr>
                <w:lang w:val="fr-FR"/>
              </w:rPr>
              <w:t>Available:</w:t>
            </w:r>
            <w:proofErr w:type="gramEnd"/>
            <w:r w:rsidRPr="00394EF8">
              <w:rPr>
                <w:lang w:val="fr-FR"/>
              </w:rPr>
              <w:t xml:space="preserve"> https://www.nice.org.uk/consultations/3006/11/heart-failure-4-pillars-heart-failure-with-reduced-ejection-fraction#rationale-5.</w:t>
            </w:r>
          </w:p>
          <w:p w14:paraId="73FD1379" w14:textId="1CF13EB2" w:rsidR="00316F88" w:rsidRPr="00394EF8" w:rsidRDefault="00316F88" w:rsidP="00316F88">
            <w:pPr>
              <w:pStyle w:val="Tabletext"/>
              <w:rPr>
                <w:lang w:val="fr-FR"/>
              </w:rPr>
            </w:pPr>
            <w:r>
              <w:lastRenderedPageBreak/>
              <w:t>4.</w:t>
            </w:r>
            <w:r>
              <w:tab/>
              <w:t xml:space="preserve">NHS England, "Quality and Outcomes Framework guidance for 2025/26," NHS England, 2025. </w:t>
            </w:r>
            <w:r w:rsidRPr="00394EF8">
              <w:rPr>
                <w:lang w:val="fr-FR"/>
              </w:rPr>
              <w:t xml:space="preserve">[Online]. </w:t>
            </w:r>
            <w:proofErr w:type="gramStart"/>
            <w:r w:rsidRPr="00394EF8">
              <w:rPr>
                <w:lang w:val="fr-FR"/>
              </w:rPr>
              <w:t>Available:</w:t>
            </w:r>
            <w:proofErr w:type="gramEnd"/>
            <w:r w:rsidRPr="00394EF8">
              <w:rPr>
                <w:lang w:val="fr-FR"/>
              </w:rPr>
              <w:t xml:space="preserve"> https://www.england.nhs.uk/publication/quality-and-outcomes-framework-guidance-for-2025-26/.</w:t>
            </w:r>
          </w:p>
        </w:tc>
        <w:tc>
          <w:tcPr>
            <w:tcW w:w="1371" w:type="pct"/>
          </w:tcPr>
          <w:p w14:paraId="2D85F58C" w14:textId="194500F6" w:rsidR="00316F88" w:rsidRDefault="00316F88" w:rsidP="00316F88">
            <w:pPr>
              <w:pStyle w:val="Tabletext"/>
            </w:pPr>
            <w:r>
              <w:lastRenderedPageBreak/>
              <w:t xml:space="preserve">Thank you for your comment. The points raised were discussed at the post consultation advisory committee meeting. They noted </w:t>
            </w:r>
            <w:r w:rsidRPr="00FB7DE7">
              <w:t xml:space="preserve">that focusing </w:t>
            </w:r>
            <w:r w:rsidRPr="00FB7DE7">
              <w:lastRenderedPageBreak/>
              <w:t xml:space="preserve">on new diagnosis risks undertreatment in the prevalent population however, </w:t>
            </w:r>
            <w:r>
              <w:t>the committee agreed that this is a</w:t>
            </w:r>
            <w:r w:rsidRPr="00FB7DE7">
              <w:t xml:space="preserve"> pragmatic approach</w:t>
            </w:r>
            <w:r>
              <w:t xml:space="preserve"> because a </w:t>
            </w:r>
            <w:r w:rsidRPr="00FB7DE7">
              <w:t>retrospective review of all patients would not be practical nor would referring all patients back to specialist care.</w:t>
            </w:r>
          </w:p>
        </w:tc>
      </w:tr>
      <w:tr w:rsidR="00316F88" w:rsidRPr="00215444" w14:paraId="1C95AEEC" w14:textId="0729CAB0" w:rsidTr="00D51F57">
        <w:tc>
          <w:tcPr>
            <w:tcW w:w="187" w:type="pct"/>
          </w:tcPr>
          <w:p w14:paraId="2512A382" w14:textId="04CA9B5D" w:rsidR="00316F88" w:rsidRDefault="00316F88" w:rsidP="00316F88">
            <w:pPr>
              <w:pStyle w:val="Tabletext"/>
            </w:pPr>
            <w:r>
              <w:lastRenderedPageBreak/>
              <w:t>16.</w:t>
            </w:r>
          </w:p>
        </w:tc>
        <w:tc>
          <w:tcPr>
            <w:tcW w:w="582" w:type="pct"/>
          </w:tcPr>
          <w:p w14:paraId="57178BB1" w14:textId="7A23CD31" w:rsidR="00316F88" w:rsidRDefault="00316F88" w:rsidP="00316F88">
            <w:pPr>
              <w:pStyle w:val="Tabletext"/>
            </w:pPr>
            <w:r>
              <w:t xml:space="preserve">Question 14 </w:t>
            </w:r>
            <w:r w:rsidRPr="00686BEC">
              <w:t>Given the likely under-recording of ejection fraction category for patients with long-standing diagnosed heart failure, is focusing on new diagnoses a pragmatic approach for quality improvement?</w:t>
            </w:r>
          </w:p>
        </w:tc>
        <w:tc>
          <w:tcPr>
            <w:tcW w:w="950" w:type="pct"/>
          </w:tcPr>
          <w:p w14:paraId="3D56DA7F" w14:textId="721AA291" w:rsidR="00316F88" w:rsidRPr="00705790" w:rsidRDefault="00316F88" w:rsidP="00316F88">
            <w:pPr>
              <w:pStyle w:val="Tabletext"/>
            </w:pPr>
            <w:r w:rsidRPr="00FB5AA3">
              <w:t>General Practitioners Committee England, British Medical Association</w:t>
            </w:r>
          </w:p>
        </w:tc>
        <w:tc>
          <w:tcPr>
            <w:tcW w:w="1910" w:type="pct"/>
          </w:tcPr>
          <w:p w14:paraId="480901C5" w14:textId="7E519D91" w:rsidR="00316F88" w:rsidRDefault="00316F88" w:rsidP="00316F88">
            <w:pPr>
              <w:pStyle w:val="Tabletext"/>
            </w:pPr>
            <w:r w:rsidRPr="00FB5AA3">
              <w:t>This is a pragmatic approach to ensure all going forward receive best care.</w:t>
            </w:r>
          </w:p>
        </w:tc>
        <w:tc>
          <w:tcPr>
            <w:tcW w:w="1371" w:type="pct"/>
          </w:tcPr>
          <w:p w14:paraId="695178B5" w14:textId="187446EA" w:rsidR="00316F88" w:rsidRPr="00FB5AA3" w:rsidRDefault="00316F88" w:rsidP="00316F88">
            <w:pPr>
              <w:pStyle w:val="Tabletext"/>
            </w:pPr>
            <w:r>
              <w:t>Thank you for your comment.</w:t>
            </w:r>
          </w:p>
        </w:tc>
      </w:tr>
      <w:tr w:rsidR="00316F88" w:rsidRPr="00394EF8" w14:paraId="397653A0" w14:textId="7590AF7D" w:rsidTr="00D51F57">
        <w:tc>
          <w:tcPr>
            <w:tcW w:w="187" w:type="pct"/>
            <w:hideMark/>
          </w:tcPr>
          <w:p w14:paraId="7275F085" w14:textId="665E9027" w:rsidR="00316F88" w:rsidRPr="005B73E7" w:rsidRDefault="00316F88" w:rsidP="00316F88">
            <w:pPr>
              <w:pStyle w:val="Tabletext"/>
              <w:rPr>
                <w:color w:val="000000"/>
                <w:lang w:eastAsia="en-GB"/>
              </w:rPr>
            </w:pPr>
            <w:r>
              <w:t>17.</w:t>
            </w:r>
          </w:p>
        </w:tc>
        <w:tc>
          <w:tcPr>
            <w:tcW w:w="582" w:type="pct"/>
            <w:hideMark/>
          </w:tcPr>
          <w:p w14:paraId="3199099D" w14:textId="559BD131" w:rsidR="00316F88" w:rsidRPr="005B73E7" w:rsidRDefault="00316F88" w:rsidP="00316F88">
            <w:pPr>
              <w:pStyle w:val="Tabletext"/>
              <w:rPr>
                <w:color w:val="000000"/>
                <w:lang w:eastAsia="en-GB"/>
              </w:rPr>
            </w:pPr>
            <w:r>
              <w:rPr>
                <w:color w:val="000000"/>
                <w:lang w:eastAsia="en-GB"/>
              </w:rPr>
              <w:t xml:space="preserve">Question 15: </w:t>
            </w:r>
            <w:r w:rsidRPr="00686BEC">
              <w:rPr>
                <w:color w:val="000000"/>
                <w:lang w:eastAsia="en-GB"/>
              </w:rPr>
              <w:t xml:space="preserve">Are there specific clinical or practical </w:t>
            </w:r>
            <w:r w:rsidRPr="00686BEC">
              <w:rPr>
                <w:color w:val="000000"/>
                <w:lang w:eastAsia="en-GB"/>
              </w:rPr>
              <w:lastRenderedPageBreak/>
              <w:t>challenges in the routine recording of ejection fraction category for all patient newly diagnosed with heart failure?</w:t>
            </w:r>
          </w:p>
        </w:tc>
        <w:tc>
          <w:tcPr>
            <w:tcW w:w="950" w:type="pct"/>
            <w:hideMark/>
          </w:tcPr>
          <w:p w14:paraId="5712AA12" w14:textId="37D21F0E" w:rsidR="00316F88" w:rsidRPr="005B73E7" w:rsidRDefault="00316F88" w:rsidP="00316F88">
            <w:pPr>
              <w:pStyle w:val="Tabletext"/>
            </w:pPr>
            <w:r w:rsidRPr="00705790">
              <w:lastRenderedPageBreak/>
              <w:t>AstraZeneca UK Ltd</w:t>
            </w:r>
            <w:r>
              <w:t>.</w:t>
            </w:r>
          </w:p>
        </w:tc>
        <w:tc>
          <w:tcPr>
            <w:tcW w:w="1910" w:type="pct"/>
            <w:hideMark/>
          </w:tcPr>
          <w:p w14:paraId="131DFDB6" w14:textId="77777777" w:rsidR="00316F88" w:rsidRDefault="00316F88" w:rsidP="00316F88">
            <w:pPr>
              <w:pStyle w:val="Tabletext"/>
            </w:pPr>
            <w:r>
              <w:t xml:space="preserve">Since the draft guideline GID-NG10405 [1] recommends treatment for heart failure based on ejection fraction category, all patients newly diagnosed with heart failure will need to have an echocardiogram to determine the ejection fraction </w:t>
            </w:r>
            <w:r>
              <w:lastRenderedPageBreak/>
              <w:t>category and inform treatment decisions. Therefore, AstraZeneca believe it is feasible for the ejection fraction category to be recorded for newly diagnosed patients as standard clinical practice.</w:t>
            </w:r>
          </w:p>
          <w:p w14:paraId="009AEEE3" w14:textId="77777777" w:rsidR="00316F88" w:rsidRDefault="00316F88" w:rsidP="00316F88">
            <w:pPr>
              <w:pStyle w:val="Tabletext"/>
            </w:pPr>
          </w:p>
          <w:p w14:paraId="52CB1DAE" w14:textId="77777777" w:rsidR="00316F88" w:rsidRDefault="00316F88" w:rsidP="00316F88">
            <w:pPr>
              <w:pStyle w:val="Tabletext"/>
            </w:pPr>
            <w:r>
              <w:t>As explained in our response to Consultation Question 14, AstraZeneca urge NICE to change the indicator GID-IND10327 to support the routine recording of ejection fraction category for all patients with heart failure, both newly diagnosed and pre-existing. AstraZeneca understand that some patients with an existing diagnosis of heart failure will have had an echocardiogram as part of their regular monitoring, but do not have an ejection fraction category recorded and correctly coded, and that regular reviews of these patients provide an opportunity to record the ejection fraction category. AstraZeneca acknowledge that recording the ejection fraction category of patients who do not have a regular echocardiogram  represents a potential challenge given capacity constraints in the NHS, but consider this is important in order to increase the use of guideline-directed medical therapy, which is dependent on ejection fraction category and ensure that GID-IND10325 is an accurate measure of the proportion of patients in NHS clinical practice on guideline-directed medical therapy.</w:t>
            </w:r>
          </w:p>
          <w:p w14:paraId="553E8449" w14:textId="77777777" w:rsidR="00316F88" w:rsidRDefault="00316F88" w:rsidP="00316F88">
            <w:pPr>
              <w:pStyle w:val="Tabletext"/>
            </w:pPr>
          </w:p>
          <w:p w14:paraId="5A65D549" w14:textId="77777777" w:rsidR="00316F88" w:rsidRDefault="00316F88" w:rsidP="00316F88">
            <w:pPr>
              <w:pStyle w:val="Tabletext"/>
            </w:pPr>
            <w:r>
              <w:t>References:</w:t>
            </w:r>
          </w:p>
          <w:p w14:paraId="02134CCF" w14:textId="0FB43986" w:rsidR="00316F88" w:rsidRPr="00394EF8" w:rsidRDefault="00316F88" w:rsidP="00316F88">
            <w:pPr>
              <w:pStyle w:val="Tabletext"/>
              <w:rPr>
                <w:lang w:val="fr-FR"/>
              </w:rPr>
            </w:pPr>
            <w:r>
              <w:t>1.</w:t>
            </w:r>
            <w:r>
              <w:tab/>
              <w:t xml:space="preserve">National Institute for Health and Care Excellence, “Chronic heart failure in adults: diagnosis and management (in development),” [Online]. </w:t>
            </w:r>
            <w:proofErr w:type="gramStart"/>
            <w:r w:rsidRPr="00394EF8">
              <w:rPr>
                <w:lang w:val="fr-FR"/>
              </w:rPr>
              <w:t>Available:</w:t>
            </w:r>
            <w:proofErr w:type="gramEnd"/>
            <w:r w:rsidRPr="00394EF8">
              <w:rPr>
                <w:lang w:val="fr-FR"/>
              </w:rPr>
              <w:t xml:space="preserve"> https://www.nice.org.uk/guidance/gid-ng10405/documents/450.</w:t>
            </w:r>
          </w:p>
        </w:tc>
        <w:tc>
          <w:tcPr>
            <w:tcW w:w="1371" w:type="pct"/>
          </w:tcPr>
          <w:p w14:paraId="4AA9324A" w14:textId="00AA9DBC" w:rsidR="00316F88" w:rsidRDefault="00316F88" w:rsidP="00316F88">
            <w:pPr>
              <w:pStyle w:val="Tabletext"/>
            </w:pPr>
            <w:r>
              <w:lastRenderedPageBreak/>
              <w:t xml:space="preserve">Thank you for your comment. The points raised were discussed at the post consultation advisory committee meeting. They noted </w:t>
            </w:r>
            <w:r w:rsidRPr="00FB7DE7">
              <w:t xml:space="preserve">that focusing on new diagnosis risks </w:t>
            </w:r>
            <w:r w:rsidRPr="00FB7DE7">
              <w:lastRenderedPageBreak/>
              <w:t xml:space="preserve">undertreatment in the prevalent population however, </w:t>
            </w:r>
            <w:r>
              <w:t>the committee agreed that this is a</w:t>
            </w:r>
            <w:r w:rsidRPr="00FB7DE7">
              <w:t xml:space="preserve"> pragmatic approach</w:t>
            </w:r>
            <w:r>
              <w:t xml:space="preserve"> because a </w:t>
            </w:r>
            <w:r w:rsidRPr="00FB7DE7">
              <w:t>retrospective review of all patients would not be practical nor would referring all patients back to specialist care.</w:t>
            </w:r>
            <w:r>
              <w:t xml:space="preserve"> The committee noted that </w:t>
            </w:r>
            <w:r w:rsidRPr="00822E8B">
              <w:t>regular reviews</w:t>
            </w:r>
            <w:r>
              <w:t xml:space="preserve">, which are </w:t>
            </w:r>
            <w:r w:rsidRPr="00822E8B">
              <w:t>already embedded in clinical practice</w:t>
            </w:r>
            <w:r>
              <w:t xml:space="preserve">, </w:t>
            </w:r>
            <w:r w:rsidRPr="00822E8B">
              <w:t>offer a practical opportunity to update ejection fraction records</w:t>
            </w:r>
            <w:r>
              <w:t xml:space="preserve"> and therefore did not amend the wording of the indicator to include frequency of recording.</w:t>
            </w:r>
          </w:p>
        </w:tc>
      </w:tr>
      <w:tr w:rsidR="00316F88" w:rsidRPr="00215444" w14:paraId="567BAD15" w14:textId="57FB1FAA" w:rsidTr="00D51F57">
        <w:tc>
          <w:tcPr>
            <w:tcW w:w="187" w:type="pct"/>
          </w:tcPr>
          <w:p w14:paraId="70C76D89" w14:textId="77172686" w:rsidR="00316F88" w:rsidRDefault="00316F88" w:rsidP="00316F88">
            <w:pPr>
              <w:pStyle w:val="Tabletext"/>
            </w:pPr>
            <w:r>
              <w:lastRenderedPageBreak/>
              <w:t>18.</w:t>
            </w:r>
          </w:p>
        </w:tc>
        <w:tc>
          <w:tcPr>
            <w:tcW w:w="582" w:type="pct"/>
          </w:tcPr>
          <w:p w14:paraId="2DC21F06" w14:textId="753AC205" w:rsidR="00316F88" w:rsidRDefault="00316F88" w:rsidP="00316F88">
            <w:pPr>
              <w:pStyle w:val="Tabletext"/>
              <w:rPr>
                <w:color w:val="000000"/>
                <w:lang w:eastAsia="en-GB"/>
              </w:rPr>
            </w:pPr>
            <w:r>
              <w:rPr>
                <w:color w:val="000000"/>
                <w:lang w:eastAsia="en-GB"/>
              </w:rPr>
              <w:t xml:space="preserve">Question 15: </w:t>
            </w:r>
            <w:r w:rsidRPr="00686BEC">
              <w:rPr>
                <w:color w:val="000000"/>
                <w:lang w:eastAsia="en-GB"/>
              </w:rPr>
              <w:t>Are there specific clinical or practical challenges in the routine recording of ejection fraction category for all patient newly diagnosed with heart failure?</w:t>
            </w:r>
          </w:p>
        </w:tc>
        <w:tc>
          <w:tcPr>
            <w:tcW w:w="950" w:type="pct"/>
          </w:tcPr>
          <w:p w14:paraId="0B2D0592" w14:textId="1744AE0A" w:rsidR="00316F88" w:rsidRPr="00705790" w:rsidRDefault="00316F88" w:rsidP="00316F88">
            <w:pPr>
              <w:pStyle w:val="Tabletext"/>
            </w:pPr>
            <w:r w:rsidRPr="00FB5AA3">
              <w:t>General Practitioners Committee England, British Medical Association</w:t>
            </w:r>
          </w:p>
        </w:tc>
        <w:tc>
          <w:tcPr>
            <w:tcW w:w="1910" w:type="pct"/>
          </w:tcPr>
          <w:p w14:paraId="593B6417" w14:textId="4D1E91AB" w:rsidR="00316F88" w:rsidRDefault="00316F88" w:rsidP="00316F88">
            <w:pPr>
              <w:pStyle w:val="Tabletext"/>
            </w:pPr>
            <w:r w:rsidRPr="00FB5AA3">
              <w:t>There is a proportion of elderly where the diagnosis of heart failure is clinical. In this group initiation of SGLT2i/mineralocorticoids are often inappropriate and echo results would not alter clinical management. Using resource and putting patients through investigation (transporting frail elderly) would be inappropriate in these circumstances and personalised Care Adjustment should be applicable for this circumstance.</w:t>
            </w:r>
          </w:p>
        </w:tc>
        <w:tc>
          <w:tcPr>
            <w:tcW w:w="1371" w:type="pct"/>
          </w:tcPr>
          <w:p w14:paraId="57FAB458" w14:textId="4DFB8807" w:rsidR="00316F88" w:rsidRPr="00FB5AA3" w:rsidRDefault="00B77837" w:rsidP="00316F88">
            <w:pPr>
              <w:pStyle w:val="Tabletext"/>
            </w:pPr>
            <w:r>
              <w:t xml:space="preserve">Thank you for your comment. The supporting indicator guidance highlights that personalised care adjustments should be considered where moderate or severe frailty means echocardiography is not appropriate. </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8DA8" w14:textId="39701CF5" w:rsidR="00446BEE" w:rsidRDefault="00F65144" w:rsidP="00446BEE">
    <w:pPr>
      <w:pStyle w:val="Footer"/>
    </w:pPr>
    <w:r w:rsidRPr="00F65144">
      <w:t>IND317 &amp; IND318 consultation report</w:t>
    </w:r>
    <w:r w:rsidR="00446BEE">
      <w:tab/>
    </w:r>
    <w:r>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572D292D" w:rsidR="008E7826" w:rsidRDefault="00F65144" w:rsidP="008E7826">
            <w:pPr>
              <w:pStyle w:val="Footer"/>
            </w:pPr>
            <w:r>
              <w:t xml:space="preserve">IND317 &amp; IND318 </w:t>
            </w:r>
            <w:r w:rsidR="002E482A">
              <w:t xml:space="preserve">consultation report </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09A" w14:textId="77777777" w:rsidR="008F6FB7" w:rsidRDefault="008F6FB7">
    <w:pPr>
      <w:pStyle w:val="Header"/>
    </w:pPr>
    <w:r>
      <w:rPr>
        <w:noProof/>
      </w:rPr>
      <w:drawing>
        <wp:inline distT="0" distB="0" distL="0" distR="0" wp14:anchorId="7F4CFA35" wp14:editId="088F155A">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6F4162CD"/>
    <w:multiLevelType w:val="hybridMultilevel"/>
    <w:tmpl w:val="47D29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 w:numId="25" w16cid:durableId="2021664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11D2"/>
    <w:rsid w:val="00004565"/>
    <w:rsid w:val="000053F8"/>
    <w:rsid w:val="0000760C"/>
    <w:rsid w:val="00024D0A"/>
    <w:rsid w:val="00043D46"/>
    <w:rsid w:val="00047CF9"/>
    <w:rsid w:val="00070065"/>
    <w:rsid w:val="00097401"/>
    <w:rsid w:val="000A1127"/>
    <w:rsid w:val="000A4FEE"/>
    <w:rsid w:val="000B32B3"/>
    <w:rsid w:val="000B5939"/>
    <w:rsid w:val="000B6FEC"/>
    <w:rsid w:val="000C15A4"/>
    <w:rsid w:val="000E0B35"/>
    <w:rsid w:val="000E3827"/>
    <w:rsid w:val="000F05BC"/>
    <w:rsid w:val="000F3EE2"/>
    <w:rsid w:val="001134E7"/>
    <w:rsid w:val="00123F29"/>
    <w:rsid w:val="001264BE"/>
    <w:rsid w:val="00126D5D"/>
    <w:rsid w:val="001336FF"/>
    <w:rsid w:val="00136206"/>
    <w:rsid w:val="00137399"/>
    <w:rsid w:val="00144F35"/>
    <w:rsid w:val="00145A81"/>
    <w:rsid w:val="00153702"/>
    <w:rsid w:val="00157BBE"/>
    <w:rsid w:val="001620B8"/>
    <w:rsid w:val="0017169E"/>
    <w:rsid w:val="00176DE6"/>
    <w:rsid w:val="001804F0"/>
    <w:rsid w:val="001838A4"/>
    <w:rsid w:val="001A4247"/>
    <w:rsid w:val="001A6635"/>
    <w:rsid w:val="001B0EE9"/>
    <w:rsid w:val="001B1B1D"/>
    <w:rsid w:val="001B40ED"/>
    <w:rsid w:val="001B65B3"/>
    <w:rsid w:val="001C72ED"/>
    <w:rsid w:val="001D7977"/>
    <w:rsid w:val="001E22BF"/>
    <w:rsid w:val="001E60D6"/>
    <w:rsid w:val="00204B7F"/>
    <w:rsid w:val="002100C3"/>
    <w:rsid w:val="002124D5"/>
    <w:rsid w:val="00216381"/>
    <w:rsid w:val="002408EA"/>
    <w:rsid w:val="0025046C"/>
    <w:rsid w:val="0025603E"/>
    <w:rsid w:val="002570A2"/>
    <w:rsid w:val="00267819"/>
    <w:rsid w:val="00273412"/>
    <w:rsid w:val="00277023"/>
    <w:rsid w:val="002819D7"/>
    <w:rsid w:val="002C1A7E"/>
    <w:rsid w:val="002D3376"/>
    <w:rsid w:val="002E482A"/>
    <w:rsid w:val="002E55DE"/>
    <w:rsid w:val="00310132"/>
    <w:rsid w:val="00311ED0"/>
    <w:rsid w:val="00312457"/>
    <w:rsid w:val="00314B1A"/>
    <w:rsid w:val="00316F88"/>
    <w:rsid w:val="00320DB7"/>
    <w:rsid w:val="00352706"/>
    <w:rsid w:val="00354AFB"/>
    <w:rsid w:val="003648C5"/>
    <w:rsid w:val="0037128D"/>
    <w:rsid w:val="003722FA"/>
    <w:rsid w:val="00386545"/>
    <w:rsid w:val="00394EF8"/>
    <w:rsid w:val="003B054E"/>
    <w:rsid w:val="003C7AAF"/>
    <w:rsid w:val="003D7E4F"/>
    <w:rsid w:val="003E09F2"/>
    <w:rsid w:val="003E0E13"/>
    <w:rsid w:val="003E4271"/>
    <w:rsid w:val="003F0A04"/>
    <w:rsid w:val="003F1C1C"/>
    <w:rsid w:val="003F237A"/>
    <w:rsid w:val="003F3CE0"/>
    <w:rsid w:val="003F6997"/>
    <w:rsid w:val="004075B6"/>
    <w:rsid w:val="00420952"/>
    <w:rsid w:val="004277FC"/>
    <w:rsid w:val="004425E7"/>
    <w:rsid w:val="00446BEE"/>
    <w:rsid w:val="0047365F"/>
    <w:rsid w:val="0047786E"/>
    <w:rsid w:val="00484126"/>
    <w:rsid w:val="004B54A0"/>
    <w:rsid w:val="004C3087"/>
    <w:rsid w:val="004C5ED5"/>
    <w:rsid w:val="004C68C9"/>
    <w:rsid w:val="004F7146"/>
    <w:rsid w:val="005025A1"/>
    <w:rsid w:val="00505243"/>
    <w:rsid w:val="00505D3F"/>
    <w:rsid w:val="00531502"/>
    <w:rsid w:val="00554AF7"/>
    <w:rsid w:val="00556A78"/>
    <w:rsid w:val="00567BF3"/>
    <w:rsid w:val="005702D1"/>
    <w:rsid w:val="00594C3A"/>
    <w:rsid w:val="00595E3B"/>
    <w:rsid w:val="005A02D5"/>
    <w:rsid w:val="005A31FE"/>
    <w:rsid w:val="005A75C5"/>
    <w:rsid w:val="005B4B4C"/>
    <w:rsid w:val="005D52D0"/>
    <w:rsid w:val="00606767"/>
    <w:rsid w:val="00624140"/>
    <w:rsid w:val="006301F2"/>
    <w:rsid w:val="00633471"/>
    <w:rsid w:val="00636CC1"/>
    <w:rsid w:val="00637471"/>
    <w:rsid w:val="00664FDD"/>
    <w:rsid w:val="00670817"/>
    <w:rsid w:val="006709A9"/>
    <w:rsid w:val="00672333"/>
    <w:rsid w:val="006802A7"/>
    <w:rsid w:val="00683697"/>
    <w:rsid w:val="00686BEC"/>
    <w:rsid w:val="006921E1"/>
    <w:rsid w:val="00696C0A"/>
    <w:rsid w:val="006A28FB"/>
    <w:rsid w:val="006A2CE2"/>
    <w:rsid w:val="006C1FDE"/>
    <w:rsid w:val="006C7B71"/>
    <w:rsid w:val="006D14FC"/>
    <w:rsid w:val="006E05D0"/>
    <w:rsid w:val="006F3B17"/>
    <w:rsid w:val="00703765"/>
    <w:rsid w:val="00705790"/>
    <w:rsid w:val="00706246"/>
    <w:rsid w:val="00736348"/>
    <w:rsid w:val="00741F82"/>
    <w:rsid w:val="007434ED"/>
    <w:rsid w:val="007551FD"/>
    <w:rsid w:val="00764437"/>
    <w:rsid w:val="00771786"/>
    <w:rsid w:val="00772169"/>
    <w:rsid w:val="0077376B"/>
    <w:rsid w:val="00781C41"/>
    <w:rsid w:val="007820EE"/>
    <w:rsid w:val="00782624"/>
    <w:rsid w:val="00784C25"/>
    <w:rsid w:val="00784FA7"/>
    <w:rsid w:val="007852BB"/>
    <w:rsid w:val="00792BBD"/>
    <w:rsid w:val="007B36DD"/>
    <w:rsid w:val="007D1D77"/>
    <w:rsid w:val="007D2E54"/>
    <w:rsid w:val="007E2A70"/>
    <w:rsid w:val="00807CF6"/>
    <w:rsid w:val="008215C6"/>
    <w:rsid w:val="00822E8B"/>
    <w:rsid w:val="00823B47"/>
    <w:rsid w:val="00833D8A"/>
    <w:rsid w:val="0083416E"/>
    <w:rsid w:val="00845C76"/>
    <w:rsid w:val="00851B10"/>
    <w:rsid w:val="00861B92"/>
    <w:rsid w:val="008814FB"/>
    <w:rsid w:val="00882F69"/>
    <w:rsid w:val="00897996"/>
    <w:rsid w:val="008A41BF"/>
    <w:rsid w:val="008A53BA"/>
    <w:rsid w:val="008B2536"/>
    <w:rsid w:val="008B2CB8"/>
    <w:rsid w:val="008D2260"/>
    <w:rsid w:val="008D3D00"/>
    <w:rsid w:val="008D4632"/>
    <w:rsid w:val="008D60CD"/>
    <w:rsid w:val="008E268B"/>
    <w:rsid w:val="008E42FE"/>
    <w:rsid w:val="008E7826"/>
    <w:rsid w:val="008F4476"/>
    <w:rsid w:val="008F5E30"/>
    <w:rsid w:val="008F6FB7"/>
    <w:rsid w:val="00900813"/>
    <w:rsid w:val="0090617D"/>
    <w:rsid w:val="00910573"/>
    <w:rsid w:val="00914D7F"/>
    <w:rsid w:val="009273FC"/>
    <w:rsid w:val="00966A63"/>
    <w:rsid w:val="0097305A"/>
    <w:rsid w:val="009734AA"/>
    <w:rsid w:val="009747F7"/>
    <w:rsid w:val="0097564C"/>
    <w:rsid w:val="009926C9"/>
    <w:rsid w:val="00993D0D"/>
    <w:rsid w:val="009C1006"/>
    <w:rsid w:val="009C22EE"/>
    <w:rsid w:val="009E680B"/>
    <w:rsid w:val="00A001CC"/>
    <w:rsid w:val="00A06577"/>
    <w:rsid w:val="00A15A1F"/>
    <w:rsid w:val="00A3325A"/>
    <w:rsid w:val="00A34727"/>
    <w:rsid w:val="00A43013"/>
    <w:rsid w:val="00A47D87"/>
    <w:rsid w:val="00A515DE"/>
    <w:rsid w:val="00A6085D"/>
    <w:rsid w:val="00A66A2A"/>
    <w:rsid w:val="00A74297"/>
    <w:rsid w:val="00A74943"/>
    <w:rsid w:val="00A7564A"/>
    <w:rsid w:val="00A9087B"/>
    <w:rsid w:val="00A90CD8"/>
    <w:rsid w:val="00AA21B3"/>
    <w:rsid w:val="00AA2997"/>
    <w:rsid w:val="00AB16B6"/>
    <w:rsid w:val="00AB38EB"/>
    <w:rsid w:val="00AB53CB"/>
    <w:rsid w:val="00AC234A"/>
    <w:rsid w:val="00AE0A94"/>
    <w:rsid w:val="00AF108A"/>
    <w:rsid w:val="00B02E55"/>
    <w:rsid w:val="00B036C1"/>
    <w:rsid w:val="00B15942"/>
    <w:rsid w:val="00B24057"/>
    <w:rsid w:val="00B26472"/>
    <w:rsid w:val="00B268E5"/>
    <w:rsid w:val="00B273D5"/>
    <w:rsid w:val="00B32B19"/>
    <w:rsid w:val="00B43457"/>
    <w:rsid w:val="00B476D6"/>
    <w:rsid w:val="00B52AD8"/>
    <w:rsid w:val="00B52E40"/>
    <w:rsid w:val="00B5431F"/>
    <w:rsid w:val="00B60B7D"/>
    <w:rsid w:val="00B65A11"/>
    <w:rsid w:val="00B77837"/>
    <w:rsid w:val="00B95475"/>
    <w:rsid w:val="00B95DBC"/>
    <w:rsid w:val="00BA2866"/>
    <w:rsid w:val="00BA738B"/>
    <w:rsid w:val="00BB6C66"/>
    <w:rsid w:val="00BC184B"/>
    <w:rsid w:val="00BE25B1"/>
    <w:rsid w:val="00BE4266"/>
    <w:rsid w:val="00BF572F"/>
    <w:rsid w:val="00BF7FE0"/>
    <w:rsid w:val="00C1402C"/>
    <w:rsid w:val="00C1414A"/>
    <w:rsid w:val="00C14234"/>
    <w:rsid w:val="00C36044"/>
    <w:rsid w:val="00C419BE"/>
    <w:rsid w:val="00C71A17"/>
    <w:rsid w:val="00C77C66"/>
    <w:rsid w:val="00C83DC4"/>
    <w:rsid w:val="00C85682"/>
    <w:rsid w:val="00C96411"/>
    <w:rsid w:val="00C9789C"/>
    <w:rsid w:val="00CB2369"/>
    <w:rsid w:val="00CB5432"/>
    <w:rsid w:val="00CC0DB7"/>
    <w:rsid w:val="00CC318B"/>
    <w:rsid w:val="00CD6724"/>
    <w:rsid w:val="00CE44EB"/>
    <w:rsid w:val="00CE6134"/>
    <w:rsid w:val="00CE7F32"/>
    <w:rsid w:val="00CF2E5C"/>
    <w:rsid w:val="00CF58B7"/>
    <w:rsid w:val="00D02A8F"/>
    <w:rsid w:val="00D1699D"/>
    <w:rsid w:val="00D2688B"/>
    <w:rsid w:val="00D351C1"/>
    <w:rsid w:val="00D35EFB"/>
    <w:rsid w:val="00D43A9B"/>
    <w:rsid w:val="00D47D55"/>
    <w:rsid w:val="00D504B3"/>
    <w:rsid w:val="00D51F57"/>
    <w:rsid w:val="00D60822"/>
    <w:rsid w:val="00D62081"/>
    <w:rsid w:val="00D646A2"/>
    <w:rsid w:val="00D712FC"/>
    <w:rsid w:val="00D77466"/>
    <w:rsid w:val="00D77D0F"/>
    <w:rsid w:val="00D86BF0"/>
    <w:rsid w:val="00D94600"/>
    <w:rsid w:val="00DA106F"/>
    <w:rsid w:val="00DA7774"/>
    <w:rsid w:val="00DC4FE8"/>
    <w:rsid w:val="00DD78AB"/>
    <w:rsid w:val="00DE4BAF"/>
    <w:rsid w:val="00DE51B2"/>
    <w:rsid w:val="00E00070"/>
    <w:rsid w:val="00E00455"/>
    <w:rsid w:val="00E02C78"/>
    <w:rsid w:val="00E11571"/>
    <w:rsid w:val="00E27C94"/>
    <w:rsid w:val="00E31656"/>
    <w:rsid w:val="00E32FE0"/>
    <w:rsid w:val="00E47A68"/>
    <w:rsid w:val="00E51079"/>
    <w:rsid w:val="00E51920"/>
    <w:rsid w:val="00E537B6"/>
    <w:rsid w:val="00E5541D"/>
    <w:rsid w:val="00E556AE"/>
    <w:rsid w:val="00E62435"/>
    <w:rsid w:val="00E6369D"/>
    <w:rsid w:val="00E64120"/>
    <w:rsid w:val="00E64696"/>
    <w:rsid w:val="00E660A1"/>
    <w:rsid w:val="00E72AE9"/>
    <w:rsid w:val="00E76899"/>
    <w:rsid w:val="00E851C4"/>
    <w:rsid w:val="00EB096F"/>
    <w:rsid w:val="00EE13A2"/>
    <w:rsid w:val="00EE4408"/>
    <w:rsid w:val="00EE6945"/>
    <w:rsid w:val="00EE6E62"/>
    <w:rsid w:val="00EF4A4C"/>
    <w:rsid w:val="00EF58D2"/>
    <w:rsid w:val="00F03095"/>
    <w:rsid w:val="00F055F1"/>
    <w:rsid w:val="00F1724A"/>
    <w:rsid w:val="00F228FB"/>
    <w:rsid w:val="00F25E43"/>
    <w:rsid w:val="00F30E52"/>
    <w:rsid w:val="00F30F62"/>
    <w:rsid w:val="00F319EA"/>
    <w:rsid w:val="00F3426A"/>
    <w:rsid w:val="00F36F70"/>
    <w:rsid w:val="00F610AF"/>
    <w:rsid w:val="00F6443A"/>
    <w:rsid w:val="00F65144"/>
    <w:rsid w:val="00F71358"/>
    <w:rsid w:val="00F729A6"/>
    <w:rsid w:val="00F97AA4"/>
    <w:rsid w:val="00FA2C5A"/>
    <w:rsid w:val="00FA5161"/>
    <w:rsid w:val="00FB571D"/>
    <w:rsid w:val="00FB5AA3"/>
    <w:rsid w:val="00FB7DE7"/>
    <w:rsid w:val="00FC2D11"/>
    <w:rsid w:val="00FC6230"/>
    <w:rsid w:val="00FD0344"/>
    <w:rsid w:val="00FD748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9"/>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paragraph" w:styleId="NormalWeb">
    <w:name w:val="Normal (Web)"/>
    <w:basedOn w:val="Normal"/>
    <w:semiHidden/>
    <w:rsid w:val="006301F2"/>
  </w:style>
  <w:style w:type="paragraph" w:styleId="Revision">
    <w:name w:val="Revision"/>
    <w:hidden/>
    <w:uiPriority w:val="99"/>
    <w:semiHidden/>
    <w:rsid w:val="004778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2142">
      <w:bodyDiv w:val="1"/>
      <w:marLeft w:val="0"/>
      <w:marRight w:val="0"/>
      <w:marTop w:val="0"/>
      <w:marBottom w:val="0"/>
      <w:divBdr>
        <w:top w:val="none" w:sz="0" w:space="0" w:color="auto"/>
        <w:left w:val="none" w:sz="0" w:space="0" w:color="auto"/>
        <w:bottom w:val="none" w:sz="0" w:space="0" w:color="auto"/>
        <w:right w:val="none" w:sz="0" w:space="0" w:color="auto"/>
      </w:divBdr>
      <w:divsChild>
        <w:div w:id="574821414">
          <w:marLeft w:val="0"/>
          <w:marRight w:val="0"/>
          <w:marTop w:val="0"/>
          <w:marBottom w:val="0"/>
          <w:divBdr>
            <w:top w:val="none" w:sz="0" w:space="0" w:color="auto"/>
            <w:left w:val="none" w:sz="0" w:space="0" w:color="auto"/>
            <w:bottom w:val="none" w:sz="0" w:space="0" w:color="auto"/>
            <w:right w:val="none" w:sz="0" w:space="0" w:color="auto"/>
          </w:divBdr>
          <w:divsChild>
            <w:div w:id="19170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28107">
      <w:bodyDiv w:val="1"/>
      <w:marLeft w:val="0"/>
      <w:marRight w:val="0"/>
      <w:marTop w:val="0"/>
      <w:marBottom w:val="0"/>
      <w:divBdr>
        <w:top w:val="none" w:sz="0" w:space="0" w:color="auto"/>
        <w:left w:val="none" w:sz="0" w:space="0" w:color="auto"/>
        <w:bottom w:val="none" w:sz="0" w:space="0" w:color="auto"/>
        <w:right w:val="none" w:sz="0" w:space="0" w:color="auto"/>
      </w:divBdr>
      <w:divsChild>
        <w:div w:id="501552444">
          <w:marLeft w:val="0"/>
          <w:marRight w:val="0"/>
          <w:marTop w:val="0"/>
          <w:marBottom w:val="0"/>
          <w:divBdr>
            <w:top w:val="none" w:sz="0" w:space="0" w:color="auto"/>
            <w:left w:val="none" w:sz="0" w:space="0" w:color="auto"/>
            <w:bottom w:val="none" w:sz="0" w:space="0" w:color="auto"/>
            <w:right w:val="none" w:sz="0" w:space="0" w:color="auto"/>
          </w:divBdr>
          <w:divsChild>
            <w:div w:id="884874816">
              <w:marLeft w:val="0"/>
              <w:marRight w:val="0"/>
              <w:marTop w:val="0"/>
              <w:marBottom w:val="0"/>
              <w:divBdr>
                <w:top w:val="none" w:sz="0" w:space="0" w:color="auto"/>
                <w:left w:val="none" w:sz="0" w:space="0" w:color="auto"/>
                <w:bottom w:val="none" w:sz="0" w:space="0" w:color="auto"/>
                <w:right w:val="none" w:sz="0" w:space="0" w:color="auto"/>
              </w:divBdr>
              <w:divsChild>
                <w:div w:id="96483947">
                  <w:marLeft w:val="0"/>
                  <w:marRight w:val="0"/>
                  <w:marTop w:val="0"/>
                  <w:marBottom w:val="0"/>
                  <w:divBdr>
                    <w:top w:val="none" w:sz="0" w:space="0" w:color="auto"/>
                    <w:left w:val="none" w:sz="0" w:space="0" w:color="auto"/>
                    <w:bottom w:val="none" w:sz="0" w:space="0" w:color="auto"/>
                    <w:right w:val="none" w:sz="0" w:space="0" w:color="auto"/>
                  </w:divBdr>
                  <w:divsChild>
                    <w:div w:id="1599218240">
                      <w:marLeft w:val="0"/>
                      <w:marRight w:val="0"/>
                      <w:marTop w:val="0"/>
                      <w:marBottom w:val="0"/>
                      <w:divBdr>
                        <w:top w:val="none" w:sz="0" w:space="0" w:color="auto"/>
                        <w:left w:val="none" w:sz="0" w:space="0" w:color="auto"/>
                        <w:bottom w:val="none" w:sz="0" w:space="0" w:color="auto"/>
                        <w:right w:val="none" w:sz="0" w:space="0" w:color="auto"/>
                      </w:divBdr>
                      <w:divsChild>
                        <w:div w:id="19619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76464">
      <w:bodyDiv w:val="1"/>
      <w:marLeft w:val="0"/>
      <w:marRight w:val="0"/>
      <w:marTop w:val="0"/>
      <w:marBottom w:val="0"/>
      <w:divBdr>
        <w:top w:val="none" w:sz="0" w:space="0" w:color="auto"/>
        <w:left w:val="none" w:sz="0" w:space="0" w:color="auto"/>
        <w:bottom w:val="none" w:sz="0" w:space="0" w:color="auto"/>
        <w:right w:val="none" w:sz="0" w:space="0" w:color="auto"/>
      </w:divBdr>
    </w:div>
    <w:div w:id="860359993">
      <w:bodyDiv w:val="1"/>
      <w:marLeft w:val="0"/>
      <w:marRight w:val="0"/>
      <w:marTop w:val="0"/>
      <w:marBottom w:val="0"/>
      <w:divBdr>
        <w:top w:val="none" w:sz="0" w:space="0" w:color="auto"/>
        <w:left w:val="none" w:sz="0" w:space="0" w:color="auto"/>
        <w:bottom w:val="none" w:sz="0" w:space="0" w:color="auto"/>
        <w:right w:val="none" w:sz="0" w:space="0" w:color="auto"/>
      </w:divBdr>
    </w:div>
    <w:div w:id="1336224002">
      <w:bodyDiv w:val="1"/>
      <w:marLeft w:val="0"/>
      <w:marRight w:val="0"/>
      <w:marTop w:val="0"/>
      <w:marBottom w:val="0"/>
      <w:divBdr>
        <w:top w:val="none" w:sz="0" w:space="0" w:color="auto"/>
        <w:left w:val="none" w:sz="0" w:space="0" w:color="auto"/>
        <w:bottom w:val="none" w:sz="0" w:space="0" w:color="auto"/>
        <w:right w:val="none" w:sz="0" w:space="0" w:color="auto"/>
      </w:divBdr>
    </w:div>
    <w:div w:id="1512142954">
      <w:bodyDiv w:val="1"/>
      <w:marLeft w:val="0"/>
      <w:marRight w:val="0"/>
      <w:marTop w:val="0"/>
      <w:marBottom w:val="0"/>
      <w:divBdr>
        <w:top w:val="none" w:sz="0" w:space="0" w:color="auto"/>
        <w:left w:val="none" w:sz="0" w:space="0" w:color="auto"/>
        <w:bottom w:val="none" w:sz="0" w:space="0" w:color="auto"/>
        <w:right w:val="none" w:sz="0" w:space="0" w:color="auto"/>
      </w:divBdr>
    </w:div>
    <w:div w:id="1573391523">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7">
          <w:marLeft w:val="0"/>
          <w:marRight w:val="0"/>
          <w:marTop w:val="0"/>
          <w:marBottom w:val="0"/>
          <w:divBdr>
            <w:top w:val="none" w:sz="0" w:space="0" w:color="auto"/>
            <w:left w:val="none" w:sz="0" w:space="0" w:color="auto"/>
            <w:bottom w:val="none" w:sz="0" w:space="0" w:color="auto"/>
            <w:right w:val="none" w:sz="0" w:space="0" w:color="auto"/>
          </w:divBdr>
          <w:divsChild>
            <w:div w:id="871040183">
              <w:marLeft w:val="0"/>
              <w:marRight w:val="0"/>
              <w:marTop w:val="0"/>
              <w:marBottom w:val="0"/>
              <w:divBdr>
                <w:top w:val="none" w:sz="0" w:space="0" w:color="auto"/>
                <w:left w:val="none" w:sz="0" w:space="0" w:color="auto"/>
                <w:bottom w:val="none" w:sz="0" w:space="0" w:color="auto"/>
                <w:right w:val="none" w:sz="0" w:space="0" w:color="auto"/>
              </w:divBdr>
              <w:divsChild>
                <w:div w:id="534777955">
                  <w:marLeft w:val="0"/>
                  <w:marRight w:val="0"/>
                  <w:marTop w:val="0"/>
                  <w:marBottom w:val="0"/>
                  <w:divBdr>
                    <w:top w:val="none" w:sz="0" w:space="0" w:color="auto"/>
                    <w:left w:val="none" w:sz="0" w:space="0" w:color="auto"/>
                    <w:bottom w:val="none" w:sz="0" w:space="0" w:color="auto"/>
                    <w:right w:val="none" w:sz="0" w:space="0" w:color="auto"/>
                  </w:divBdr>
                  <w:divsChild>
                    <w:div w:id="1701587531">
                      <w:marLeft w:val="0"/>
                      <w:marRight w:val="0"/>
                      <w:marTop w:val="0"/>
                      <w:marBottom w:val="0"/>
                      <w:divBdr>
                        <w:top w:val="none" w:sz="0" w:space="0" w:color="auto"/>
                        <w:left w:val="none" w:sz="0" w:space="0" w:color="auto"/>
                        <w:bottom w:val="none" w:sz="0" w:space="0" w:color="auto"/>
                        <w:right w:val="none" w:sz="0" w:space="0" w:color="auto"/>
                      </w:divBdr>
                      <w:divsChild>
                        <w:div w:id="16540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5043">
      <w:bodyDiv w:val="1"/>
      <w:marLeft w:val="0"/>
      <w:marRight w:val="0"/>
      <w:marTop w:val="0"/>
      <w:marBottom w:val="0"/>
      <w:divBdr>
        <w:top w:val="none" w:sz="0" w:space="0" w:color="auto"/>
        <w:left w:val="none" w:sz="0" w:space="0" w:color="auto"/>
        <w:bottom w:val="none" w:sz="0" w:space="0" w:color="auto"/>
        <w:right w:val="none" w:sz="0" w:space="0" w:color="auto"/>
      </w:divBdr>
      <w:divsChild>
        <w:div w:id="298538456">
          <w:marLeft w:val="0"/>
          <w:marRight w:val="0"/>
          <w:marTop w:val="0"/>
          <w:marBottom w:val="0"/>
          <w:divBdr>
            <w:top w:val="none" w:sz="0" w:space="0" w:color="auto"/>
            <w:left w:val="none" w:sz="0" w:space="0" w:color="auto"/>
            <w:bottom w:val="none" w:sz="0" w:space="0" w:color="auto"/>
            <w:right w:val="none" w:sz="0" w:space="0" w:color="auto"/>
          </w:divBdr>
        </w:div>
        <w:div w:id="1740709125">
          <w:marLeft w:val="0"/>
          <w:marRight w:val="0"/>
          <w:marTop w:val="0"/>
          <w:marBottom w:val="0"/>
          <w:divBdr>
            <w:top w:val="none" w:sz="0" w:space="0" w:color="auto"/>
            <w:left w:val="none" w:sz="0" w:space="0" w:color="auto"/>
            <w:bottom w:val="none" w:sz="0" w:space="0" w:color="auto"/>
            <w:right w:val="none" w:sz="0" w:space="0" w:color="auto"/>
          </w:divBdr>
        </w:div>
      </w:divsChild>
    </w:div>
    <w:div w:id="1865945887">
      <w:bodyDiv w:val="1"/>
      <w:marLeft w:val="0"/>
      <w:marRight w:val="0"/>
      <w:marTop w:val="0"/>
      <w:marBottom w:val="0"/>
      <w:divBdr>
        <w:top w:val="none" w:sz="0" w:space="0" w:color="auto"/>
        <w:left w:val="none" w:sz="0" w:space="0" w:color="auto"/>
        <w:bottom w:val="none" w:sz="0" w:space="0" w:color="auto"/>
        <w:right w:val="none" w:sz="0" w:space="0" w:color="auto"/>
      </w:divBdr>
    </w:div>
    <w:div w:id="1907522242">
      <w:bodyDiv w:val="1"/>
      <w:marLeft w:val="0"/>
      <w:marRight w:val="0"/>
      <w:marTop w:val="0"/>
      <w:marBottom w:val="0"/>
      <w:divBdr>
        <w:top w:val="none" w:sz="0" w:space="0" w:color="auto"/>
        <w:left w:val="none" w:sz="0" w:space="0" w:color="auto"/>
        <w:bottom w:val="none" w:sz="0" w:space="0" w:color="auto"/>
        <w:right w:val="none" w:sz="0" w:space="0" w:color="auto"/>
      </w:divBdr>
      <w:divsChild>
        <w:div w:id="1991324870">
          <w:marLeft w:val="0"/>
          <w:marRight w:val="0"/>
          <w:marTop w:val="0"/>
          <w:marBottom w:val="0"/>
          <w:divBdr>
            <w:top w:val="none" w:sz="0" w:space="0" w:color="auto"/>
            <w:left w:val="none" w:sz="0" w:space="0" w:color="auto"/>
            <w:bottom w:val="none" w:sz="0" w:space="0" w:color="auto"/>
            <w:right w:val="none" w:sz="0" w:space="0" w:color="auto"/>
          </w:divBdr>
        </w:div>
        <w:div w:id="34625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405"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ng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ng106" TargetMode="External"/><Relationship Id="rId10" Type="http://schemas.openxmlformats.org/officeDocument/2006/relationships/hyperlink" Target="https://www.nice.org.uk/guidance/ng106" TargetMode="External"/><Relationship Id="rId4" Type="http://schemas.openxmlformats.org/officeDocument/2006/relationships/settings" Target="settings.xml"/><Relationship Id="rId9" Type="http://schemas.openxmlformats.org/officeDocument/2006/relationships/hyperlink" Target="https://www.nice.org.uk/guidance/ng106" TargetMode="External"/><Relationship Id="rId14" Type="http://schemas.openxmlformats.org/officeDocument/2006/relationships/hyperlink" Target="https://www.nice.org.uk/guidance/ng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5202</Words>
  <Characters>32169</Characters>
  <Application>Microsoft Office Word</Application>
  <DocSecurity>0</DocSecurity>
  <Lines>1048</Lines>
  <Paragraphs>190</Paragraphs>
  <ScaleCrop>false</ScaleCrop>
  <Company/>
  <LinksUpToDate>false</LinksUpToDate>
  <CharactersWithSpaces>37243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2025-10-29T11:05:00Z</dcterms:created>
  <dcterms:modified xsi:type="dcterms:W3CDTF">2025-10-29T11:05:00Z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2025-10-29T11:05:14Z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70a3decb-fae9-4f3e-8ef8-e24db0b74848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