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1392" w14:textId="77777777" w:rsidR="003B0466" w:rsidRDefault="003B0466" w:rsidP="00363276">
      <w:pPr>
        <w:pStyle w:val="Title"/>
        <w:rPr>
          <w:sz w:val="40"/>
          <w:szCs w:val="40"/>
        </w:rPr>
      </w:pPr>
      <w:r>
        <w:rPr>
          <w:sz w:val="40"/>
          <w:szCs w:val="40"/>
        </w:rPr>
        <w:t xml:space="preserve">Indicator development programme </w:t>
      </w:r>
    </w:p>
    <w:p w14:paraId="79BB84A7"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29DCF8D9" w14:textId="11745EAD" w:rsidR="009B0E59" w:rsidRPr="009B0E59" w:rsidRDefault="009B0E59" w:rsidP="00192685">
      <w:pPr>
        <w:pStyle w:val="Heading1"/>
        <w:rPr>
          <w:lang w:eastAsia="en-GB"/>
        </w:rPr>
      </w:pPr>
      <w:r w:rsidRPr="009B0E59">
        <w:rPr>
          <w:lang w:eastAsia="en-GB"/>
        </w:rPr>
        <w:t xml:space="preserve">Indicator </w:t>
      </w:r>
      <w:r w:rsidR="00A635DC">
        <w:rPr>
          <w:lang w:eastAsia="en-GB"/>
        </w:rPr>
        <w:t>IND317</w:t>
      </w:r>
    </w:p>
    <w:p w14:paraId="19B71F10" w14:textId="77777777" w:rsidR="00A635DC" w:rsidRDefault="00A635DC" w:rsidP="003E7F7F">
      <w:pPr>
        <w:pStyle w:val="Paragraph"/>
      </w:pPr>
      <w:r>
        <w:t xml:space="preserve">The percentage of patients with a current diagnosis of heart failure with reduced ejection fraction, who are currently treated with: </w:t>
      </w:r>
    </w:p>
    <w:p w14:paraId="212F770A" w14:textId="77777777" w:rsidR="00A635DC" w:rsidRDefault="00A635DC" w:rsidP="003E7F7F">
      <w:pPr>
        <w:pStyle w:val="Bullets"/>
        <w:numPr>
          <w:ilvl w:val="1"/>
          <w:numId w:val="1"/>
        </w:numPr>
        <w:tabs>
          <w:tab w:val="left" w:pos="993"/>
        </w:tabs>
        <w:spacing w:line="360" w:lineRule="auto"/>
        <w:ind w:left="1134" w:hanging="454"/>
      </w:pPr>
      <w:r>
        <w:t>an angiotensin-converting enzyme inhibitor or angiotensin receptor-neprilysin inhibitor or angiotensin II receptor blocker</w:t>
      </w:r>
    </w:p>
    <w:p w14:paraId="34F68663" w14:textId="77777777" w:rsidR="00A635DC" w:rsidRDefault="00A635DC" w:rsidP="003E7F7F">
      <w:pPr>
        <w:pStyle w:val="Bullets"/>
        <w:numPr>
          <w:ilvl w:val="1"/>
          <w:numId w:val="1"/>
        </w:numPr>
        <w:tabs>
          <w:tab w:val="left" w:pos="993"/>
        </w:tabs>
        <w:spacing w:line="360" w:lineRule="auto"/>
        <w:ind w:left="1134" w:hanging="454"/>
      </w:pPr>
      <w:r>
        <w:t xml:space="preserve">a beta blocker </w:t>
      </w:r>
    </w:p>
    <w:p w14:paraId="708E4FF1" w14:textId="77777777" w:rsidR="00A635DC" w:rsidRDefault="00A635DC" w:rsidP="003E7F7F">
      <w:pPr>
        <w:pStyle w:val="Bullets"/>
        <w:numPr>
          <w:ilvl w:val="1"/>
          <w:numId w:val="1"/>
        </w:numPr>
        <w:tabs>
          <w:tab w:val="left" w:pos="993"/>
        </w:tabs>
        <w:spacing w:line="360" w:lineRule="auto"/>
        <w:ind w:left="1134" w:hanging="454"/>
      </w:pPr>
      <w:r>
        <w:t xml:space="preserve">a mineralocorticoid receptor antagonist </w:t>
      </w:r>
    </w:p>
    <w:p w14:paraId="1E9DB16F" w14:textId="77777777" w:rsidR="00A635DC" w:rsidRDefault="00A635DC" w:rsidP="003E7F7F">
      <w:pPr>
        <w:pStyle w:val="Bullets"/>
        <w:numPr>
          <w:ilvl w:val="1"/>
          <w:numId w:val="1"/>
        </w:numPr>
        <w:tabs>
          <w:tab w:val="left" w:pos="993"/>
        </w:tabs>
        <w:spacing w:line="360" w:lineRule="auto"/>
        <w:ind w:left="1134" w:hanging="454"/>
      </w:pPr>
      <w:r>
        <w:t>a sodium glucose co-transporter-2 inhibitor.</w:t>
      </w:r>
    </w:p>
    <w:p w14:paraId="3F7FFDEB" w14:textId="77777777" w:rsidR="00236060" w:rsidRDefault="00236060" w:rsidP="00192685">
      <w:pPr>
        <w:pStyle w:val="Heading1"/>
      </w:pPr>
      <w:r>
        <w:t xml:space="preserve">Indicator type </w:t>
      </w:r>
    </w:p>
    <w:p w14:paraId="2C3CE47C" w14:textId="77777777" w:rsidR="00236060" w:rsidRDefault="00236060" w:rsidP="00236060">
      <w:pPr>
        <w:pStyle w:val="Paragraph"/>
      </w:pPr>
      <w:r w:rsidRPr="00A635DC">
        <w:t>General practice indicator suitable for use in the Quality and Outcomes Framework.</w:t>
      </w:r>
    </w:p>
    <w:p w14:paraId="5CE773DA"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219FAABB" w14:textId="77777777" w:rsidTr="002338EB">
        <w:tc>
          <w:tcPr>
            <w:tcW w:w="5949" w:type="dxa"/>
          </w:tcPr>
          <w:p w14:paraId="365455C7" w14:textId="77777777"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5C6B7621"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25CE3854" w14:textId="77777777" w:rsidTr="002338EB">
        <w:tc>
          <w:tcPr>
            <w:tcW w:w="5949" w:type="dxa"/>
          </w:tcPr>
          <w:p w14:paraId="6DF377C6" w14:textId="74A26B24" w:rsidR="002338EB" w:rsidRDefault="002E3A67" w:rsidP="00AA29AF">
            <w:pPr>
              <w:pStyle w:val="Paragraph"/>
              <w:spacing w:line="240" w:lineRule="auto"/>
              <w:rPr>
                <w:sz w:val="22"/>
                <w:szCs w:val="22"/>
              </w:rPr>
            </w:pPr>
            <w:r w:rsidRPr="002E3A67">
              <w:rPr>
                <w:sz w:val="22"/>
                <w:szCs w:val="22"/>
              </w:rPr>
              <w:t xml:space="preserve">The </w:t>
            </w:r>
            <w:hyperlink r:id="rId7" w:history="1">
              <w:r w:rsidR="00290785">
                <w:rPr>
                  <w:rStyle w:val="Hyperlink"/>
                  <w:sz w:val="22"/>
                  <w:szCs w:val="22"/>
                </w:rPr>
                <w:t>10 year health plan for England</w:t>
              </w:r>
            </w:hyperlink>
            <w:r w:rsidRPr="002E3A67">
              <w:rPr>
                <w:sz w:val="22"/>
                <w:szCs w:val="22"/>
              </w:rPr>
              <w:t xml:space="preserve"> identifies cardiovascular disease (CVD</w:t>
            </w:r>
            <w:r w:rsidR="00290785">
              <w:rPr>
                <w:sz w:val="22"/>
                <w:szCs w:val="22"/>
              </w:rPr>
              <w:t>)</w:t>
            </w:r>
            <w:r w:rsidRPr="002E3A67">
              <w:rPr>
                <w:sz w:val="22"/>
                <w:szCs w:val="22"/>
              </w:rPr>
              <w:t>as a key priority.</w:t>
            </w:r>
          </w:p>
          <w:p w14:paraId="4C48EF2C" w14:textId="37416A72" w:rsidR="009F5B57" w:rsidRPr="002A1075" w:rsidRDefault="009F5B57" w:rsidP="00AA29AF">
            <w:pPr>
              <w:pStyle w:val="Paragraph"/>
              <w:spacing w:line="240" w:lineRule="auto"/>
              <w:rPr>
                <w:sz w:val="22"/>
                <w:szCs w:val="22"/>
              </w:rPr>
            </w:pPr>
          </w:p>
        </w:tc>
        <w:tc>
          <w:tcPr>
            <w:tcW w:w="3118" w:type="dxa"/>
          </w:tcPr>
          <w:p w14:paraId="1E83DFCE" w14:textId="77777777" w:rsidR="002338EB" w:rsidRPr="002E3A67" w:rsidRDefault="002338EB" w:rsidP="002338EB">
            <w:pPr>
              <w:spacing w:before="120" w:after="120"/>
              <w:rPr>
                <w:rFonts w:ascii="Arial" w:hAnsi="Arial" w:cs="Arial"/>
                <w:color w:val="000000"/>
                <w:kern w:val="24"/>
                <w:sz w:val="22"/>
                <w:szCs w:val="22"/>
                <w:lang w:val="en-US"/>
              </w:rPr>
            </w:pPr>
            <w:r w:rsidRPr="002E3A67">
              <w:rPr>
                <w:rFonts w:ascii="Arial" w:hAnsi="Arial" w:cs="Arial"/>
                <w:color w:val="000000"/>
                <w:kern w:val="24"/>
                <w:sz w:val="22"/>
                <w:szCs w:val="22"/>
                <w:lang w:val="en-US"/>
              </w:rPr>
              <w:t>The indicator reflects a specific priority area identified by NHS England.</w:t>
            </w:r>
          </w:p>
          <w:p w14:paraId="442DA2E0" w14:textId="77777777" w:rsidR="002338EB" w:rsidRPr="002338EB" w:rsidRDefault="002338EB" w:rsidP="002338EB">
            <w:pPr>
              <w:pStyle w:val="Paragraph"/>
              <w:spacing w:before="120" w:after="120" w:line="240" w:lineRule="auto"/>
              <w:rPr>
                <w:highlight w:val="lightGray"/>
              </w:rPr>
            </w:pPr>
          </w:p>
        </w:tc>
      </w:tr>
      <w:tr w:rsidR="00735337" w14:paraId="7E691A24" w14:textId="77777777" w:rsidTr="002338EB">
        <w:tc>
          <w:tcPr>
            <w:tcW w:w="5949" w:type="dxa"/>
          </w:tcPr>
          <w:p w14:paraId="10B66D14" w14:textId="77777777" w:rsidR="009F5B57" w:rsidRDefault="008C67EA" w:rsidP="00AA29AF">
            <w:pPr>
              <w:pStyle w:val="TableText1"/>
              <w:spacing w:before="240" w:after="240"/>
            </w:pPr>
            <w:r>
              <w:t>U</w:t>
            </w:r>
            <w:r w:rsidR="002A1075" w:rsidRPr="002A1075">
              <w:t xml:space="preserve">ptake of the four-pillar therapy for </w:t>
            </w:r>
            <w:r w:rsidR="00175050" w:rsidRPr="00175050">
              <w:t>heart failure with reduced ejection fraction</w:t>
            </w:r>
            <w:r w:rsidR="00FA6F41">
              <w:t xml:space="preserve"> (</w:t>
            </w:r>
            <w:proofErr w:type="spellStart"/>
            <w:r w:rsidR="00FA6F41">
              <w:t>HFrEF</w:t>
            </w:r>
            <w:proofErr w:type="spellEnd"/>
            <w:r w:rsidR="00FA6F41">
              <w:t>)</w:t>
            </w:r>
            <w:r w:rsidR="00175050" w:rsidRPr="00175050">
              <w:t xml:space="preserve"> </w:t>
            </w:r>
            <w:r w:rsidR="002A1075" w:rsidRPr="002A1075">
              <w:t>in UK practice remains low</w:t>
            </w:r>
            <w:r>
              <w:t xml:space="preserve"> (</w:t>
            </w:r>
            <w:hyperlink r:id="rId8" w:history="1">
              <w:r w:rsidRPr="008C67EA">
                <w:rPr>
                  <w:rStyle w:val="Hyperlink"/>
                </w:rPr>
                <w:t>Maclean et al, 2025</w:t>
              </w:r>
            </w:hyperlink>
            <w:r>
              <w:t xml:space="preserve">, </w:t>
            </w:r>
            <w:hyperlink r:id="rId9" w:history="1">
              <w:r w:rsidRPr="008C67EA">
                <w:rPr>
                  <w:rStyle w:val="Hyperlink"/>
                </w:rPr>
                <w:t>Murray-Thomas et al, 2025</w:t>
              </w:r>
            </w:hyperlink>
            <w:r>
              <w:t xml:space="preserve">). </w:t>
            </w:r>
            <w:r w:rsidR="00175050">
              <w:t>Ejection fraction category recording is low</w:t>
            </w:r>
            <w:r w:rsidRPr="002A1075">
              <w:t xml:space="preserve"> and fewer than half </w:t>
            </w:r>
            <w:r w:rsidR="00175050">
              <w:t xml:space="preserve">of those with </w:t>
            </w:r>
            <w:proofErr w:type="spellStart"/>
            <w:r w:rsidR="00175050">
              <w:t>HFrEF</w:t>
            </w:r>
            <w:proofErr w:type="spellEnd"/>
            <w:r w:rsidR="00175050">
              <w:t xml:space="preserve"> </w:t>
            </w:r>
            <w:r w:rsidRPr="002A1075">
              <w:t>receive all four recommended medications</w:t>
            </w:r>
            <w:r>
              <w:t xml:space="preserve"> within a timely window (</w:t>
            </w:r>
            <w:hyperlink r:id="rId10" w:history="1">
              <w:r w:rsidRPr="008C67EA">
                <w:rPr>
                  <w:rStyle w:val="Hyperlink"/>
                </w:rPr>
                <w:t>Schwann et al, 2022</w:t>
              </w:r>
            </w:hyperlink>
            <w:r>
              <w:t>)</w:t>
            </w:r>
            <w:r w:rsidR="002A1075" w:rsidRPr="002A1075">
              <w:t>.</w:t>
            </w:r>
          </w:p>
          <w:p w14:paraId="2256AAE0" w14:textId="1D34E15D" w:rsidR="00735337" w:rsidRPr="008F77F5" w:rsidRDefault="002A1075" w:rsidP="00AA29AF">
            <w:pPr>
              <w:pStyle w:val="TableText1"/>
              <w:spacing w:before="240" w:after="240"/>
            </w:pPr>
            <w:r w:rsidRPr="002A1075">
              <w:t xml:space="preserve"> </w:t>
            </w:r>
          </w:p>
        </w:tc>
        <w:tc>
          <w:tcPr>
            <w:tcW w:w="3118" w:type="dxa"/>
          </w:tcPr>
          <w:p w14:paraId="241CC2C7" w14:textId="77777777" w:rsidR="00735337" w:rsidRPr="002338EB" w:rsidRDefault="00735337" w:rsidP="00735337">
            <w:pPr>
              <w:pStyle w:val="Paragraph"/>
              <w:spacing w:before="120" w:after="120" w:line="240" w:lineRule="auto"/>
              <w:rPr>
                <w:highlight w:val="lightGray"/>
              </w:rPr>
            </w:pPr>
            <w:r w:rsidRPr="00FA6F41">
              <w:rPr>
                <w:rFonts w:cs="Arial"/>
                <w:color w:val="000000"/>
                <w:kern w:val="24"/>
                <w:sz w:val="22"/>
                <w:szCs w:val="22"/>
                <w:lang w:val="en-US"/>
              </w:rPr>
              <w:t>The indicator addresses under-treatment.</w:t>
            </w:r>
          </w:p>
        </w:tc>
      </w:tr>
      <w:tr w:rsidR="00735337" w14:paraId="7B06F796" w14:textId="77777777" w:rsidTr="002338EB">
        <w:tc>
          <w:tcPr>
            <w:tcW w:w="5949" w:type="dxa"/>
          </w:tcPr>
          <w:p w14:paraId="641D53C8" w14:textId="77777777" w:rsidR="00735337" w:rsidRDefault="00AA29AF" w:rsidP="00735337">
            <w:pPr>
              <w:spacing w:before="120" w:after="120"/>
              <w:rPr>
                <w:rFonts w:ascii="Arial" w:hAnsi="Arial" w:cs="Arial"/>
                <w:sz w:val="22"/>
                <w:szCs w:val="22"/>
              </w:rPr>
            </w:pPr>
            <w:r w:rsidRPr="00AA29AF">
              <w:rPr>
                <w:rFonts w:ascii="Arial" w:hAnsi="Arial" w:cs="Arial"/>
                <w:sz w:val="22"/>
                <w:szCs w:val="22"/>
              </w:rPr>
              <w:t xml:space="preserve">The updated NICE guideline for chronic heart failure (NG106) promotes the four-pillar medication approach (ACE inhibitors, beta-blockers, SGLT2 inhibitors, and MRAs) as first-line treatment for </w:t>
            </w:r>
            <w:proofErr w:type="spellStart"/>
            <w:r w:rsidRPr="00AA29AF">
              <w:rPr>
                <w:rFonts w:ascii="Arial" w:hAnsi="Arial" w:cs="Arial"/>
                <w:sz w:val="22"/>
                <w:szCs w:val="22"/>
              </w:rPr>
              <w:t>HFrEF</w:t>
            </w:r>
            <w:proofErr w:type="spellEnd"/>
            <w:r w:rsidRPr="00AA29AF">
              <w:rPr>
                <w:rFonts w:ascii="Arial" w:hAnsi="Arial" w:cs="Arial"/>
                <w:sz w:val="22"/>
                <w:szCs w:val="22"/>
              </w:rPr>
              <w:t>, with the aim to improve treatment uptake and reduce cardiovascular-related mortality and hospital admissions.</w:t>
            </w:r>
          </w:p>
          <w:p w14:paraId="6A5F2990" w14:textId="6FED347D" w:rsidR="009F5B57" w:rsidRPr="00AB6032" w:rsidRDefault="009F5B57" w:rsidP="00735337">
            <w:pPr>
              <w:spacing w:before="120" w:after="120"/>
              <w:rPr>
                <w:rFonts w:ascii="Arial" w:hAnsi="Arial" w:cs="Arial"/>
                <w:sz w:val="22"/>
                <w:szCs w:val="22"/>
                <w:highlight w:val="cyan"/>
              </w:rPr>
            </w:pPr>
          </w:p>
        </w:tc>
        <w:tc>
          <w:tcPr>
            <w:tcW w:w="3118" w:type="dxa"/>
          </w:tcPr>
          <w:p w14:paraId="5FCA5732" w14:textId="77777777" w:rsidR="00735337" w:rsidRPr="00AA29AF" w:rsidRDefault="00735337" w:rsidP="00735337">
            <w:pPr>
              <w:spacing w:before="120" w:after="120"/>
              <w:rPr>
                <w:rFonts w:ascii="Arial" w:hAnsi="Arial" w:cs="Arial"/>
                <w:color w:val="000000"/>
                <w:kern w:val="24"/>
                <w:sz w:val="22"/>
                <w:szCs w:val="22"/>
                <w:lang w:val="en-US"/>
              </w:rPr>
            </w:pPr>
            <w:r w:rsidRPr="00AA29AF">
              <w:rPr>
                <w:rFonts w:ascii="Arial" w:hAnsi="Arial" w:cs="Arial"/>
                <w:color w:val="000000"/>
                <w:kern w:val="24"/>
                <w:sz w:val="22"/>
                <w:szCs w:val="22"/>
                <w:lang w:val="en-US"/>
              </w:rPr>
              <w:t>The indicator will lead to a meaningful improvement in patient outcomes.</w:t>
            </w:r>
          </w:p>
          <w:p w14:paraId="708009DB"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55553E63" w14:textId="77777777" w:rsidR="002338EB" w:rsidRDefault="002338EB" w:rsidP="002338EB">
      <w:pPr>
        <w:pStyle w:val="Heading3"/>
      </w:pPr>
    </w:p>
    <w:p w14:paraId="42473069"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56EDAA06" w14:textId="77777777" w:rsidTr="001C517D">
        <w:tc>
          <w:tcPr>
            <w:tcW w:w="5949" w:type="dxa"/>
          </w:tcPr>
          <w:p w14:paraId="4018FAD2"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195B197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3B986068" w14:textId="77777777" w:rsidTr="001C517D">
        <w:tc>
          <w:tcPr>
            <w:tcW w:w="5949" w:type="dxa"/>
          </w:tcPr>
          <w:p w14:paraId="0543B680" w14:textId="77777777" w:rsidR="002338EB" w:rsidRDefault="00A7377D" w:rsidP="00A7377D">
            <w:pPr>
              <w:pStyle w:val="TableText1"/>
            </w:pPr>
            <w:hyperlink r:id="rId11" w:history="1">
              <w:r w:rsidRPr="00A7377D">
                <w:rPr>
                  <w:rStyle w:val="Hyperlink"/>
                </w:rPr>
                <w:t>Chronic heart failure in adults: diagnosis and management. NICE guideline NG106</w:t>
              </w:r>
            </w:hyperlink>
            <w:r w:rsidRPr="00A7377D">
              <w:t xml:space="preserve"> (2025) recommendations 1.4.1, 1.4.2, and 1.4.4. </w:t>
            </w:r>
          </w:p>
          <w:p w14:paraId="7EAE9E63" w14:textId="04D6E128" w:rsidR="009F5B57" w:rsidRPr="00A7377D" w:rsidRDefault="009F5B57" w:rsidP="00A7377D">
            <w:pPr>
              <w:pStyle w:val="TableText1"/>
              <w:rPr>
                <w:b/>
                <w:bCs/>
                <w:highlight w:val="cyan"/>
              </w:rPr>
            </w:pPr>
          </w:p>
        </w:tc>
        <w:tc>
          <w:tcPr>
            <w:tcW w:w="3118" w:type="dxa"/>
          </w:tcPr>
          <w:p w14:paraId="4BFCC82E" w14:textId="02637551" w:rsidR="002338EB" w:rsidRPr="00A7377D" w:rsidRDefault="002338EB" w:rsidP="00A7377D">
            <w:pPr>
              <w:spacing w:before="120" w:after="120"/>
              <w:rPr>
                <w:rFonts w:ascii="Arial" w:hAnsi="Arial" w:cs="Arial"/>
                <w:color w:val="000000"/>
                <w:kern w:val="24"/>
                <w:sz w:val="22"/>
                <w:szCs w:val="22"/>
                <w:lang w:val="en-US"/>
              </w:rPr>
            </w:pPr>
            <w:r w:rsidRPr="00A7377D">
              <w:rPr>
                <w:rFonts w:ascii="Arial" w:hAnsi="Arial" w:cs="Arial"/>
                <w:color w:val="000000"/>
                <w:kern w:val="24"/>
                <w:sz w:val="22"/>
                <w:szCs w:val="22"/>
                <w:lang w:val="en-US"/>
              </w:rPr>
              <w:t>The indicator is derived from a high-quality evidence base.</w:t>
            </w:r>
          </w:p>
        </w:tc>
      </w:tr>
    </w:tbl>
    <w:p w14:paraId="5FB74B7F" w14:textId="77777777" w:rsidR="002338EB" w:rsidRDefault="002338EB" w:rsidP="002338EB">
      <w:pPr>
        <w:pStyle w:val="Paragraph"/>
      </w:pPr>
    </w:p>
    <w:p w14:paraId="15D83F8D" w14:textId="77777777"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44D70336" w14:textId="77777777" w:rsidTr="001C517D">
        <w:tc>
          <w:tcPr>
            <w:tcW w:w="5949" w:type="dxa"/>
          </w:tcPr>
          <w:p w14:paraId="240AB3BB"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99DC68E"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612440E9" w14:textId="77777777" w:rsidTr="001C517D">
        <w:tc>
          <w:tcPr>
            <w:tcW w:w="5949" w:type="dxa"/>
          </w:tcPr>
          <w:p w14:paraId="1C2BD8DB" w14:textId="77777777" w:rsidR="00282A47" w:rsidRPr="00282A47" w:rsidRDefault="00282A47" w:rsidP="00282A47">
            <w:pPr>
              <w:spacing w:before="120" w:after="120"/>
              <w:rPr>
                <w:rFonts w:ascii="Arial" w:hAnsi="Arial" w:cs="Arial"/>
                <w:color w:val="000000"/>
                <w:kern w:val="24"/>
                <w:sz w:val="22"/>
                <w:szCs w:val="22"/>
                <w:lang w:eastAsia="en-GB"/>
              </w:rPr>
            </w:pPr>
            <w:r w:rsidRPr="00282A47">
              <w:rPr>
                <w:rFonts w:ascii="Arial" w:hAnsi="Arial" w:cs="Arial"/>
                <w:color w:val="000000"/>
                <w:kern w:val="24"/>
                <w:sz w:val="22"/>
                <w:szCs w:val="22"/>
                <w:lang w:eastAsia="en-GB"/>
              </w:rPr>
              <w:t>Numerator: The number of patients in the denominator who are currently treated with:</w:t>
            </w:r>
          </w:p>
          <w:p w14:paraId="592B008E" w14:textId="77777777" w:rsidR="00282A47" w:rsidRPr="00282A47" w:rsidRDefault="00282A47" w:rsidP="00282A47">
            <w:pPr>
              <w:numPr>
                <w:ilvl w:val="0"/>
                <w:numId w:val="41"/>
              </w:numPr>
              <w:spacing w:before="120" w:after="120"/>
              <w:rPr>
                <w:rFonts w:ascii="Arial" w:hAnsi="Arial" w:cs="Arial"/>
                <w:color w:val="000000"/>
                <w:kern w:val="24"/>
                <w:sz w:val="22"/>
                <w:szCs w:val="22"/>
                <w:lang w:eastAsia="en-GB"/>
              </w:rPr>
            </w:pPr>
            <w:r w:rsidRPr="00282A47">
              <w:rPr>
                <w:rFonts w:ascii="Arial" w:hAnsi="Arial" w:cs="Arial"/>
                <w:color w:val="000000"/>
                <w:kern w:val="24"/>
                <w:sz w:val="22"/>
                <w:szCs w:val="22"/>
                <w:lang w:eastAsia="en-GB"/>
              </w:rPr>
              <w:t>an angiotensin-converting enzyme inhibitor or angiotensin receptor-neprilysin inhibitor or angiotensin II receptor blocker</w:t>
            </w:r>
          </w:p>
          <w:p w14:paraId="61C12DDC" w14:textId="77777777" w:rsidR="00282A47" w:rsidRPr="00282A47" w:rsidRDefault="00282A47" w:rsidP="00282A47">
            <w:pPr>
              <w:numPr>
                <w:ilvl w:val="0"/>
                <w:numId w:val="41"/>
              </w:numPr>
              <w:spacing w:before="120" w:after="120"/>
              <w:rPr>
                <w:rFonts w:ascii="Arial" w:hAnsi="Arial" w:cs="Arial"/>
                <w:color w:val="000000"/>
                <w:kern w:val="24"/>
                <w:sz w:val="22"/>
                <w:szCs w:val="22"/>
                <w:lang w:eastAsia="en-GB"/>
              </w:rPr>
            </w:pPr>
            <w:r w:rsidRPr="00282A47">
              <w:rPr>
                <w:rFonts w:ascii="Arial" w:hAnsi="Arial" w:cs="Arial"/>
                <w:color w:val="000000"/>
                <w:kern w:val="24"/>
                <w:sz w:val="22"/>
                <w:szCs w:val="22"/>
                <w:lang w:eastAsia="en-GB"/>
              </w:rPr>
              <w:t xml:space="preserve">a beta blocker </w:t>
            </w:r>
          </w:p>
          <w:p w14:paraId="4B094ECD" w14:textId="77777777" w:rsidR="00282A47" w:rsidRPr="00282A47" w:rsidRDefault="00282A47" w:rsidP="00282A47">
            <w:pPr>
              <w:numPr>
                <w:ilvl w:val="0"/>
                <w:numId w:val="41"/>
              </w:numPr>
              <w:spacing w:before="120" w:after="120"/>
              <w:rPr>
                <w:rFonts w:ascii="Arial" w:hAnsi="Arial" w:cs="Arial"/>
                <w:color w:val="000000"/>
                <w:kern w:val="24"/>
                <w:sz w:val="22"/>
                <w:szCs w:val="22"/>
                <w:lang w:eastAsia="en-GB"/>
              </w:rPr>
            </w:pPr>
            <w:r w:rsidRPr="00282A47">
              <w:rPr>
                <w:rFonts w:ascii="Arial" w:hAnsi="Arial" w:cs="Arial"/>
                <w:color w:val="000000"/>
                <w:kern w:val="24"/>
                <w:sz w:val="22"/>
                <w:szCs w:val="22"/>
                <w:lang w:eastAsia="en-GB"/>
              </w:rPr>
              <w:t xml:space="preserve">a mineralocorticoid receptor antagonist </w:t>
            </w:r>
          </w:p>
          <w:p w14:paraId="6D630C63" w14:textId="743CB2C1" w:rsidR="00282A47" w:rsidRPr="00282A47" w:rsidRDefault="00282A47" w:rsidP="00282A47">
            <w:pPr>
              <w:numPr>
                <w:ilvl w:val="0"/>
                <w:numId w:val="41"/>
              </w:numPr>
              <w:spacing w:before="120" w:after="120"/>
              <w:rPr>
                <w:rFonts w:ascii="Arial" w:hAnsi="Arial" w:cs="Arial"/>
                <w:color w:val="000000"/>
                <w:kern w:val="24"/>
                <w:sz w:val="22"/>
                <w:szCs w:val="22"/>
                <w:lang w:eastAsia="en-GB"/>
              </w:rPr>
            </w:pPr>
            <w:r w:rsidRPr="00282A47">
              <w:rPr>
                <w:rFonts w:ascii="Arial" w:hAnsi="Arial" w:cs="Arial"/>
                <w:color w:val="000000"/>
                <w:kern w:val="24"/>
                <w:sz w:val="22"/>
                <w:szCs w:val="22"/>
                <w:lang w:eastAsia="en-GB"/>
              </w:rPr>
              <w:t>a sodium glucose co-transporter-2 inhibitor.</w:t>
            </w:r>
          </w:p>
          <w:p w14:paraId="0BDF1AF1" w14:textId="77777777" w:rsidR="00282A47" w:rsidRPr="00282A47" w:rsidRDefault="00282A47" w:rsidP="00282A47">
            <w:pPr>
              <w:spacing w:before="120" w:after="120"/>
              <w:rPr>
                <w:rFonts w:ascii="Arial" w:hAnsi="Arial" w:cs="Arial"/>
                <w:color w:val="000000"/>
                <w:kern w:val="24"/>
                <w:sz w:val="22"/>
                <w:szCs w:val="22"/>
                <w:lang w:eastAsia="en-GB"/>
              </w:rPr>
            </w:pPr>
            <w:r w:rsidRPr="00282A47">
              <w:rPr>
                <w:rFonts w:ascii="Arial" w:hAnsi="Arial" w:cs="Arial"/>
                <w:color w:val="000000"/>
                <w:kern w:val="24"/>
                <w:sz w:val="22"/>
                <w:szCs w:val="22"/>
                <w:lang w:eastAsia="en-GB"/>
              </w:rPr>
              <w:t>Denominator: The number of patients with a current diagnosis heart failure with reduced ejection fraction.</w:t>
            </w:r>
          </w:p>
          <w:p w14:paraId="2E3521A2" w14:textId="0F324011" w:rsidR="00282A47" w:rsidRPr="00282A47" w:rsidRDefault="00282A47" w:rsidP="00282A47">
            <w:pPr>
              <w:spacing w:before="120" w:after="120"/>
              <w:rPr>
                <w:rFonts w:ascii="Arial" w:hAnsi="Arial" w:cs="Arial"/>
                <w:color w:val="000000"/>
                <w:kern w:val="24"/>
                <w:sz w:val="22"/>
                <w:szCs w:val="22"/>
              </w:rPr>
            </w:pPr>
            <w:r w:rsidRPr="00282A47">
              <w:rPr>
                <w:rFonts w:ascii="Arial" w:hAnsi="Arial" w:cs="Arial"/>
                <w:color w:val="000000"/>
                <w:kern w:val="24"/>
                <w:sz w:val="22"/>
                <w:szCs w:val="22"/>
              </w:rPr>
              <w:t>Exclusions: None.</w:t>
            </w:r>
          </w:p>
          <w:p w14:paraId="09195576" w14:textId="77777777" w:rsidR="00282A47" w:rsidRPr="00282A47" w:rsidRDefault="00282A47" w:rsidP="00282A47">
            <w:pPr>
              <w:spacing w:before="120" w:after="120"/>
              <w:rPr>
                <w:rFonts w:ascii="Arial" w:hAnsi="Arial" w:cs="Arial"/>
                <w:color w:val="000000"/>
                <w:kern w:val="24"/>
                <w:sz w:val="22"/>
                <w:szCs w:val="22"/>
                <w:lang w:eastAsia="en-GB"/>
              </w:rPr>
            </w:pPr>
            <w:r w:rsidRPr="00282A47">
              <w:rPr>
                <w:rFonts w:ascii="Arial" w:hAnsi="Arial" w:cs="Arial"/>
                <w:color w:val="000000"/>
                <w:kern w:val="24"/>
                <w:sz w:val="22"/>
                <w:szCs w:val="22"/>
                <w:lang w:eastAsia="en-GB"/>
              </w:rPr>
              <w:t>Definition: Heart failure with reduced ejection fraction (</w:t>
            </w:r>
            <w:proofErr w:type="spellStart"/>
            <w:r w:rsidRPr="00282A47">
              <w:rPr>
                <w:rFonts w:ascii="Arial" w:hAnsi="Arial" w:cs="Arial"/>
                <w:color w:val="000000"/>
                <w:kern w:val="24"/>
                <w:sz w:val="22"/>
                <w:szCs w:val="22"/>
                <w:lang w:eastAsia="en-GB"/>
              </w:rPr>
              <w:t>HFrEF</w:t>
            </w:r>
            <w:proofErr w:type="spellEnd"/>
            <w:r w:rsidRPr="00282A47">
              <w:rPr>
                <w:rFonts w:ascii="Arial" w:hAnsi="Arial" w:cs="Arial"/>
                <w:color w:val="000000"/>
                <w:kern w:val="24"/>
                <w:sz w:val="22"/>
                <w:szCs w:val="22"/>
                <w:lang w:eastAsia="en-GB"/>
              </w:rPr>
              <w:t>) is a clinical syndrome characterised by a weakened left ventricle, resulting in an ejection fraction of 40% or less.</w:t>
            </w:r>
          </w:p>
          <w:p w14:paraId="19843934" w14:textId="77777777" w:rsidR="00735337" w:rsidRDefault="00282A47" w:rsidP="00282A47">
            <w:pPr>
              <w:spacing w:before="120" w:after="120"/>
              <w:rPr>
                <w:rFonts w:ascii="Arial" w:hAnsi="Arial" w:cs="Arial"/>
                <w:color w:val="000000"/>
                <w:kern w:val="24"/>
                <w:sz w:val="22"/>
                <w:szCs w:val="22"/>
                <w:lang w:eastAsia="en-GB"/>
              </w:rPr>
            </w:pPr>
            <w:r w:rsidRPr="00282A47">
              <w:rPr>
                <w:rFonts w:ascii="Arial" w:hAnsi="Arial" w:cs="Arial"/>
                <w:color w:val="000000"/>
                <w:kern w:val="24"/>
                <w:sz w:val="22"/>
                <w:szCs w:val="22"/>
                <w:lang w:eastAsia="en-GB"/>
              </w:rPr>
              <w:t>Personalised care adjustments or exception reporting should be considered to account for situations where the patient declines, does not attend or has moderate to severe frailty and treatment is inappropriate.</w:t>
            </w:r>
          </w:p>
          <w:p w14:paraId="22C6C0CA" w14:textId="7DAF1974" w:rsidR="009F5B57" w:rsidRPr="00282A47" w:rsidRDefault="009F5B57" w:rsidP="00282A47">
            <w:pPr>
              <w:spacing w:before="120" w:after="120"/>
              <w:rPr>
                <w:rFonts w:ascii="Arial" w:hAnsi="Arial" w:cs="Arial"/>
                <w:color w:val="000000"/>
                <w:kern w:val="24"/>
                <w:sz w:val="22"/>
                <w:szCs w:val="22"/>
                <w:highlight w:val="cyan"/>
                <w:lang w:eastAsia="en-GB"/>
              </w:rPr>
            </w:pPr>
          </w:p>
        </w:tc>
        <w:tc>
          <w:tcPr>
            <w:tcW w:w="3118" w:type="dxa"/>
          </w:tcPr>
          <w:p w14:paraId="2B11B39C" w14:textId="41707159" w:rsidR="002338EB" w:rsidRPr="00282A47" w:rsidRDefault="002338EB" w:rsidP="00282A47">
            <w:pPr>
              <w:spacing w:before="120" w:after="120"/>
              <w:rPr>
                <w:rFonts w:ascii="Arial" w:hAnsi="Arial" w:cs="Arial"/>
                <w:color w:val="000000"/>
                <w:kern w:val="24"/>
                <w:sz w:val="22"/>
                <w:szCs w:val="22"/>
              </w:rPr>
            </w:pPr>
            <w:r w:rsidRPr="00282A47">
              <w:rPr>
                <w:rFonts w:ascii="Arial" w:hAnsi="Arial" w:cs="Arial"/>
                <w:color w:val="000000"/>
                <w:kern w:val="24"/>
                <w:sz w:val="22"/>
                <w:szCs w:val="22"/>
              </w:rPr>
              <w:t>The indicator has defined components necessary to construct the indicator, including numerator, denominator and exclusions.</w:t>
            </w:r>
          </w:p>
        </w:tc>
      </w:tr>
      <w:tr w:rsidR="002338EB" w14:paraId="662392D7" w14:textId="77777777" w:rsidTr="001C517D">
        <w:tc>
          <w:tcPr>
            <w:tcW w:w="5949" w:type="dxa"/>
          </w:tcPr>
          <w:p w14:paraId="2C4E55FE" w14:textId="253EDA82" w:rsidR="002C1326" w:rsidRDefault="00F3442A" w:rsidP="007F159D">
            <w:pPr>
              <w:pStyle w:val="Paragraph"/>
              <w:spacing w:before="120" w:after="120"/>
              <w:rPr>
                <w:rFonts w:cs="Arial"/>
                <w:color w:val="000000"/>
                <w:kern w:val="24"/>
                <w:sz w:val="22"/>
                <w:szCs w:val="22"/>
              </w:rPr>
            </w:pPr>
            <w:r w:rsidRPr="007F159D">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7D7C12">
              <w:rPr>
                <w:rFonts w:cs="Arial"/>
                <w:color w:val="000000"/>
                <w:kern w:val="24"/>
                <w:sz w:val="22"/>
                <w:szCs w:val="22"/>
              </w:rPr>
              <w:t>0.16</w:t>
            </w:r>
            <w:r w:rsidR="007F159D" w:rsidRPr="007F159D">
              <w:rPr>
                <w:rFonts w:cs="Arial"/>
                <w:color w:val="000000"/>
                <w:kern w:val="24"/>
                <w:sz w:val="22"/>
                <w:szCs w:val="22"/>
              </w:rPr>
              <w:t>% of people in England have a current diagnosis of heart failure with reduced ejection fraction: 16 patients for an average practice with 10,000 patients.</w:t>
            </w:r>
            <w:r w:rsidR="008D3B14">
              <w:rPr>
                <w:rFonts w:cs="Arial"/>
                <w:color w:val="000000"/>
                <w:kern w:val="24"/>
                <w:sz w:val="22"/>
                <w:szCs w:val="22"/>
              </w:rPr>
              <w:t xml:space="preserve"> </w:t>
            </w:r>
            <w:r w:rsidR="008D3B14" w:rsidRPr="008D3B14">
              <w:rPr>
                <w:rFonts w:cs="Arial"/>
                <w:color w:val="000000"/>
                <w:kern w:val="24"/>
                <w:sz w:val="22"/>
                <w:szCs w:val="22"/>
              </w:rPr>
              <w:t xml:space="preserve">CPRD </w:t>
            </w:r>
            <w:proofErr w:type="spellStart"/>
            <w:r w:rsidR="008D3B14" w:rsidRPr="008D3B14">
              <w:rPr>
                <w:rFonts w:cs="Arial"/>
                <w:color w:val="000000"/>
                <w:kern w:val="24"/>
                <w:sz w:val="22"/>
                <w:szCs w:val="22"/>
              </w:rPr>
              <w:t>Aurum</w:t>
            </w:r>
            <w:proofErr w:type="spellEnd"/>
            <w:r w:rsidR="008D3B14" w:rsidRPr="008D3B14">
              <w:rPr>
                <w:rFonts w:cs="Arial"/>
                <w:color w:val="000000"/>
                <w:kern w:val="24"/>
                <w:sz w:val="22"/>
                <w:szCs w:val="22"/>
              </w:rPr>
              <w:t xml:space="preserve"> June 2025 (Version 2025.06.001) [Data set]. Medicines and Healthcare products Regulatory Agency. </w:t>
            </w:r>
            <w:hyperlink r:id="rId12" w:history="1">
              <w:r w:rsidR="008D3B14" w:rsidRPr="00BA4329">
                <w:rPr>
                  <w:rStyle w:val="Hyperlink"/>
                  <w:rFonts w:cs="Arial"/>
                  <w:kern w:val="24"/>
                  <w:sz w:val="22"/>
                  <w:szCs w:val="22"/>
                </w:rPr>
                <w:t>https://doi.org/10.48329/a94w-e055</w:t>
              </w:r>
            </w:hyperlink>
            <w:r w:rsidR="008D3B14">
              <w:rPr>
                <w:rFonts w:cs="Arial"/>
                <w:color w:val="000000"/>
                <w:kern w:val="24"/>
                <w:sz w:val="22"/>
                <w:szCs w:val="22"/>
              </w:rPr>
              <w:t xml:space="preserve"> </w:t>
            </w:r>
          </w:p>
          <w:p w14:paraId="0A22C4B3" w14:textId="727CCE17" w:rsidR="009F5B57" w:rsidRPr="007F159D" w:rsidRDefault="009F5B57" w:rsidP="007F159D">
            <w:pPr>
              <w:pStyle w:val="Paragraph"/>
              <w:spacing w:before="120" w:after="120"/>
              <w:rPr>
                <w:rFonts w:cs="Arial"/>
                <w:color w:val="000000"/>
                <w:kern w:val="24"/>
                <w:sz w:val="22"/>
                <w:szCs w:val="22"/>
              </w:rPr>
            </w:pPr>
          </w:p>
        </w:tc>
        <w:tc>
          <w:tcPr>
            <w:tcW w:w="3118" w:type="dxa"/>
          </w:tcPr>
          <w:p w14:paraId="0CF9B7CD" w14:textId="214567F5" w:rsidR="00FD7BC6" w:rsidRPr="007D7C12" w:rsidRDefault="00FD7BC6" w:rsidP="00FD7BC6">
            <w:pPr>
              <w:pStyle w:val="Paragraph"/>
              <w:spacing w:before="120" w:after="120" w:line="240" w:lineRule="auto"/>
              <w:rPr>
                <w:rFonts w:cs="Arial"/>
                <w:color w:val="000000"/>
                <w:kern w:val="24"/>
                <w:sz w:val="22"/>
                <w:szCs w:val="22"/>
              </w:rPr>
            </w:pPr>
            <w:r w:rsidRPr="007D7C12">
              <w:rPr>
                <w:rFonts w:cs="Arial"/>
                <w:color w:val="000000"/>
                <w:kern w:val="24"/>
                <w:sz w:val="22"/>
                <w:szCs w:val="22"/>
              </w:rPr>
              <w:lastRenderedPageBreak/>
              <w:t>The indicator does outline minimum numbers of patients needed to be confident in the assessment of variation.</w:t>
            </w:r>
          </w:p>
          <w:p w14:paraId="3200DCCE" w14:textId="5FAD5F2D" w:rsidR="000C4A97" w:rsidRPr="007F159D" w:rsidRDefault="00FD7BC6" w:rsidP="00FD7BC6">
            <w:pPr>
              <w:pStyle w:val="Paragraph"/>
              <w:spacing w:before="120" w:after="120" w:line="240" w:lineRule="auto"/>
              <w:rPr>
                <w:rFonts w:cs="Arial"/>
                <w:color w:val="000000"/>
                <w:kern w:val="24"/>
                <w:sz w:val="22"/>
                <w:szCs w:val="22"/>
              </w:rPr>
            </w:pPr>
            <w:r w:rsidRPr="007D7C12">
              <w:rPr>
                <w:rFonts w:cs="Arial"/>
                <w:color w:val="000000"/>
                <w:kern w:val="24"/>
                <w:sz w:val="22"/>
                <w:szCs w:val="22"/>
              </w:rPr>
              <w:t>Available data suggest</w:t>
            </w:r>
            <w:r w:rsidR="007D7C12">
              <w:rPr>
                <w:rFonts w:cs="Arial"/>
                <w:color w:val="000000"/>
                <w:kern w:val="24"/>
                <w:sz w:val="22"/>
                <w:szCs w:val="22"/>
              </w:rPr>
              <w:t>s</w:t>
            </w:r>
            <w:r w:rsidRPr="007D7C12">
              <w:rPr>
                <w:rFonts w:cs="Arial"/>
                <w:color w:val="000000"/>
                <w:kern w:val="24"/>
                <w:sz w:val="22"/>
                <w:szCs w:val="22"/>
              </w:rPr>
              <w:t xml:space="preserve"> that the number of eligible patients per average</w:t>
            </w:r>
            <w:r w:rsidR="007D7C12">
              <w:rPr>
                <w:rFonts w:cs="Arial"/>
                <w:color w:val="000000"/>
                <w:kern w:val="24"/>
                <w:sz w:val="22"/>
                <w:szCs w:val="22"/>
              </w:rPr>
              <w:t xml:space="preserve"> with 10,000 patients </w:t>
            </w:r>
            <w:r w:rsidRPr="007D7C12">
              <w:rPr>
                <w:rFonts w:cs="Arial"/>
                <w:color w:val="000000"/>
                <w:kern w:val="24"/>
                <w:sz w:val="22"/>
                <w:szCs w:val="22"/>
              </w:rPr>
              <w:t xml:space="preserve">would be </w:t>
            </w:r>
            <w:r w:rsidR="007D7C12">
              <w:rPr>
                <w:rFonts w:cs="Arial"/>
                <w:color w:val="000000"/>
                <w:kern w:val="24"/>
                <w:sz w:val="22"/>
                <w:szCs w:val="22"/>
              </w:rPr>
              <w:t>below</w:t>
            </w:r>
            <w:r w:rsidR="007D7C12" w:rsidRPr="007D7C12">
              <w:rPr>
                <w:rFonts w:cs="Arial"/>
                <w:color w:val="000000"/>
                <w:kern w:val="24"/>
                <w:sz w:val="22"/>
                <w:szCs w:val="22"/>
              </w:rPr>
              <w:t xml:space="preserve"> </w:t>
            </w:r>
            <w:r w:rsidRPr="007D7C12">
              <w:rPr>
                <w:rFonts w:cs="Arial"/>
                <w:color w:val="000000"/>
                <w:kern w:val="24"/>
                <w:sz w:val="22"/>
                <w:szCs w:val="22"/>
              </w:rPr>
              <w:t>this number</w:t>
            </w:r>
            <w:r w:rsidR="00D8488F">
              <w:rPr>
                <w:rFonts w:cs="Arial"/>
                <w:color w:val="000000"/>
                <w:kern w:val="24"/>
                <w:sz w:val="22"/>
                <w:szCs w:val="22"/>
              </w:rPr>
              <w:t>,</w:t>
            </w:r>
            <w:r w:rsidR="007D7C12">
              <w:rPr>
                <w:rFonts w:cs="Arial"/>
                <w:color w:val="000000"/>
                <w:kern w:val="24"/>
                <w:sz w:val="22"/>
                <w:szCs w:val="22"/>
              </w:rPr>
              <w:t xml:space="preserve"> but it is expected to increase over time</w:t>
            </w:r>
            <w:r w:rsidRPr="007D7C12">
              <w:rPr>
                <w:rFonts w:cs="Arial"/>
                <w:color w:val="000000"/>
                <w:kern w:val="24"/>
                <w:sz w:val="22"/>
                <w:szCs w:val="22"/>
              </w:rPr>
              <w:t>.</w:t>
            </w:r>
          </w:p>
        </w:tc>
      </w:tr>
    </w:tbl>
    <w:p w14:paraId="7DC5314C" w14:textId="77777777" w:rsidR="002338EB" w:rsidRDefault="002338EB" w:rsidP="002338EB">
      <w:pPr>
        <w:pStyle w:val="Paragraph"/>
      </w:pPr>
    </w:p>
    <w:p w14:paraId="11011FBB" w14:textId="77777777"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1314AB7A" w14:textId="77777777" w:rsidTr="001C517D">
        <w:tc>
          <w:tcPr>
            <w:tcW w:w="5949" w:type="dxa"/>
          </w:tcPr>
          <w:p w14:paraId="732B0ACB"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554A00FC"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5462F3F3" w14:textId="77777777" w:rsidTr="001C517D">
        <w:tc>
          <w:tcPr>
            <w:tcW w:w="5949" w:type="dxa"/>
          </w:tcPr>
          <w:p w14:paraId="60C8FA0C" w14:textId="16170855" w:rsidR="00FB3D9F" w:rsidRPr="00735337" w:rsidRDefault="007D7C12" w:rsidP="00735337">
            <w:pPr>
              <w:pStyle w:val="Paragraph"/>
              <w:spacing w:before="120" w:after="120" w:line="240" w:lineRule="auto"/>
              <w:rPr>
                <w:highlight w:val="lightGray"/>
              </w:rPr>
            </w:pPr>
            <w:r w:rsidRPr="007D7C12">
              <w:rPr>
                <w:rFonts w:cs="Arial"/>
                <w:sz w:val="22"/>
                <w:szCs w:val="22"/>
              </w:rPr>
              <w:t>The required data is available with</w:t>
            </w:r>
            <w:r w:rsidR="00D9223B">
              <w:rPr>
                <w:rFonts w:cs="Arial"/>
                <w:sz w:val="22"/>
                <w:szCs w:val="22"/>
              </w:rPr>
              <w:t>in</w:t>
            </w:r>
            <w:r w:rsidRPr="007D7C12">
              <w:rPr>
                <w:rFonts w:cs="Arial"/>
                <w:sz w:val="22"/>
                <w:szCs w:val="22"/>
              </w:rPr>
              <w:t xml:space="preserve"> general practice electronic medical records. </w:t>
            </w:r>
          </w:p>
        </w:tc>
        <w:tc>
          <w:tcPr>
            <w:tcW w:w="3118" w:type="dxa"/>
          </w:tcPr>
          <w:p w14:paraId="0379CAE6" w14:textId="77777777" w:rsidR="00735337" w:rsidRPr="00FB3D9F" w:rsidRDefault="00735337" w:rsidP="00735337">
            <w:pPr>
              <w:spacing w:before="120" w:after="120"/>
              <w:rPr>
                <w:rFonts w:ascii="Arial" w:hAnsi="Arial" w:cs="Arial"/>
                <w:color w:val="000000"/>
                <w:kern w:val="24"/>
                <w:sz w:val="22"/>
                <w:szCs w:val="22"/>
              </w:rPr>
            </w:pPr>
            <w:r w:rsidRPr="00FB3D9F">
              <w:rPr>
                <w:rFonts w:ascii="Arial" w:hAnsi="Arial" w:cs="Arial"/>
                <w:color w:val="000000"/>
                <w:kern w:val="24"/>
                <w:sz w:val="22"/>
                <w:szCs w:val="22"/>
              </w:rPr>
              <w:t>The indicator is repeatable.</w:t>
            </w:r>
          </w:p>
          <w:p w14:paraId="72698011" w14:textId="77777777" w:rsidR="00735337" w:rsidRPr="00735337" w:rsidRDefault="00735337" w:rsidP="00735337">
            <w:pPr>
              <w:pStyle w:val="Paragraph"/>
              <w:spacing w:before="120" w:after="120" w:line="240" w:lineRule="auto"/>
              <w:rPr>
                <w:highlight w:val="lightGray"/>
              </w:rPr>
            </w:pPr>
          </w:p>
        </w:tc>
      </w:tr>
      <w:tr w:rsidR="00735337" w14:paraId="529CBDD5" w14:textId="77777777" w:rsidTr="001C517D">
        <w:tc>
          <w:tcPr>
            <w:tcW w:w="5949" w:type="dxa"/>
          </w:tcPr>
          <w:p w14:paraId="1833082A" w14:textId="2066E989" w:rsidR="00735337" w:rsidRDefault="007D7C12" w:rsidP="00197059">
            <w:pPr>
              <w:spacing w:before="120" w:after="120"/>
              <w:contextualSpacing/>
              <w:rPr>
                <w:rFonts w:ascii="Arial" w:hAnsi="Arial" w:cs="Arial"/>
                <w:sz w:val="22"/>
                <w:szCs w:val="22"/>
                <w:highlight w:val="lightGray"/>
              </w:rPr>
            </w:pPr>
            <w:r>
              <w:rPr>
                <w:rFonts w:ascii="Arial" w:hAnsi="Arial" w:cs="Arial"/>
                <w:sz w:val="22"/>
                <w:szCs w:val="22"/>
              </w:rPr>
              <w:t>SNOMED codes exist for recording e</w:t>
            </w:r>
            <w:r w:rsidRPr="00197059">
              <w:rPr>
                <w:rFonts w:ascii="Arial" w:hAnsi="Arial" w:cs="Arial"/>
                <w:sz w:val="22"/>
                <w:szCs w:val="22"/>
              </w:rPr>
              <w:t xml:space="preserve">jection fraction </w:t>
            </w:r>
            <w:r>
              <w:rPr>
                <w:rFonts w:ascii="Arial" w:hAnsi="Arial" w:cs="Arial"/>
                <w:sz w:val="22"/>
                <w:szCs w:val="22"/>
              </w:rPr>
              <w:t xml:space="preserve">category however testing in CPRD </w:t>
            </w:r>
            <w:proofErr w:type="spellStart"/>
            <w:r>
              <w:rPr>
                <w:rFonts w:ascii="Arial" w:hAnsi="Arial" w:cs="Arial"/>
                <w:sz w:val="22"/>
                <w:szCs w:val="22"/>
              </w:rPr>
              <w:t>Aurum</w:t>
            </w:r>
            <w:proofErr w:type="spellEnd"/>
            <w:r>
              <w:rPr>
                <w:rFonts w:ascii="Arial" w:hAnsi="Arial" w:cs="Arial"/>
                <w:sz w:val="22"/>
                <w:szCs w:val="22"/>
              </w:rPr>
              <w:t xml:space="preserve"> suggests around 58% of people with heart failure have no ejection fraction category recorded in the</w:t>
            </w:r>
            <w:r w:rsidR="000B1892">
              <w:rPr>
                <w:rFonts w:ascii="Arial" w:hAnsi="Arial" w:cs="Arial"/>
                <w:sz w:val="22"/>
                <w:szCs w:val="22"/>
              </w:rPr>
              <w:t>ir</w:t>
            </w:r>
            <w:r>
              <w:rPr>
                <w:rFonts w:ascii="Arial" w:hAnsi="Arial" w:cs="Arial"/>
                <w:sz w:val="22"/>
                <w:szCs w:val="22"/>
              </w:rPr>
              <w:t xml:space="preserve"> general practice record. </w:t>
            </w:r>
          </w:p>
        </w:tc>
        <w:tc>
          <w:tcPr>
            <w:tcW w:w="3118" w:type="dxa"/>
          </w:tcPr>
          <w:p w14:paraId="78CCFBC9" w14:textId="721DDBF9" w:rsidR="00735337" w:rsidRPr="00197059" w:rsidRDefault="007D7C12" w:rsidP="00735337">
            <w:pPr>
              <w:spacing w:before="120" w:after="120"/>
              <w:rPr>
                <w:rFonts w:ascii="Arial" w:hAnsi="Arial" w:cs="Arial"/>
                <w:color w:val="000000"/>
                <w:kern w:val="24"/>
                <w:sz w:val="22"/>
                <w:szCs w:val="22"/>
              </w:rPr>
            </w:pPr>
            <w:r>
              <w:rPr>
                <w:rFonts w:ascii="Arial" w:hAnsi="Arial" w:cs="Arial"/>
                <w:color w:val="000000"/>
                <w:kern w:val="24"/>
                <w:sz w:val="22"/>
                <w:szCs w:val="22"/>
              </w:rPr>
              <w:t xml:space="preserve">Given under-recording of ejection fraction category it is likely to return fewer patients with reduced ejection fraction than actual </w:t>
            </w:r>
            <w:r w:rsidR="00594C8C">
              <w:rPr>
                <w:rFonts w:ascii="Arial" w:hAnsi="Arial" w:cs="Arial"/>
                <w:color w:val="000000"/>
                <w:kern w:val="24"/>
                <w:sz w:val="22"/>
                <w:szCs w:val="22"/>
              </w:rPr>
              <w:t>values.</w:t>
            </w:r>
          </w:p>
          <w:p w14:paraId="6AE447A0" w14:textId="77777777" w:rsidR="00735337" w:rsidRPr="00735337" w:rsidRDefault="00735337" w:rsidP="00735337">
            <w:pPr>
              <w:spacing w:before="120" w:after="120"/>
              <w:rPr>
                <w:rFonts w:ascii="Arial" w:hAnsi="Arial" w:cs="Arial"/>
                <w:color w:val="000000"/>
                <w:kern w:val="24"/>
                <w:sz w:val="22"/>
                <w:szCs w:val="22"/>
                <w:highlight w:val="lightGray"/>
              </w:rPr>
            </w:pPr>
            <w:r w:rsidRPr="00197059">
              <w:rPr>
                <w:rFonts w:ascii="Arial" w:hAnsi="Arial" w:cs="Arial"/>
                <w:color w:val="000000"/>
                <w:kern w:val="24"/>
                <w:sz w:val="22"/>
                <w:szCs w:val="22"/>
              </w:rPr>
              <w:t>The indicator uses existing data fields.</w:t>
            </w:r>
          </w:p>
        </w:tc>
      </w:tr>
    </w:tbl>
    <w:p w14:paraId="622B8631" w14:textId="77777777" w:rsidR="002338EB" w:rsidRDefault="002338EB" w:rsidP="002338EB">
      <w:pPr>
        <w:pStyle w:val="Paragraph"/>
      </w:pPr>
    </w:p>
    <w:p w14:paraId="3AC802A2" w14:textId="77777777"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2B2F087F" w14:textId="77777777" w:rsidTr="001C517D">
        <w:tc>
          <w:tcPr>
            <w:tcW w:w="5949" w:type="dxa"/>
          </w:tcPr>
          <w:p w14:paraId="2619CBDB"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46AE6394"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17EBFE27" w14:textId="77777777" w:rsidTr="001C517D">
        <w:tc>
          <w:tcPr>
            <w:tcW w:w="5949" w:type="dxa"/>
          </w:tcPr>
          <w:p w14:paraId="48A67D24" w14:textId="0F33A68E" w:rsidR="00735337" w:rsidRPr="00A47852" w:rsidRDefault="000B1892" w:rsidP="00735337">
            <w:pPr>
              <w:pStyle w:val="Paragraph"/>
              <w:spacing w:before="120" w:after="120" w:line="240" w:lineRule="auto"/>
              <w:rPr>
                <w:highlight w:val="lightGray"/>
              </w:rPr>
            </w:pPr>
            <w:r w:rsidRPr="00594C8C">
              <w:rPr>
                <w:rFonts w:cs="Arial"/>
                <w:sz w:val="22"/>
                <w:szCs w:val="22"/>
              </w:rPr>
              <w:t>Stakeholders</w:t>
            </w:r>
            <w:r w:rsidR="00735337" w:rsidRPr="00594C8C">
              <w:rPr>
                <w:rFonts w:cs="Arial"/>
                <w:sz w:val="22"/>
                <w:szCs w:val="22"/>
              </w:rPr>
              <w:t xml:space="preserve"> </w:t>
            </w:r>
            <w:r>
              <w:rPr>
                <w:rFonts w:cs="Arial"/>
                <w:sz w:val="22"/>
                <w:szCs w:val="22"/>
              </w:rPr>
              <w:t xml:space="preserve">supported the indicator focusing on the provision of the four pillars of treatment but noted that reporting of ejection fraction category is the responsibility of secondary care, not general practice. </w:t>
            </w:r>
          </w:p>
        </w:tc>
        <w:tc>
          <w:tcPr>
            <w:tcW w:w="3118" w:type="dxa"/>
          </w:tcPr>
          <w:p w14:paraId="5DF194F2" w14:textId="77777777" w:rsidR="00735337" w:rsidRPr="00594C8C" w:rsidRDefault="00735337" w:rsidP="00735337">
            <w:pPr>
              <w:pStyle w:val="Paragraph"/>
              <w:spacing w:before="120" w:after="120" w:line="240" w:lineRule="auto"/>
            </w:pPr>
            <w:r w:rsidRPr="00594C8C">
              <w:rPr>
                <w:rFonts w:cs="Arial"/>
                <w:color w:val="000000"/>
                <w:kern w:val="24"/>
                <w:sz w:val="22"/>
                <w:szCs w:val="22"/>
              </w:rPr>
              <w:t>The indicator assesses performance that is attributable to or within the control of the audience</w:t>
            </w:r>
          </w:p>
        </w:tc>
      </w:tr>
      <w:tr w:rsidR="00735337" w14:paraId="107B1D1E" w14:textId="77777777" w:rsidTr="001C517D">
        <w:tc>
          <w:tcPr>
            <w:tcW w:w="5949" w:type="dxa"/>
          </w:tcPr>
          <w:p w14:paraId="39F20EF9" w14:textId="5964A8CE" w:rsidR="00735337" w:rsidRPr="00A47852" w:rsidRDefault="000B1892" w:rsidP="00735337">
            <w:pPr>
              <w:pStyle w:val="Paragraph"/>
              <w:spacing w:before="120" w:after="120" w:line="240" w:lineRule="auto"/>
              <w:rPr>
                <w:highlight w:val="lightGray"/>
              </w:rPr>
            </w:pPr>
            <w:r w:rsidRPr="000B1892">
              <w:rPr>
                <w:rFonts w:cs="Arial"/>
                <w:sz w:val="22"/>
                <w:szCs w:val="22"/>
              </w:rPr>
              <w:t>Data can be extracted and used to compare the performance of GP practices.</w:t>
            </w:r>
          </w:p>
        </w:tc>
        <w:tc>
          <w:tcPr>
            <w:tcW w:w="3118" w:type="dxa"/>
          </w:tcPr>
          <w:p w14:paraId="16352939" w14:textId="77777777" w:rsidR="00735337" w:rsidRPr="00A47852" w:rsidRDefault="00735337" w:rsidP="00735337">
            <w:pPr>
              <w:pStyle w:val="Paragraph"/>
              <w:spacing w:before="120" w:after="120" w:line="240" w:lineRule="auto"/>
              <w:rPr>
                <w:highlight w:val="lightGray"/>
              </w:rPr>
            </w:pPr>
            <w:r w:rsidRPr="00FB3D9F">
              <w:rPr>
                <w:rFonts w:cs="Arial"/>
                <w:color w:val="000000"/>
                <w:kern w:val="24"/>
                <w:sz w:val="22"/>
                <w:szCs w:val="22"/>
              </w:rPr>
              <w:t>The results of the indicator can be used to improve practice</w:t>
            </w:r>
          </w:p>
        </w:tc>
      </w:tr>
    </w:tbl>
    <w:p w14:paraId="5E18BE38" w14:textId="77777777" w:rsidR="002338EB" w:rsidRDefault="002338EB" w:rsidP="002338EB">
      <w:pPr>
        <w:pStyle w:val="Paragraph"/>
      </w:pPr>
    </w:p>
    <w:p w14:paraId="76465EA1" w14:textId="77777777"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7DCBBFF6" w14:textId="77777777" w:rsidTr="001C517D">
        <w:tc>
          <w:tcPr>
            <w:tcW w:w="5949" w:type="dxa"/>
          </w:tcPr>
          <w:p w14:paraId="04A94319"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C7FCC41"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2D5EBB7" w14:textId="77777777" w:rsidTr="001C517D">
        <w:tc>
          <w:tcPr>
            <w:tcW w:w="5949" w:type="dxa"/>
          </w:tcPr>
          <w:p w14:paraId="15C1EA83" w14:textId="296BB0E0" w:rsidR="00A47852" w:rsidRPr="00FB3D9F" w:rsidRDefault="000B1892" w:rsidP="00A47852">
            <w:pPr>
              <w:pStyle w:val="Paragraph"/>
              <w:spacing w:before="120" w:after="120" w:line="240" w:lineRule="auto"/>
            </w:pPr>
            <w:r>
              <w:rPr>
                <w:rFonts w:cs="Arial"/>
                <w:color w:val="000000"/>
                <w:kern w:val="24"/>
                <w:sz w:val="22"/>
                <w:szCs w:val="22"/>
              </w:rPr>
              <w:t>Stakeholder</w:t>
            </w:r>
            <w:r w:rsidR="00267730">
              <w:rPr>
                <w:rFonts w:cs="Arial"/>
                <w:color w:val="000000"/>
                <w:kern w:val="24"/>
                <w:sz w:val="22"/>
                <w:szCs w:val="22"/>
              </w:rPr>
              <w:t>s</w:t>
            </w:r>
            <w:r>
              <w:rPr>
                <w:rFonts w:cs="Arial"/>
                <w:color w:val="000000"/>
                <w:kern w:val="24"/>
                <w:sz w:val="22"/>
                <w:szCs w:val="22"/>
              </w:rPr>
              <w:t xml:space="preserve"> highlighted the under-recording of ejection fraction category and noted that the indicator risks not including some patients for whom the four treatment pillars are appropriate</w:t>
            </w:r>
            <w:r w:rsidR="00A47852" w:rsidRPr="00FB3D9F">
              <w:rPr>
                <w:rFonts w:cs="Arial"/>
                <w:color w:val="000000"/>
                <w:kern w:val="24"/>
                <w:sz w:val="22"/>
                <w:szCs w:val="22"/>
              </w:rPr>
              <w:t>.</w:t>
            </w:r>
          </w:p>
        </w:tc>
        <w:tc>
          <w:tcPr>
            <w:tcW w:w="3118" w:type="dxa"/>
          </w:tcPr>
          <w:p w14:paraId="19210552" w14:textId="77777777" w:rsidR="00A47852" w:rsidRPr="00FB3D9F" w:rsidRDefault="00A47852" w:rsidP="00A47852">
            <w:pPr>
              <w:pStyle w:val="Paragraph"/>
              <w:spacing w:before="120" w:after="120" w:line="240" w:lineRule="auto"/>
            </w:pPr>
            <w:r w:rsidRPr="00FB3D9F">
              <w:rPr>
                <w:rFonts w:cs="Arial"/>
                <w:color w:val="000000"/>
                <w:kern w:val="24"/>
                <w:sz w:val="22"/>
                <w:szCs w:val="22"/>
              </w:rPr>
              <w:t>The indicator has an acceptable risk of unintended consequences.</w:t>
            </w:r>
          </w:p>
        </w:tc>
      </w:tr>
    </w:tbl>
    <w:p w14:paraId="03C0858E" w14:textId="77777777" w:rsidR="002338EB" w:rsidRDefault="002338EB" w:rsidP="002338EB">
      <w:pPr>
        <w:pStyle w:val="Paragraph"/>
      </w:pPr>
    </w:p>
    <w:p w14:paraId="14CBA3BD" w14:textId="77777777" w:rsidR="006C3D61" w:rsidRDefault="006C3D61" w:rsidP="00192685">
      <w:pPr>
        <w:pStyle w:val="Heading1"/>
      </w:pPr>
      <w:r>
        <w:lastRenderedPageBreak/>
        <w:t>NICE indicator advisory committee recommendation</w:t>
      </w:r>
    </w:p>
    <w:p w14:paraId="1D3884DE" w14:textId="732C0127" w:rsidR="00D73835" w:rsidRDefault="0077603D" w:rsidP="00594C8C">
      <w:pPr>
        <w:pStyle w:val="Paragraph"/>
      </w:pPr>
      <w:r w:rsidRPr="00594C8C">
        <w:t>The NICE indicator advisory committee approved this indicator for publication on the menu</w:t>
      </w:r>
      <w:r w:rsidR="007D7C12">
        <w:t xml:space="preserve"> but highlighted the current under-recording of ejection fraction category in general practice electronic health records. </w:t>
      </w:r>
    </w:p>
    <w:sectPr w:rsidR="00D73835" w:rsidSect="003E4657">
      <w:headerReference w:type="default" r:id="rId13"/>
      <w:footerReference w:type="default" r:id="rId14"/>
      <w:headerReference w:type="first" r:id="rId15"/>
      <w:footerReference w:type="first" r:id="rId16"/>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18FF" w14:textId="77777777" w:rsidR="005E2B26" w:rsidRDefault="005E2B26" w:rsidP="00446BEE">
      <w:r>
        <w:separator/>
      </w:r>
    </w:p>
  </w:endnote>
  <w:endnote w:type="continuationSeparator" w:id="0">
    <w:p w14:paraId="7C724791" w14:textId="77777777" w:rsidR="005E2B26" w:rsidRDefault="005E2B2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3944" w14:textId="5012B755" w:rsidR="00BB14CA" w:rsidRPr="008C1C95" w:rsidRDefault="0032344C" w:rsidP="008C1C95">
    <w:pPr>
      <w:pStyle w:val="Footer"/>
      <w:jc w:val="right"/>
    </w:pPr>
    <w:r>
      <w:t>IND317</w:t>
    </w:r>
    <w:r w:rsidR="0008605F">
      <w:t xml:space="preserve"> v</w:t>
    </w:r>
    <w:r w:rsidR="009B0E59">
      <w:t>alidity assessment</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1FE5" w14:textId="304544AB" w:rsidR="0008605F" w:rsidRDefault="0008605F" w:rsidP="0008605F">
    <w:pPr>
      <w:pStyle w:val="Footer"/>
      <w:jc w:val="right"/>
    </w:pPr>
    <w:r>
      <w:t>IND317 validity assessment</w:t>
    </w:r>
    <w:r>
      <w:tab/>
    </w:r>
    <w:r>
      <w:tab/>
      <w:t xml:space="preserve">  </w:t>
    </w:r>
    <w:r>
      <w:fldChar w:fldCharType="begin"/>
    </w:r>
    <w:r>
      <w:instrText xml:space="preserve"> PAGE </w:instrText>
    </w:r>
    <w:r>
      <w:fldChar w:fldCharType="separate"/>
    </w:r>
    <w:r>
      <w:t>2</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978A" w14:textId="77777777" w:rsidR="005E2B26" w:rsidRDefault="005E2B26" w:rsidP="00446BEE">
      <w:r>
        <w:separator/>
      </w:r>
    </w:p>
  </w:footnote>
  <w:footnote w:type="continuationSeparator" w:id="0">
    <w:p w14:paraId="3F599D4C" w14:textId="77777777" w:rsidR="005E2B26" w:rsidRDefault="005E2B2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E8F9" w14:textId="77777777" w:rsidR="00BB14CA" w:rsidRDefault="00BB14CA" w:rsidP="003E4657">
    <w:pPr>
      <w:pStyle w:val="Header"/>
      <w:tabs>
        <w:tab w:val="left" w:pos="2768"/>
        <w:tab w:val="center" w:pos="4156"/>
      </w:tabs>
      <w:rPr>
        <w:b/>
        <w:color w:val="FF0000"/>
        <w:sz w:val="22"/>
        <w:szCs w:val="22"/>
      </w:rPr>
    </w:pPr>
  </w:p>
  <w:p w14:paraId="16D853A7"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CD3" w14:textId="77777777" w:rsidR="003E4657" w:rsidRDefault="003E4657">
    <w:pPr>
      <w:pStyle w:val="Header"/>
    </w:pPr>
    <w:r w:rsidRPr="003E4657">
      <w:rPr>
        <w:rFonts w:ascii="Times New Roman" w:hAnsi="Times New Roman"/>
        <w:noProof/>
        <w:lang w:eastAsia="en-GB"/>
      </w:rPr>
      <w:drawing>
        <wp:inline distT="0" distB="0" distL="0" distR="0" wp14:anchorId="6AEBBC17" wp14:editId="709BA2E8">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496AA87"/>
    <w:multiLevelType w:val="hybridMultilevel"/>
    <w:tmpl w:val="FFFFFFFF"/>
    <w:lvl w:ilvl="0" w:tplc="E0B40DC0">
      <w:start w:val="1"/>
      <w:numFmt w:val="bullet"/>
      <w:lvlText w:val="·"/>
      <w:lvlJc w:val="left"/>
      <w:pPr>
        <w:ind w:left="720" w:hanging="360"/>
      </w:pPr>
      <w:rPr>
        <w:rFonts w:ascii="Symbol" w:hAnsi="Symbol" w:hint="default"/>
      </w:rPr>
    </w:lvl>
    <w:lvl w:ilvl="1" w:tplc="D19E45E8">
      <w:start w:val="1"/>
      <w:numFmt w:val="bullet"/>
      <w:lvlText w:val="o"/>
      <w:lvlJc w:val="left"/>
      <w:pPr>
        <w:ind w:left="1440" w:hanging="360"/>
      </w:pPr>
      <w:rPr>
        <w:rFonts w:ascii="Courier New" w:hAnsi="Courier New" w:hint="default"/>
      </w:rPr>
    </w:lvl>
    <w:lvl w:ilvl="2" w:tplc="26C4A59A">
      <w:start w:val="1"/>
      <w:numFmt w:val="bullet"/>
      <w:lvlText w:val=""/>
      <w:lvlJc w:val="left"/>
      <w:pPr>
        <w:ind w:left="2160" w:hanging="360"/>
      </w:pPr>
      <w:rPr>
        <w:rFonts w:ascii="Wingdings" w:hAnsi="Wingdings" w:hint="default"/>
      </w:rPr>
    </w:lvl>
    <w:lvl w:ilvl="3" w:tplc="752E05FA">
      <w:start w:val="1"/>
      <w:numFmt w:val="bullet"/>
      <w:lvlText w:val=""/>
      <w:lvlJc w:val="left"/>
      <w:pPr>
        <w:ind w:left="2880" w:hanging="360"/>
      </w:pPr>
      <w:rPr>
        <w:rFonts w:ascii="Symbol" w:hAnsi="Symbol" w:hint="default"/>
      </w:rPr>
    </w:lvl>
    <w:lvl w:ilvl="4" w:tplc="8518482E">
      <w:start w:val="1"/>
      <w:numFmt w:val="bullet"/>
      <w:lvlText w:val="o"/>
      <w:lvlJc w:val="left"/>
      <w:pPr>
        <w:ind w:left="3600" w:hanging="360"/>
      </w:pPr>
      <w:rPr>
        <w:rFonts w:ascii="Courier New" w:hAnsi="Courier New" w:hint="default"/>
      </w:rPr>
    </w:lvl>
    <w:lvl w:ilvl="5" w:tplc="8EDABA72">
      <w:start w:val="1"/>
      <w:numFmt w:val="bullet"/>
      <w:lvlText w:val=""/>
      <w:lvlJc w:val="left"/>
      <w:pPr>
        <w:ind w:left="4320" w:hanging="360"/>
      </w:pPr>
      <w:rPr>
        <w:rFonts w:ascii="Wingdings" w:hAnsi="Wingdings" w:hint="default"/>
      </w:rPr>
    </w:lvl>
    <w:lvl w:ilvl="6" w:tplc="330A8A26">
      <w:start w:val="1"/>
      <w:numFmt w:val="bullet"/>
      <w:lvlText w:val=""/>
      <w:lvlJc w:val="left"/>
      <w:pPr>
        <w:ind w:left="5040" w:hanging="360"/>
      </w:pPr>
      <w:rPr>
        <w:rFonts w:ascii="Symbol" w:hAnsi="Symbol" w:hint="default"/>
      </w:rPr>
    </w:lvl>
    <w:lvl w:ilvl="7" w:tplc="6BC49C7C">
      <w:start w:val="1"/>
      <w:numFmt w:val="bullet"/>
      <w:lvlText w:val="o"/>
      <w:lvlJc w:val="left"/>
      <w:pPr>
        <w:ind w:left="5760" w:hanging="360"/>
      </w:pPr>
      <w:rPr>
        <w:rFonts w:ascii="Courier New" w:hAnsi="Courier New" w:hint="default"/>
      </w:rPr>
    </w:lvl>
    <w:lvl w:ilvl="8" w:tplc="EB7EBFE2">
      <w:start w:val="1"/>
      <w:numFmt w:val="bullet"/>
      <w:lvlText w:val=""/>
      <w:lvlJc w:val="left"/>
      <w:pPr>
        <w:ind w:left="6480" w:hanging="360"/>
      </w:pPr>
      <w:rPr>
        <w:rFonts w:ascii="Wingdings" w:hAnsi="Wingdings" w:hint="default"/>
      </w:r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15D4B192"/>
    <w:lvl w:ilvl="0" w:tplc="9418D3BE">
      <w:start w:val="1"/>
      <w:numFmt w:val="bullet"/>
      <w:lvlText w:val=""/>
      <w:lvlJc w:val="left"/>
      <w:pPr>
        <w:ind w:left="1134" w:hanging="454"/>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2"/>
  </w:num>
  <w:num w:numId="2" w16cid:durableId="233853175">
    <w:abstractNumId w:val="11"/>
  </w:num>
  <w:num w:numId="3" w16cid:durableId="1529370562">
    <w:abstractNumId w:val="28"/>
  </w:num>
  <w:num w:numId="4" w16cid:durableId="657612754">
    <w:abstractNumId w:val="12"/>
  </w:num>
  <w:num w:numId="5" w16cid:durableId="1193808871">
    <w:abstractNumId w:val="25"/>
  </w:num>
  <w:num w:numId="6" w16cid:durableId="781268177">
    <w:abstractNumId w:val="1"/>
  </w:num>
  <w:num w:numId="7" w16cid:durableId="201872007">
    <w:abstractNumId w:val="10"/>
  </w:num>
  <w:num w:numId="8" w16cid:durableId="1295333019">
    <w:abstractNumId w:val="23"/>
  </w:num>
  <w:num w:numId="9" w16cid:durableId="513112173">
    <w:abstractNumId w:val="24"/>
  </w:num>
  <w:num w:numId="10" w16cid:durableId="2049523386">
    <w:abstractNumId w:val="5"/>
  </w:num>
  <w:num w:numId="11" w16cid:durableId="1370840847">
    <w:abstractNumId w:val="7"/>
  </w:num>
  <w:num w:numId="12" w16cid:durableId="1021859395">
    <w:abstractNumId w:val="2"/>
  </w:num>
  <w:num w:numId="13" w16cid:durableId="1167093030">
    <w:abstractNumId w:val="31"/>
  </w:num>
  <w:num w:numId="14" w16cid:durableId="1771392860">
    <w:abstractNumId w:val="15"/>
  </w:num>
  <w:num w:numId="15" w16cid:durableId="1260019971">
    <w:abstractNumId w:val="9"/>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6"/>
  </w:num>
  <w:num w:numId="21" w16cid:durableId="1439716324">
    <w:abstractNumId w:val="29"/>
  </w:num>
  <w:num w:numId="22" w16cid:durableId="321355733">
    <w:abstractNumId w:val="0"/>
  </w:num>
  <w:num w:numId="23" w16cid:durableId="317730129">
    <w:abstractNumId w:val="4"/>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4"/>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0"/>
  </w:num>
  <w:num w:numId="39" w16cid:durableId="1357119577">
    <w:abstractNumId w:val="21"/>
  </w:num>
  <w:num w:numId="40" w16cid:durableId="1472091102">
    <w:abstractNumId w:val="3"/>
  </w:num>
  <w:num w:numId="41" w16cid:durableId="114940175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B26"/>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23D3"/>
    <w:rsid w:val="00042425"/>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8605F"/>
    <w:rsid w:val="000910A7"/>
    <w:rsid w:val="00094BC2"/>
    <w:rsid w:val="00094C1B"/>
    <w:rsid w:val="000963D1"/>
    <w:rsid w:val="000A16C2"/>
    <w:rsid w:val="000A638C"/>
    <w:rsid w:val="000A7163"/>
    <w:rsid w:val="000B1301"/>
    <w:rsid w:val="000B1892"/>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3B82"/>
    <w:rsid w:val="000E4899"/>
    <w:rsid w:val="000E6190"/>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050"/>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05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4E19"/>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67730"/>
    <w:rsid w:val="00270605"/>
    <w:rsid w:val="00271804"/>
    <w:rsid w:val="00271857"/>
    <w:rsid w:val="00276AC9"/>
    <w:rsid w:val="00277ED2"/>
    <w:rsid w:val="00280F8A"/>
    <w:rsid w:val="00282A47"/>
    <w:rsid w:val="00286537"/>
    <w:rsid w:val="00286C3A"/>
    <w:rsid w:val="00287467"/>
    <w:rsid w:val="00290785"/>
    <w:rsid w:val="00291A5B"/>
    <w:rsid w:val="00292B2C"/>
    <w:rsid w:val="0029330E"/>
    <w:rsid w:val="00296E2E"/>
    <w:rsid w:val="002A1075"/>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E3A67"/>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17416"/>
    <w:rsid w:val="00320EE5"/>
    <w:rsid w:val="0032337F"/>
    <w:rsid w:val="0032344C"/>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E7F7F"/>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5ED7"/>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2A17"/>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865B9"/>
    <w:rsid w:val="00590E29"/>
    <w:rsid w:val="005935C0"/>
    <w:rsid w:val="00594C8C"/>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2B26"/>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4C74"/>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D7C12"/>
    <w:rsid w:val="007E1B11"/>
    <w:rsid w:val="007E2014"/>
    <w:rsid w:val="007E21F8"/>
    <w:rsid w:val="007E2696"/>
    <w:rsid w:val="007E3374"/>
    <w:rsid w:val="007E4F40"/>
    <w:rsid w:val="007E6A87"/>
    <w:rsid w:val="007E78BD"/>
    <w:rsid w:val="007F14A6"/>
    <w:rsid w:val="007F159D"/>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3B47"/>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C67EA"/>
    <w:rsid w:val="008D0D92"/>
    <w:rsid w:val="008D2A77"/>
    <w:rsid w:val="008D2EC9"/>
    <w:rsid w:val="008D3B14"/>
    <w:rsid w:val="008D62F8"/>
    <w:rsid w:val="008D652E"/>
    <w:rsid w:val="008D6A3E"/>
    <w:rsid w:val="008E1B3C"/>
    <w:rsid w:val="008E4419"/>
    <w:rsid w:val="008E56A4"/>
    <w:rsid w:val="008E5BA8"/>
    <w:rsid w:val="008E664D"/>
    <w:rsid w:val="008E6FCA"/>
    <w:rsid w:val="008F2FAE"/>
    <w:rsid w:val="008F4B70"/>
    <w:rsid w:val="008F4E22"/>
    <w:rsid w:val="008F4ED3"/>
    <w:rsid w:val="008F61C4"/>
    <w:rsid w:val="008F77F5"/>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2FA"/>
    <w:rsid w:val="009543A4"/>
    <w:rsid w:val="00955F17"/>
    <w:rsid w:val="009562D0"/>
    <w:rsid w:val="00957124"/>
    <w:rsid w:val="00960B9B"/>
    <w:rsid w:val="00960CC3"/>
    <w:rsid w:val="0096180D"/>
    <w:rsid w:val="00961E3B"/>
    <w:rsid w:val="00962360"/>
    <w:rsid w:val="0096568F"/>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5B57"/>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635DC"/>
    <w:rsid w:val="00A7018B"/>
    <w:rsid w:val="00A70A7A"/>
    <w:rsid w:val="00A71410"/>
    <w:rsid w:val="00A7377D"/>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29A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2C2"/>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306E"/>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194"/>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963B0"/>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4EB8"/>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88F"/>
    <w:rsid w:val="00D84E7D"/>
    <w:rsid w:val="00D86BF0"/>
    <w:rsid w:val="00D86DCB"/>
    <w:rsid w:val="00D91BA1"/>
    <w:rsid w:val="00D9223B"/>
    <w:rsid w:val="00D939B7"/>
    <w:rsid w:val="00D950D8"/>
    <w:rsid w:val="00D95477"/>
    <w:rsid w:val="00D959C3"/>
    <w:rsid w:val="00D961B8"/>
    <w:rsid w:val="00DA1511"/>
    <w:rsid w:val="00DA6FB8"/>
    <w:rsid w:val="00DA777A"/>
    <w:rsid w:val="00DB0188"/>
    <w:rsid w:val="00DB26A8"/>
    <w:rsid w:val="00DB292D"/>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A6F41"/>
    <w:rsid w:val="00FB2379"/>
    <w:rsid w:val="00FB25E5"/>
    <w:rsid w:val="00FB3848"/>
    <w:rsid w:val="00FB3D9F"/>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D7BC6"/>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4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653564538">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 w:id="209920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rt.bmj.com/content/111/20/97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10-year-health-plan-for-england-fit-for-the-future" TargetMode="External"/><Relationship Id="rId12" Type="http://schemas.openxmlformats.org/officeDocument/2006/relationships/hyperlink" Target="https://doi.org/10.48329/a94w-e0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0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cc.org/latest-in-cardiology/articles/2022/06/01/12/11/inpatient-initiation-of-hfref-therapies" TargetMode="External"/><Relationship Id="rId4" Type="http://schemas.openxmlformats.org/officeDocument/2006/relationships/webSettings" Target="webSettings.xml"/><Relationship Id="rId9" Type="http://schemas.openxmlformats.org/officeDocument/2006/relationships/hyperlink" Target="https://openheart.bmj.com/content/12/2/e003373"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4414</Characters>
  <Application>Microsoft Office Word</Application>
  <DocSecurity>0</DocSecurity>
  <Lines>155</Lines>
  <Paragraphs>62</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2025-10-29T11:04:00Z</dcterms:created>
  <dcterms:modified xsi:type="dcterms:W3CDTF">2025-11-04T08:45:00Z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2025-10-29T11:04:19Z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3a0700ad-0dd1-479c-a1d8-754a153b128c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