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01392" w14:textId="77777777" w:rsidR="003B0466" w:rsidRDefault="003B0466" w:rsidP="00363276">
      <w:pPr>
        <w:pStyle w:val="Title"/>
        <w:rPr>
          <w:sz w:val="40"/>
          <w:szCs w:val="40"/>
        </w:rPr>
      </w:pPr>
      <w:r>
        <w:rPr>
          <w:sz w:val="40"/>
          <w:szCs w:val="40"/>
        </w:rPr>
        <w:t xml:space="preserve">Indicator development programme </w:t>
      </w:r>
    </w:p>
    <w:p w14:paraId="79BB84A7" w14:textId="77777777" w:rsidR="00482C01" w:rsidRPr="003B0466" w:rsidRDefault="009B0E59" w:rsidP="00363276">
      <w:pPr>
        <w:pStyle w:val="Title"/>
        <w:rPr>
          <w:sz w:val="40"/>
          <w:szCs w:val="40"/>
        </w:rPr>
      </w:pPr>
      <w:r w:rsidRPr="003B0466">
        <w:rPr>
          <w:sz w:val="40"/>
          <w:szCs w:val="40"/>
        </w:rPr>
        <w:t>NICE indicator v</w:t>
      </w:r>
      <w:r w:rsidR="00192B09" w:rsidRPr="003B0466">
        <w:rPr>
          <w:sz w:val="40"/>
          <w:szCs w:val="40"/>
        </w:rPr>
        <w:t>alidity assessment</w:t>
      </w:r>
    </w:p>
    <w:p w14:paraId="29DCF8D9" w14:textId="53C18D73" w:rsidR="009B0E59" w:rsidRPr="009B0E59" w:rsidRDefault="009B0E59" w:rsidP="00192685">
      <w:pPr>
        <w:pStyle w:val="Heading1"/>
        <w:rPr>
          <w:lang w:eastAsia="en-GB"/>
        </w:rPr>
      </w:pPr>
      <w:r w:rsidRPr="009B0E59">
        <w:rPr>
          <w:lang w:eastAsia="en-GB"/>
        </w:rPr>
        <w:t xml:space="preserve">Indicator </w:t>
      </w:r>
      <w:r w:rsidR="00994F1D">
        <w:rPr>
          <w:lang w:eastAsia="en-GB"/>
        </w:rPr>
        <w:t>318</w:t>
      </w:r>
    </w:p>
    <w:p w14:paraId="449FEDBB" w14:textId="77777777" w:rsidR="00994F1D" w:rsidRDefault="00994F1D" w:rsidP="00192685">
      <w:pPr>
        <w:pStyle w:val="Heading1"/>
        <w:rPr>
          <w:b w:val="0"/>
          <w:bCs w:val="0"/>
          <w:kern w:val="0"/>
          <w:sz w:val="24"/>
          <w:szCs w:val="24"/>
          <w:lang w:eastAsia="en-GB"/>
        </w:rPr>
      </w:pPr>
      <w:r w:rsidRPr="00994F1D">
        <w:rPr>
          <w:b w:val="0"/>
          <w:bCs w:val="0"/>
          <w:kern w:val="0"/>
          <w:sz w:val="24"/>
          <w:szCs w:val="24"/>
          <w:lang w:eastAsia="en-GB"/>
        </w:rPr>
        <w:t>The percentage of patients with a diagnosis of heart failure on or after 1</w:t>
      </w:r>
      <w:r w:rsidRPr="00994F1D">
        <w:rPr>
          <w:b w:val="0"/>
          <w:bCs w:val="0"/>
          <w:kern w:val="0"/>
          <w:sz w:val="24"/>
          <w:szCs w:val="24"/>
          <w:vertAlign w:val="superscript"/>
          <w:lang w:eastAsia="en-GB"/>
        </w:rPr>
        <w:t>st</w:t>
      </w:r>
      <w:r w:rsidRPr="00994F1D">
        <w:rPr>
          <w:b w:val="0"/>
          <w:bCs w:val="0"/>
          <w:kern w:val="0"/>
          <w:sz w:val="24"/>
          <w:szCs w:val="24"/>
          <w:lang w:eastAsia="en-GB"/>
        </w:rPr>
        <w:t xml:space="preserve"> April 2026 who have a recorded ejection fraction category (reduced, mildly reduced, or preserved). </w:t>
      </w:r>
    </w:p>
    <w:p w14:paraId="3F7FFDEB" w14:textId="0E49E9ED" w:rsidR="00236060" w:rsidRDefault="00236060" w:rsidP="00192685">
      <w:pPr>
        <w:pStyle w:val="Heading1"/>
      </w:pPr>
      <w:r>
        <w:t xml:space="preserve">Indicator type </w:t>
      </w:r>
    </w:p>
    <w:p w14:paraId="2C3CE47C" w14:textId="77777777" w:rsidR="00236060" w:rsidRDefault="00236060" w:rsidP="00236060">
      <w:pPr>
        <w:pStyle w:val="Paragraph"/>
      </w:pPr>
      <w:r w:rsidRPr="00994F1D">
        <w:t>General practice indicator suitable for use in the Quality and Outcomes Framework.</w:t>
      </w:r>
    </w:p>
    <w:p w14:paraId="5CE773DA" w14:textId="77777777"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219FAABB" w14:textId="77777777" w:rsidTr="002338EB">
        <w:tc>
          <w:tcPr>
            <w:tcW w:w="5949" w:type="dxa"/>
          </w:tcPr>
          <w:p w14:paraId="365455C7" w14:textId="77777777" w:rsidR="002338EB" w:rsidRPr="002338EB" w:rsidRDefault="002338EB" w:rsidP="002338EB">
            <w:pPr>
              <w:pStyle w:val="Paragraph"/>
              <w:spacing w:before="120" w:after="120" w:line="240" w:lineRule="auto"/>
              <w:rPr>
                <w:b/>
                <w:bCs/>
                <w:sz w:val="22"/>
                <w:szCs w:val="22"/>
              </w:rPr>
            </w:pPr>
            <w:bookmarkStart w:id="0" w:name="_Hlk34309601"/>
            <w:r w:rsidRPr="002338EB">
              <w:rPr>
                <w:b/>
                <w:bCs/>
                <w:sz w:val="22"/>
                <w:szCs w:val="22"/>
              </w:rPr>
              <w:t xml:space="preserve">Considerations </w:t>
            </w:r>
          </w:p>
        </w:tc>
        <w:tc>
          <w:tcPr>
            <w:tcW w:w="3118" w:type="dxa"/>
          </w:tcPr>
          <w:p w14:paraId="5C6B7621" w14:textId="7777777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25CE3854" w14:textId="77777777" w:rsidTr="002338EB">
        <w:tc>
          <w:tcPr>
            <w:tcW w:w="5949" w:type="dxa"/>
          </w:tcPr>
          <w:p w14:paraId="4C48EF2C" w14:textId="26EE6055" w:rsidR="00994F1D" w:rsidRPr="00994F1D" w:rsidRDefault="00994F1D" w:rsidP="00E275F6">
            <w:pPr>
              <w:pStyle w:val="Paragraph"/>
              <w:spacing w:line="240" w:lineRule="auto"/>
              <w:rPr>
                <w:sz w:val="22"/>
                <w:szCs w:val="22"/>
              </w:rPr>
            </w:pPr>
            <w:r w:rsidRPr="002E3A67">
              <w:rPr>
                <w:sz w:val="22"/>
                <w:szCs w:val="22"/>
              </w:rPr>
              <w:t xml:space="preserve">The </w:t>
            </w:r>
            <w:hyperlink r:id="rId7" w:history="1">
              <w:r w:rsidR="00E275F6">
                <w:rPr>
                  <w:rStyle w:val="Hyperlink"/>
                  <w:sz w:val="22"/>
                  <w:szCs w:val="22"/>
                </w:rPr>
                <w:t>10 year health plan for England</w:t>
              </w:r>
            </w:hyperlink>
            <w:r w:rsidRPr="002E3A67">
              <w:rPr>
                <w:sz w:val="22"/>
                <w:szCs w:val="22"/>
              </w:rPr>
              <w:t xml:space="preserve"> identifies cardiovascular disease (CVD</w:t>
            </w:r>
            <w:r w:rsidR="00E275F6">
              <w:rPr>
                <w:sz w:val="22"/>
                <w:szCs w:val="22"/>
              </w:rPr>
              <w:t xml:space="preserve">) </w:t>
            </w:r>
            <w:r w:rsidRPr="002E3A67">
              <w:rPr>
                <w:sz w:val="22"/>
                <w:szCs w:val="22"/>
              </w:rPr>
              <w:t xml:space="preserve">as a key priority. </w:t>
            </w:r>
          </w:p>
        </w:tc>
        <w:tc>
          <w:tcPr>
            <w:tcW w:w="3118" w:type="dxa"/>
          </w:tcPr>
          <w:p w14:paraId="442DA2E0" w14:textId="47EA397B" w:rsidR="002338EB" w:rsidRPr="00994F1D" w:rsidRDefault="002338EB" w:rsidP="00994F1D">
            <w:pPr>
              <w:spacing w:before="120" w:after="120"/>
              <w:rPr>
                <w:rFonts w:ascii="Arial" w:hAnsi="Arial" w:cs="Arial"/>
                <w:color w:val="000000"/>
                <w:kern w:val="24"/>
                <w:sz w:val="22"/>
                <w:szCs w:val="22"/>
                <w:lang w:val="en-US"/>
              </w:rPr>
            </w:pPr>
            <w:r w:rsidRPr="00994F1D">
              <w:rPr>
                <w:rFonts w:ascii="Arial" w:hAnsi="Arial" w:cs="Arial"/>
                <w:color w:val="000000"/>
                <w:kern w:val="24"/>
                <w:sz w:val="22"/>
                <w:szCs w:val="22"/>
                <w:lang w:val="en-US"/>
              </w:rPr>
              <w:t>The indicator reflects a specific priority area identified by NHS England.</w:t>
            </w:r>
          </w:p>
        </w:tc>
      </w:tr>
      <w:tr w:rsidR="00735337" w14:paraId="7E691A24" w14:textId="77777777" w:rsidTr="002338EB">
        <w:tc>
          <w:tcPr>
            <w:tcW w:w="5949" w:type="dxa"/>
          </w:tcPr>
          <w:p w14:paraId="69EBCC16" w14:textId="77777777" w:rsidR="00735337" w:rsidRDefault="00994F1D" w:rsidP="00994F1D">
            <w:pPr>
              <w:spacing w:before="120" w:after="120"/>
              <w:rPr>
                <w:rFonts w:ascii="Arial" w:hAnsi="Arial" w:cs="Arial"/>
                <w:sz w:val="22"/>
                <w:szCs w:val="22"/>
              </w:rPr>
            </w:pPr>
            <w:r w:rsidRPr="00994F1D">
              <w:rPr>
                <w:rFonts w:ascii="Arial" w:hAnsi="Arial" w:cs="Arial"/>
                <w:sz w:val="22"/>
                <w:szCs w:val="22"/>
              </w:rPr>
              <w:t xml:space="preserve">The recording of heart failure (HF) ejection fraction category (reduced, mildly reduced, or preserved) appears to be suboptimal in primary care records </w:t>
            </w:r>
            <w:r>
              <w:rPr>
                <w:rFonts w:ascii="Arial" w:hAnsi="Arial" w:cs="Arial"/>
                <w:sz w:val="22"/>
                <w:szCs w:val="22"/>
              </w:rPr>
              <w:t>(</w:t>
            </w:r>
            <w:hyperlink r:id="rId8" w:history="1">
              <w:r w:rsidR="006255BA" w:rsidRPr="00994F1D">
                <w:rPr>
                  <w:rStyle w:val="Hyperlink"/>
                  <w:rFonts w:ascii="Arial" w:hAnsi="Arial" w:cs="Arial"/>
                  <w:sz w:val="22"/>
                  <w:szCs w:val="22"/>
                </w:rPr>
                <w:t>Bellanca et al</w:t>
              </w:r>
              <w:r w:rsidRPr="00994F1D">
                <w:rPr>
                  <w:rStyle w:val="Hyperlink"/>
                </w:rPr>
                <w:t>,</w:t>
              </w:r>
              <w:r w:rsidR="006255BA" w:rsidRPr="00994F1D">
                <w:rPr>
                  <w:rStyle w:val="Hyperlink"/>
                  <w:rFonts w:ascii="Arial" w:hAnsi="Arial" w:cs="Arial"/>
                  <w:sz w:val="22"/>
                  <w:szCs w:val="22"/>
                </w:rPr>
                <w:t xml:space="preserve"> 2023</w:t>
              </w:r>
            </w:hyperlink>
            <w:r w:rsidR="006255BA" w:rsidRPr="006255BA">
              <w:rPr>
                <w:rFonts w:ascii="Arial" w:hAnsi="Arial" w:cs="Arial"/>
                <w:sz w:val="22"/>
                <w:szCs w:val="22"/>
              </w:rPr>
              <w:t xml:space="preserve">, </w:t>
            </w:r>
            <w:hyperlink r:id="rId9" w:history="1">
              <w:r w:rsidR="006255BA" w:rsidRPr="00994F1D">
                <w:rPr>
                  <w:rStyle w:val="Hyperlink"/>
                  <w:rFonts w:ascii="Arial" w:hAnsi="Arial" w:cs="Arial"/>
                  <w:sz w:val="22"/>
                  <w:szCs w:val="22"/>
                </w:rPr>
                <w:t>Nakao et al</w:t>
              </w:r>
              <w:r w:rsidRPr="00994F1D">
                <w:rPr>
                  <w:rStyle w:val="Hyperlink"/>
                </w:rPr>
                <w:t>,</w:t>
              </w:r>
              <w:r w:rsidR="006255BA" w:rsidRPr="00994F1D">
                <w:rPr>
                  <w:rStyle w:val="Hyperlink"/>
                  <w:rFonts w:ascii="Arial" w:hAnsi="Arial" w:cs="Arial"/>
                  <w:sz w:val="22"/>
                  <w:szCs w:val="22"/>
                </w:rPr>
                <w:t xml:space="preserve"> 2023</w:t>
              </w:r>
            </w:hyperlink>
            <w:r>
              <w:rPr>
                <w:rFonts w:ascii="Arial" w:hAnsi="Arial" w:cs="Arial"/>
                <w:sz w:val="22"/>
                <w:szCs w:val="22"/>
              </w:rPr>
              <w:t>,</w:t>
            </w:r>
            <w:r w:rsidR="006255BA" w:rsidRPr="006255BA">
              <w:rPr>
                <w:rFonts w:ascii="Arial" w:hAnsi="Arial" w:cs="Arial"/>
                <w:sz w:val="22"/>
                <w:szCs w:val="22"/>
              </w:rPr>
              <w:t xml:space="preserve"> and </w:t>
            </w:r>
            <w:hyperlink r:id="rId10" w:history="1">
              <w:r w:rsidR="006255BA" w:rsidRPr="00994F1D">
                <w:rPr>
                  <w:rStyle w:val="Hyperlink"/>
                  <w:rFonts w:ascii="Arial" w:hAnsi="Arial" w:cs="Arial"/>
                  <w:sz w:val="22"/>
                  <w:szCs w:val="22"/>
                </w:rPr>
                <w:t>Sundaram et al</w:t>
              </w:r>
              <w:r w:rsidRPr="00994F1D">
                <w:rPr>
                  <w:rStyle w:val="Hyperlink"/>
                </w:rPr>
                <w:t>,</w:t>
              </w:r>
              <w:r w:rsidR="006255BA" w:rsidRPr="00994F1D">
                <w:rPr>
                  <w:rStyle w:val="Hyperlink"/>
                  <w:rFonts w:ascii="Arial" w:hAnsi="Arial" w:cs="Arial"/>
                  <w:sz w:val="22"/>
                  <w:szCs w:val="22"/>
                </w:rPr>
                <w:t xml:space="preserve"> 2022</w:t>
              </w:r>
            </w:hyperlink>
            <w:r w:rsidR="006255BA" w:rsidRPr="006255BA">
              <w:rPr>
                <w:rFonts w:ascii="Arial" w:hAnsi="Arial" w:cs="Arial"/>
                <w:sz w:val="22"/>
                <w:szCs w:val="22"/>
              </w:rPr>
              <w:t>)</w:t>
            </w:r>
            <w:r>
              <w:rPr>
                <w:rFonts w:ascii="Arial" w:hAnsi="Arial" w:cs="Arial"/>
                <w:sz w:val="22"/>
                <w:szCs w:val="22"/>
              </w:rPr>
              <w:t>.</w:t>
            </w:r>
            <w:r w:rsidR="006255BA" w:rsidRPr="006255BA">
              <w:rPr>
                <w:rFonts w:ascii="Arial" w:hAnsi="Arial" w:cs="Arial"/>
                <w:sz w:val="22"/>
                <w:szCs w:val="22"/>
              </w:rPr>
              <w:t xml:space="preserve"> </w:t>
            </w:r>
            <w:r w:rsidRPr="00994F1D">
              <w:rPr>
                <w:rFonts w:ascii="Arial" w:hAnsi="Arial" w:cs="Arial"/>
                <w:sz w:val="22"/>
                <w:szCs w:val="22"/>
              </w:rPr>
              <w:t>The lack of precise phenotype classification can result in inconsistent and suboptimal care, through both under and overtreatment.</w:t>
            </w:r>
          </w:p>
          <w:p w14:paraId="2256AAE0" w14:textId="52E275B4" w:rsidR="00994F1D" w:rsidRPr="006255BA" w:rsidRDefault="00994F1D" w:rsidP="00994F1D">
            <w:pPr>
              <w:spacing w:before="120" w:after="120"/>
              <w:rPr>
                <w:rFonts w:ascii="Arial" w:hAnsi="Arial" w:cs="Arial"/>
                <w:sz w:val="22"/>
                <w:szCs w:val="22"/>
              </w:rPr>
            </w:pPr>
          </w:p>
        </w:tc>
        <w:tc>
          <w:tcPr>
            <w:tcW w:w="3118" w:type="dxa"/>
          </w:tcPr>
          <w:p w14:paraId="241CC2C7" w14:textId="00A1020B" w:rsidR="00735337" w:rsidRPr="00994F1D" w:rsidRDefault="00735337" w:rsidP="00994F1D">
            <w:pPr>
              <w:spacing w:before="120" w:after="120"/>
              <w:rPr>
                <w:rFonts w:ascii="Arial" w:hAnsi="Arial" w:cs="Arial"/>
                <w:color w:val="000000"/>
                <w:kern w:val="24"/>
                <w:sz w:val="22"/>
                <w:szCs w:val="22"/>
                <w:highlight w:val="lightGray"/>
                <w:lang w:val="en-US"/>
              </w:rPr>
            </w:pPr>
            <w:r w:rsidRPr="00994F1D">
              <w:rPr>
                <w:rFonts w:ascii="Arial" w:hAnsi="Arial" w:cs="Arial"/>
                <w:color w:val="000000"/>
                <w:kern w:val="24"/>
                <w:sz w:val="22"/>
                <w:szCs w:val="22"/>
                <w:lang w:val="en-US"/>
              </w:rPr>
              <w:t>The indicator relates to an area where there is known variation in practice.</w:t>
            </w:r>
          </w:p>
        </w:tc>
      </w:tr>
      <w:tr w:rsidR="00735337" w14:paraId="7B06F796" w14:textId="77777777" w:rsidTr="002338EB">
        <w:tc>
          <w:tcPr>
            <w:tcW w:w="5949" w:type="dxa"/>
          </w:tcPr>
          <w:p w14:paraId="6A5F2990" w14:textId="329F7EAE" w:rsidR="00735337" w:rsidRPr="00AB6032" w:rsidRDefault="00994F1D" w:rsidP="00735337">
            <w:pPr>
              <w:spacing w:before="120" w:after="120"/>
              <w:rPr>
                <w:rFonts w:ascii="Arial" w:hAnsi="Arial" w:cs="Arial"/>
                <w:sz w:val="22"/>
                <w:szCs w:val="22"/>
                <w:highlight w:val="cyan"/>
              </w:rPr>
            </w:pPr>
            <w:r w:rsidRPr="00994F1D">
              <w:rPr>
                <w:rFonts w:ascii="Arial" w:hAnsi="Arial" w:cs="Arial"/>
                <w:sz w:val="22"/>
                <w:szCs w:val="22"/>
              </w:rPr>
              <w:t>Improving the routine coding of heart failure type in general practice electronic medical records (EMRs) presents an opportunity to refine care pathways and improve care outcomes.</w:t>
            </w:r>
          </w:p>
        </w:tc>
        <w:tc>
          <w:tcPr>
            <w:tcW w:w="3118" w:type="dxa"/>
          </w:tcPr>
          <w:p w14:paraId="5FCA5732" w14:textId="77777777" w:rsidR="00735337" w:rsidRPr="00994F1D" w:rsidRDefault="00735337" w:rsidP="00735337">
            <w:pPr>
              <w:spacing w:before="120" w:after="120"/>
              <w:rPr>
                <w:rFonts w:ascii="Arial" w:hAnsi="Arial" w:cs="Arial"/>
                <w:color w:val="000000"/>
                <w:kern w:val="24"/>
                <w:sz w:val="22"/>
                <w:szCs w:val="22"/>
                <w:lang w:val="en-US"/>
              </w:rPr>
            </w:pPr>
            <w:r w:rsidRPr="00994F1D">
              <w:rPr>
                <w:rFonts w:ascii="Arial" w:hAnsi="Arial" w:cs="Arial"/>
                <w:color w:val="000000"/>
                <w:kern w:val="24"/>
                <w:sz w:val="22"/>
                <w:szCs w:val="22"/>
                <w:lang w:val="en-US"/>
              </w:rPr>
              <w:t>The indicator will lead to a meaningful improvement in patient outcomes.</w:t>
            </w:r>
          </w:p>
          <w:p w14:paraId="708009DB" w14:textId="77777777" w:rsidR="00735337" w:rsidRPr="002338EB" w:rsidRDefault="00735337" w:rsidP="00735337">
            <w:pPr>
              <w:spacing w:before="120" w:after="120"/>
              <w:rPr>
                <w:rFonts w:ascii="Arial" w:hAnsi="Arial" w:cs="Arial"/>
                <w:color w:val="000000"/>
                <w:kern w:val="24"/>
                <w:sz w:val="22"/>
                <w:szCs w:val="22"/>
                <w:highlight w:val="lightGray"/>
                <w:lang w:val="en-US"/>
              </w:rPr>
            </w:pPr>
          </w:p>
        </w:tc>
      </w:tr>
      <w:bookmarkEnd w:id="0"/>
    </w:tbl>
    <w:p w14:paraId="55553E63" w14:textId="77777777" w:rsidR="002338EB" w:rsidRDefault="002338EB" w:rsidP="002338EB">
      <w:pPr>
        <w:pStyle w:val="Heading3"/>
      </w:pPr>
    </w:p>
    <w:p w14:paraId="42473069" w14:textId="77777777" w:rsidR="002338EB" w:rsidRDefault="002338EB" w:rsidP="00192685">
      <w:pPr>
        <w:pStyle w:val="Heading1"/>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56EDAA06" w14:textId="77777777" w:rsidTr="001C517D">
        <w:tc>
          <w:tcPr>
            <w:tcW w:w="5949" w:type="dxa"/>
          </w:tcPr>
          <w:p w14:paraId="4018FAD2"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195B197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3B986068" w14:textId="77777777" w:rsidTr="001C517D">
        <w:tc>
          <w:tcPr>
            <w:tcW w:w="5949" w:type="dxa"/>
          </w:tcPr>
          <w:p w14:paraId="7EAE9E63" w14:textId="7F822121" w:rsidR="002338EB" w:rsidRPr="00994F1D" w:rsidRDefault="00994F1D" w:rsidP="002338EB">
            <w:pPr>
              <w:pStyle w:val="Paragraph"/>
              <w:spacing w:before="120" w:after="120" w:line="240" w:lineRule="auto"/>
            </w:pPr>
            <w:hyperlink r:id="rId11" w:history="1">
              <w:r w:rsidRPr="00994F1D">
                <w:rPr>
                  <w:rStyle w:val="Hyperlink"/>
                  <w:rFonts w:cs="Arial"/>
                  <w:kern w:val="24"/>
                  <w:sz w:val="22"/>
                  <w:szCs w:val="22"/>
                  <w:lang w:eastAsia="en-GB"/>
                </w:rPr>
                <w:t>Chronic heart failure in adults: diagnosis and management. NICE guideline NG106</w:t>
              </w:r>
            </w:hyperlink>
            <w:r w:rsidRPr="00994F1D">
              <w:rPr>
                <w:rFonts w:cs="Arial"/>
                <w:color w:val="000000"/>
                <w:kern w:val="24"/>
                <w:sz w:val="22"/>
                <w:szCs w:val="22"/>
                <w:lang w:eastAsia="en-GB"/>
              </w:rPr>
              <w:t xml:space="preserve"> (2025)</w:t>
            </w:r>
          </w:p>
        </w:tc>
        <w:tc>
          <w:tcPr>
            <w:tcW w:w="3118" w:type="dxa"/>
          </w:tcPr>
          <w:p w14:paraId="5B439D77" w14:textId="77777777" w:rsidR="002338EB" w:rsidRPr="00994F1D" w:rsidRDefault="002338EB" w:rsidP="002338EB">
            <w:pPr>
              <w:spacing w:before="120" w:after="120"/>
              <w:rPr>
                <w:rFonts w:ascii="Arial" w:hAnsi="Arial" w:cs="Arial"/>
                <w:color w:val="000000"/>
                <w:kern w:val="24"/>
                <w:sz w:val="22"/>
                <w:szCs w:val="22"/>
                <w:lang w:val="en-US"/>
              </w:rPr>
            </w:pPr>
            <w:r w:rsidRPr="00994F1D">
              <w:rPr>
                <w:rFonts w:ascii="Arial" w:hAnsi="Arial" w:cs="Arial"/>
                <w:color w:val="000000"/>
                <w:kern w:val="24"/>
                <w:sz w:val="22"/>
                <w:szCs w:val="22"/>
                <w:lang w:val="en-US"/>
              </w:rPr>
              <w:t xml:space="preserve">The indicator is derived from a high-quality evidence base. </w:t>
            </w:r>
          </w:p>
          <w:p w14:paraId="4BFCC82E" w14:textId="3E702488" w:rsidR="002338EB" w:rsidRPr="00994F1D" w:rsidRDefault="002338EB" w:rsidP="002338EB">
            <w:pPr>
              <w:pStyle w:val="Paragraph"/>
              <w:spacing w:before="120" w:after="120" w:line="240" w:lineRule="auto"/>
            </w:pPr>
          </w:p>
        </w:tc>
      </w:tr>
    </w:tbl>
    <w:p w14:paraId="5FB74B7F" w14:textId="77777777" w:rsidR="002338EB" w:rsidRDefault="002338EB" w:rsidP="002338EB">
      <w:pPr>
        <w:pStyle w:val="Paragraph"/>
      </w:pPr>
    </w:p>
    <w:p w14:paraId="15D83F8D" w14:textId="77777777" w:rsidR="002338EB" w:rsidRPr="002338EB" w:rsidRDefault="002338EB" w:rsidP="00192685">
      <w:pPr>
        <w:pStyle w:val="Heading1"/>
      </w:pPr>
      <w:r>
        <w:lastRenderedPageBreak/>
        <w:t xml:space="preserve">Specification </w:t>
      </w:r>
    </w:p>
    <w:tbl>
      <w:tblPr>
        <w:tblStyle w:val="TableGrid"/>
        <w:tblW w:w="9067" w:type="dxa"/>
        <w:tblLook w:val="04A0" w:firstRow="1" w:lastRow="0" w:firstColumn="1" w:lastColumn="0" w:noHBand="0" w:noVBand="1"/>
      </w:tblPr>
      <w:tblGrid>
        <w:gridCol w:w="5949"/>
        <w:gridCol w:w="3118"/>
      </w:tblGrid>
      <w:tr w:rsidR="002338EB" w14:paraId="44D70336" w14:textId="77777777" w:rsidTr="001C517D">
        <w:tc>
          <w:tcPr>
            <w:tcW w:w="5949" w:type="dxa"/>
          </w:tcPr>
          <w:p w14:paraId="240AB3BB"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99DC68E"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612440E9" w14:textId="77777777" w:rsidTr="001C517D">
        <w:tc>
          <w:tcPr>
            <w:tcW w:w="5949" w:type="dxa"/>
          </w:tcPr>
          <w:p w14:paraId="4FA0BA1E" w14:textId="77777777" w:rsidR="00994F1D" w:rsidRPr="00994F1D" w:rsidRDefault="00994F1D" w:rsidP="00994F1D">
            <w:pPr>
              <w:spacing w:before="120" w:after="120"/>
              <w:rPr>
                <w:rFonts w:ascii="Arial" w:hAnsi="Arial" w:cs="Arial"/>
                <w:color w:val="000000"/>
                <w:kern w:val="24"/>
                <w:sz w:val="22"/>
                <w:szCs w:val="22"/>
                <w:lang w:eastAsia="en-GB"/>
              </w:rPr>
            </w:pPr>
            <w:r w:rsidRPr="00994F1D">
              <w:rPr>
                <w:rFonts w:ascii="Arial" w:hAnsi="Arial" w:cs="Arial"/>
                <w:color w:val="000000"/>
                <w:kern w:val="24"/>
                <w:sz w:val="22"/>
                <w:szCs w:val="22"/>
                <w:lang w:eastAsia="en-GB"/>
              </w:rPr>
              <w:t>Numerator: The number of patients in the denominator who have a recorded ejection fraction category (reduced, mildly reduced, or preserved).</w:t>
            </w:r>
          </w:p>
          <w:p w14:paraId="6410DFA5" w14:textId="77777777" w:rsidR="00994F1D" w:rsidRPr="00994F1D" w:rsidRDefault="00994F1D" w:rsidP="00994F1D">
            <w:pPr>
              <w:spacing w:before="120" w:after="120"/>
              <w:rPr>
                <w:rFonts w:ascii="Arial" w:hAnsi="Arial" w:cs="Arial"/>
                <w:color w:val="000000"/>
                <w:kern w:val="24"/>
                <w:sz w:val="22"/>
                <w:szCs w:val="22"/>
                <w:lang w:eastAsia="en-GB"/>
              </w:rPr>
            </w:pPr>
            <w:r w:rsidRPr="00994F1D">
              <w:rPr>
                <w:rFonts w:ascii="Arial" w:hAnsi="Arial" w:cs="Arial"/>
                <w:color w:val="000000"/>
                <w:kern w:val="24"/>
                <w:sz w:val="22"/>
                <w:szCs w:val="22"/>
                <w:lang w:eastAsia="en-GB"/>
              </w:rPr>
              <w:t>Denominator: The number of patients newly diagnosed with heart failure on or after 1st April 2026.</w:t>
            </w:r>
          </w:p>
          <w:p w14:paraId="22C6C0CA" w14:textId="2B8C16CF" w:rsidR="00735337" w:rsidRPr="00994F1D" w:rsidRDefault="001A3CA6" w:rsidP="00994F1D">
            <w:pPr>
              <w:spacing w:before="120" w:after="120"/>
              <w:rPr>
                <w:rFonts w:ascii="Arial" w:hAnsi="Arial" w:cs="Arial"/>
                <w:color w:val="000000"/>
                <w:kern w:val="24"/>
                <w:sz w:val="22"/>
                <w:szCs w:val="22"/>
                <w:highlight w:val="lightGray"/>
              </w:rPr>
            </w:pPr>
            <w:r w:rsidRPr="00994F1D">
              <w:rPr>
                <w:rFonts w:ascii="Arial" w:hAnsi="Arial" w:cs="Arial"/>
                <w:color w:val="000000"/>
                <w:kern w:val="24"/>
                <w:sz w:val="22"/>
                <w:szCs w:val="22"/>
              </w:rPr>
              <w:t xml:space="preserve">Exclusions: </w:t>
            </w:r>
            <w:r w:rsidR="00994F1D">
              <w:rPr>
                <w:rFonts w:ascii="Arial" w:hAnsi="Arial" w:cs="Arial"/>
                <w:color w:val="000000"/>
                <w:kern w:val="24"/>
                <w:sz w:val="22"/>
                <w:szCs w:val="22"/>
              </w:rPr>
              <w:t>None.</w:t>
            </w:r>
          </w:p>
        </w:tc>
        <w:tc>
          <w:tcPr>
            <w:tcW w:w="3118" w:type="dxa"/>
          </w:tcPr>
          <w:p w14:paraId="295488D2" w14:textId="77777777" w:rsidR="002338EB" w:rsidRPr="00994F1D" w:rsidRDefault="002338EB" w:rsidP="002338EB">
            <w:pPr>
              <w:spacing w:before="120" w:after="120"/>
              <w:rPr>
                <w:rFonts w:ascii="Arial" w:hAnsi="Arial" w:cs="Arial"/>
                <w:color w:val="000000"/>
                <w:kern w:val="24"/>
                <w:sz w:val="22"/>
                <w:szCs w:val="22"/>
              </w:rPr>
            </w:pPr>
            <w:r w:rsidRPr="00994F1D">
              <w:rPr>
                <w:rFonts w:ascii="Arial" w:hAnsi="Arial" w:cs="Arial"/>
                <w:color w:val="000000"/>
                <w:kern w:val="24"/>
                <w:sz w:val="22"/>
                <w:szCs w:val="22"/>
              </w:rPr>
              <w:t>The indicator has defined components necessary to construct the indicator, including numerator, denominator and exclusions.</w:t>
            </w:r>
          </w:p>
          <w:p w14:paraId="2B11B39C" w14:textId="77777777" w:rsidR="002338EB" w:rsidRPr="002338EB" w:rsidRDefault="002338EB" w:rsidP="002338EB">
            <w:pPr>
              <w:pStyle w:val="Paragraph"/>
              <w:spacing w:before="120" w:after="120" w:line="240" w:lineRule="auto"/>
              <w:rPr>
                <w:highlight w:val="lightGray"/>
              </w:rPr>
            </w:pPr>
          </w:p>
        </w:tc>
      </w:tr>
      <w:tr w:rsidR="002338EB" w14:paraId="662392D7" w14:textId="77777777" w:rsidTr="001C517D">
        <w:tc>
          <w:tcPr>
            <w:tcW w:w="5949" w:type="dxa"/>
          </w:tcPr>
          <w:p w14:paraId="0A22C4B3" w14:textId="04C6D67E" w:rsidR="002C1326" w:rsidRPr="00670EB1" w:rsidRDefault="00F3442A" w:rsidP="00670EB1">
            <w:pPr>
              <w:pStyle w:val="Paragraph"/>
              <w:spacing w:before="120" w:after="120"/>
              <w:rPr>
                <w:rFonts w:cs="Arial"/>
                <w:color w:val="000000"/>
                <w:kern w:val="24"/>
                <w:sz w:val="22"/>
                <w:szCs w:val="22"/>
                <w:highlight w:val="lightGray"/>
              </w:rPr>
            </w:pPr>
            <w:r w:rsidRPr="00670EB1">
              <w:rPr>
                <w:rFonts w:cs="Arial"/>
                <w:color w:val="000000"/>
                <w:kern w:val="24"/>
                <w:sz w:val="22"/>
                <w:szCs w:val="22"/>
              </w:rPr>
              <w:t xml:space="preserve">To be classified as suitable for use in QOF, there should be an average minimum population of more than 20 patients per practice eligible for inclusion in the denominator prior to application of personalised care adjustments. </w:t>
            </w:r>
            <w:r w:rsidR="00670EB1" w:rsidRPr="00670EB1">
              <w:rPr>
                <w:rFonts w:cs="Arial"/>
                <w:color w:val="000000"/>
                <w:kern w:val="24"/>
                <w:sz w:val="22"/>
                <w:szCs w:val="22"/>
              </w:rPr>
              <w:t xml:space="preserve">CPRD </w:t>
            </w:r>
            <w:proofErr w:type="spellStart"/>
            <w:r w:rsidR="00670EB1" w:rsidRPr="00670EB1">
              <w:rPr>
                <w:rFonts w:cs="Arial"/>
                <w:color w:val="000000"/>
                <w:kern w:val="24"/>
                <w:sz w:val="22"/>
                <w:szCs w:val="22"/>
              </w:rPr>
              <w:t>Aurum</w:t>
            </w:r>
            <w:proofErr w:type="spellEnd"/>
            <w:r w:rsidR="00670EB1" w:rsidRPr="00670EB1">
              <w:rPr>
                <w:rFonts w:cs="Arial"/>
                <w:color w:val="000000"/>
                <w:kern w:val="24"/>
                <w:sz w:val="22"/>
                <w:szCs w:val="22"/>
              </w:rPr>
              <w:t xml:space="preserve"> data from 2023 to 2024 shows that 1.19% of people in England have a diagnosis of heart failure: 119 patients for an average practice with 10,000 patients.</w:t>
            </w:r>
          </w:p>
        </w:tc>
        <w:tc>
          <w:tcPr>
            <w:tcW w:w="3118" w:type="dxa"/>
          </w:tcPr>
          <w:p w14:paraId="72E0B807" w14:textId="77777777" w:rsidR="002338EB" w:rsidRPr="00F236DD" w:rsidRDefault="002338EB" w:rsidP="002338EB">
            <w:pPr>
              <w:pStyle w:val="Paragraph"/>
              <w:spacing w:before="120" w:after="120" w:line="240" w:lineRule="auto"/>
              <w:rPr>
                <w:rFonts w:cs="Arial"/>
                <w:color w:val="000000"/>
                <w:kern w:val="24"/>
                <w:sz w:val="22"/>
                <w:szCs w:val="22"/>
              </w:rPr>
            </w:pPr>
            <w:r w:rsidRPr="00F236DD">
              <w:rPr>
                <w:rFonts w:cs="Arial"/>
                <w:color w:val="000000"/>
                <w:kern w:val="24"/>
                <w:sz w:val="22"/>
                <w:szCs w:val="22"/>
              </w:rPr>
              <w:t xml:space="preserve">The indicator </w:t>
            </w:r>
            <w:r w:rsidR="002C1326" w:rsidRPr="00F236DD">
              <w:rPr>
                <w:rFonts w:cs="Arial"/>
                <w:color w:val="000000"/>
                <w:kern w:val="24"/>
                <w:sz w:val="22"/>
                <w:szCs w:val="22"/>
              </w:rPr>
              <w:t>does/</w:t>
            </w:r>
            <w:r w:rsidRPr="00F236DD">
              <w:rPr>
                <w:rFonts w:cs="Arial"/>
                <w:color w:val="000000"/>
                <w:kern w:val="24"/>
                <w:sz w:val="22"/>
                <w:szCs w:val="22"/>
              </w:rPr>
              <w:t>does not outline minimum numbers of patients needed to be confident in the assessment of variation.</w:t>
            </w:r>
          </w:p>
          <w:p w14:paraId="3200DCCE" w14:textId="77777777" w:rsidR="000C4A97" w:rsidRPr="002338EB" w:rsidRDefault="000C4A97" w:rsidP="002338EB">
            <w:pPr>
              <w:pStyle w:val="Paragraph"/>
              <w:spacing w:before="120" w:after="120" w:line="240" w:lineRule="auto"/>
              <w:rPr>
                <w:highlight w:val="lightGray"/>
              </w:rPr>
            </w:pPr>
            <w:r w:rsidRPr="00F236DD">
              <w:rPr>
                <w:rFonts w:cs="Arial"/>
                <w:color w:val="000000"/>
                <w:kern w:val="24"/>
                <w:sz w:val="22"/>
                <w:szCs w:val="22"/>
              </w:rPr>
              <w:t>Available data does / does not suggest that the number of eligible patients per average [provider type] would be above this minimum number.</w:t>
            </w:r>
          </w:p>
        </w:tc>
      </w:tr>
    </w:tbl>
    <w:p w14:paraId="7DC5314C" w14:textId="77777777" w:rsidR="002338EB" w:rsidRDefault="002338EB" w:rsidP="002338EB">
      <w:pPr>
        <w:pStyle w:val="Paragraph"/>
      </w:pPr>
    </w:p>
    <w:p w14:paraId="11011FBB" w14:textId="77777777" w:rsidR="002338EB" w:rsidRDefault="002338EB" w:rsidP="00192685">
      <w:pPr>
        <w:pStyle w:val="Heading1"/>
      </w:pPr>
      <w:r>
        <w:t xml:space="preserve">Feasibility </w:t>
      </w:r>
    </w:p>
    <w:tbl>
      <w:tblPr>
        <w:tblStyle w:val="TableGrid"/>
        <w:tblW w:w="9067" w:type="dxa"/>
        <w:tblLook w:val="04A0" w:firstRow="1" w:lastRow="0" w:firstColumn="1" w:lastColumn="0" w:noHBand="0" w:noVBand="1"/>
      </w:tblPr>
      <w:tblGrid>
        <w:gridCol w:w="5949"/>
        <w:gridCol w:w="3118"/>
      </w:tblGrid>
      <w:tr w:rsidR="002338EB" w14:paraId="1314AB7A" w14:textId="77777777" w:rsidTr="001C517D">
        <w:tc>
          <w:tcPr>
            <w:tcW w:w="5949" w:type="dxa"/>
          </w:tcPr>
          <w:p w14:paraId="732B0ACB"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554A00FC"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5462F3F3" w14:textId="77777777" w:rsidTr="001C517D">
        <w:tc>
          <w:tcPr>
            <w:tcW w:w="5949" w:type="dxa"/>
          </w:tcPr>
          <w:p w14:paraId="60C8FA0C" w14:textId="56C9CE1F" w:rsidR="00670EB1" w:rsidRPr="00670EB1" w:rsidRDefault="00F670E4" w:rsidP="00735337">
            <w:pPr>
              <w:pStyle w:val="Paragraph"/>
              <w:spacing w:before="120" w:after="120" w:line="240" w:lineRule="auto"/>
              <w:rPr>
                <w:rFonts w:cs="Arial"/>
                <w:sz w:val="22"/>
                <w:szCs w:val="22"/>
              </w:rPr>
            </w:pPr>
            <w:r w:rsidRPr="00F670E4">
              <w:rPr>
                <w:rFonts w:cs="Arial"/>
                <w:sz w:val="22"/>
                <w:szCs w:val="22"/>
              </w:rPr>
              <w:t>The required data is available with</w:t>
            </w:r>
            <w:r w:rsidR="0006351F">
              <w:rPr>
                <w:rFonts w:cs="Arial"/>
                <w:sz w:val="22"/>
                <w:szCs w:val="22"/>
              </w:rPr>
              <w:t>in</w:t>
            </w:r>
            <w:r w:rsidRPr="00F670E4">
              <w:rPr>
                <w:rFonts w:cs="Arial"/>
                <w:sz w:val="22"/>
                <w:szCs w:val="22"/>
              </w:rPr>
              <w:t xml:space="preserve"> general practice electronic medical records. </w:t>
            </w:r>
          </w:p>
        </w:tc>
        <w:tc>
          <w:tcPr>
            <w:tcW w:w="3118" w:type="dxa"/>
          </w:tcPr>
          <w:p w14:paraId="0379CAE6" w14:textId="77777777" w:rsidR="00735337" w:rsidRPr="00670EB1" w:rsidRDefault="00735337" w:rsidP="00735337">
            <w:pPr>
              <w:spacing w:before="120" w:after="120"/>
              <w:rPr>
                <w:rFonts w:ascii="Arial" w:hAnsi="Arial" w:cs="Arial"/>
                <w:color w:val="000000"/>
                <w:kern w:val="24"/>
                <w:sz w:val="22"/>
                <w:szCs w:val="22"/>
              </w:rPr>
            </w:pPr>
            <w:r w:rsidRPr="00670EB1">
              <w:rPr>
                <w:rFonts w:ascii="Arial" w:hAnsi="Arial" w:cs="Arial"/>
                <w:color w:val="000000"/>
                <w:kern w:val="24"/>
                <w:sz w:val="22"/>
                <w:szCs w:val="22"/>
              </w:rPr>
              <w:t>The indicator is repeatable.</w:t>
            </w:r>
          </w:p>
          <w:p w14:paraId="72698011" w14:textId="77777777" w:rsidR="00735337" w:rsidRPr="00735337" w:rsidRDefault="00735337" w:rsidP="00735337">
            <w:pPr>
              <w:pStyle w:val="Paragraph"/>
              <w:spacing w:before="120" w:after="120" w:line="240" w:lineRule="auto"/>
              <w:rPr>
                <w:highlight w:val="lightGray"/>
              </w:rPr>
            </w:pPr>
          </w:p>
        </w:tc>
      </w:tr>
      <w:tr w:rsidR="00735337" w14:paraId="529CBDD5" w14:textId="77777777" w:rsidTr="001C517D">
        <w:tc>
          <w:tcPr>
            <w:tcW w:w="5949" w:type="dxa"/>
          </w:tcPr>
          <w:p w14:paraId="1833082A" w14:textId="7497321F" w:rsidR="00735337" w:rsidRDefault="00F670E4" w:rsidP="00F236DD">
            <w:pPr>
              <w:spacing w:before="120" w:after="120"/>
              <w:rPr>
                <w:rFonts w:ascii="Arial" w:hAnsi="Arial" w:cs="Arial"/>
                <w:sz w:val="22"/>
                <w:szCs w:val="22"/>
                <w:highlight w:val="lightGray"/>
              </w:rPr>
            </w:pPr>
            <w:r w:rsidRPr="00F670E4">
              <w:rPr>
                <w:rFonts w:ascii="Arial" w:hAnsi="Arial" w:cs="Arial"/>
                <w:sz w:val="22"/>
                <w:szCs w:val="22"/>
              </w:rPr>
              <w:t xml:space="preserve">SNOMED codes exist for recording ejection fraction category however testing in CPRD </w:t>
            </w:r>
            <w:proofErr w:type="spellStart"/>
            <w:r w:rsidRPr="00F670E4">
              <w:rPr>
                <w:rFonts w:ascii="Arial" w:hAnsi="Arial" w:cs="Arial"/>
                <w:sz w:val="22"/>
                <w:szCs w:val="22"/>
              </w:rPr>
              <w:t>Aurum</w:t>
            </w:r>
            <w:proofErr w:type="spellEnd"/>
            <w:r w:rsidRPr="00F670E4">
              <w:rPr>
                <w:rFonts w:ascii="Arial" w:hAnsi="Arial" w:cs="Arial"/>
                <w:sz w:val="22"/>
                <w:szCs w:val="22"/>
              </w:rPr>
              <w:t xml:space="preserve"> suggests around 58% of people with heart failure have no ejection fraction category recorded in their general practice record</w:t>
            </w:r>
            <w:r>
              <w:rPr>
                <w:rFonts w:ascii="Arial" w:hAnsi="Arial" w:cs="Arial"/>
                <w:sz w:val="22"/>
                <w:szCs w:val="22"/>
              </w:rPr>
              <w:t xml:space="preserve">. </w:t>
            </w:r>
          </w:p>
        </w:tc>
        <w:tc>
          <w:tcPr>
            <w:tcW w:w="3118" w:type="dxa"/>
          </w:tcPr>
          <w:p w14:paraId="78CCFBC9" w14:textId="77777777" w:rsidR="00735337" w:rsidRPr="00F236DD" w:rsidRDefault="00735337" w:rsidP="00735337">
            <w:pPr>
              <w:spacing w:before="120" w:after="120"/>
              <w:rPr>
                <w:rFonts w:ascii="Arial" w:hAnsi="Arial" w:cs="Arial"/>
                <w:color w:val="000000"/>
                <w:kern w:val="24"/>
                <w:sz w:val="22"/>
                <w:szCs w:val="22"/>
              </w:rPr>
            </w:pPr>
            <w:r w:rsidRPr="00F236DD">
              <w:rPr>
                <w:rFonts w:ascii="Arial" w:hAnsi="Arial" w:cs="Arial"/>
                <w:color w:val="000000"/>
                <w:kern w:val="24"/>
                <w:sz w:val="22"/>
                <w:szCs w:val="22"/>
              </w:rPr>
              <w:t xml:space="preserve">The indicator is measuring what it is designed to measure. </w:t>
            </w:r>
          </w:p>
          <w:p w14:paraId="6AE447A0" w14:textId="77777777" w:rsidR="00735337" w:rsidRPr="00735337" w:rsidRDefault="00735337" w:rsidP="00735337">
            <w:pPr>
              <w:spacing w:before="120" w:after="120"/>
              <w:rPr>
                <w:rFonts w:ascii="Arial" w:hAnsi="Arial" w:cs="Arial"/>
                <w:color w:val="000000"/>
                <w:kern w:val="24"/>
                <w:sz w:val="22"/>
                <w:szCs w:val="22"/>
                <w:highlight w:val="lightGray"/>
              </w:rPr>
            </w:pPr>
            <w:r w:rsidRPr="00F236DD">
              <w:rPr>
                <w:rFonts w:ascii="Arial" w:hAnsi="Arial" w:cs="Arial"/>
                <w:color w:val="000000"/>
                <w:kern w:val="24"/>
                <w:sz w:val="22"/>
                <w:szCs w:val="22"/>
              </w:rPr>
              <w:t>The indicator uses existing data fields.</w:t>
            </w:r>
          </w:p>
        </w:tc>
      </w:tr>
    </w:tbl>
    <w:p w14:paraId="622B8631" w14:textId="77777777" w:rsidR="002338EB" w:rsidRDefault="002338EB" w:rsidP="002338EB">
      <w:pPr>
        <w:pStyle w:val="Paragraph"/>
      </w:pPr>
    </w:p>
    <w:p w14:paraId="3AC802A2" w14:textId="77777777" w:rsidR="002338EB" w:rsidRDefault="002338EB" w:rsidP="00192685">
      <w:pPr>
        <w:pStyle w:val="Heading1"/>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2B2F087F" w14:textId="77777777" w:rsidTr="001C517D">
        <w:tc>
          <w:tcPr>
            <w:tcW w:w="5949" w:type="dxa"/>
          </w:tcPr>
          <w:p w14:paraId="2619CBDB"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46AE6394"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17EBFE27" w14:textId="77777777" w:rsidTr="001C517D">
        <w:tc>
          <w:tcPr>
            <w:tcW w:w="5949" w:type="dxa"/>
          </w:tcPr>
          <w:p w14:paraId="48A67D24" w14:textId="28414C68" w:rsidR="00735337" w:rsidRPr="00A47852" w:rsidRDefault="00F670E4" w:rsidP="00735337">
            <w:pPr>
              <w:pStyle w:val="Paragraph"/>
              <w:spacing w:before="120" w:after="120" w:line="240" w:lineRule="auto"/>
              <w:rPr>
                <w:highlight w:val="lightGray"/>
              </w:rPr>
            </w:pPr>
            <w:r w:rsidRPr="00F670E4">
              <w:rPr>
                <w:rFonts w:cs="Arial"/>
                <w:sz w:val="22"/>
                <w:szCs w:val="22"/>
              </w:rPr>
              <w:t xml:space="preserve">Stakeholders supported the indicator focusing on the </w:t>
            </w:r>
            <w:r>
              <w:rPr>
                <w:rFonts w:cs="Arial"/>
                <w:sz w:val="22"/>
                <w:szCs w:val="22"/>
              </w:rPr>
              <w:t>re</w:t>
            </w:r>
            <w:r w:rsidRPr="00F236DD">
              <w:rPr>
                <w:rFonts w:cs="Arial"/>
                <w:sz w:val="22"/>
                <w:szCs w:val="22"/>
              </w:rPr>
              <w:t>cording of ejection fraction category</w:t>
            </w:r>
            <w:r w:rsidRPr="00F670E4">
              <w:rPr>
                <w:rFonts w:cs="Arial"/>
                <w:sz w:val="22"/>
                <w:szCs w:val="22"/>
              </w:rPr>
              <w:t xml:space="preserve"> but noted that reporting of ejection fraction category is the responsibility of secondary care, not general practice.</w:t>
            </w:r>
            <w:r>
              <w:rPr>
                <w:rFonts w:cs="Arial"/>
                <w:sz w:val="22"/>
                <w:szCs w:val="22"/>
              </w:rPr>
              <w:t xml:space="preserve"> If ejection category is not reported it would require general practice resource to seek clarification. </w:t>
            </w:r>
          </w:p>
        </w:tc>
        <w:tc>
          <w:tcPr>
            <w:tcW w:w="3118" w:type="dxa"/>
          </w:tcPr>
          <w:p w14:paraId="5DF194F2" w14:textId="3FB0379E" w:rsidR="00735337" w:rsidRPr="00A47852" w:rsidRDefault="00735337" w:rsidP="00735337">
            <w:pPr>
              <w:pStyle w:val="Paragraph"/>
              <w:spacing w:before="120" w:after="120" w:line="240" w:lineRule="auto"/>
              <w:rPr>
                <w:highlight w:val="lightGray"/>
              </w:rPr>
            </w:pPr>
            <w:r w:rsidRPr="00F236DD">
              <w:rPr>
                <w:rFonts w:cs="Arial"/>
                <w:color w:val="000000"/>
                <w:kern w:val="24"/>
                <w:sz w:val="22"/>
                <w:szCs w:val="22"/>
              </w:rPr>
              <w:t>The indicator assesses performance that is attributable to or within the control of the audience</w:t>
            </w:r>
            <w:r w:rsidR="00F236DD">
              <w:rPr>
                <w:rFonts w:cs="Arial"/>
                <w:color w:val="000000"/>
                <w:kern w:val="24"/>
                <w:sz w:val="22"/>
                <w:szCs w:val="22"/>
              </w:rPr>
              <w:t>.</w:t>
            </w:r>
          </w:p>
        </w:tc>
      </w:tr>
      <w:tr w:rsidR="00735337" w14:paraId="107B1D1E" w14:textId="77777777" w:rsidTr="001C517D">
        <w:tc>
          <w:tcPr>
            <w:tcW w:w="5949" w:type="dxa"/>
          </w:tcPr>
          <w:p w14:paraId="39F20EF9" w14:textId="7A4546FE" w:rsidR="00735337" w:rsidRPr="00670EB1" w:rsidRDefault="00F670E4" w:rsidP="00735337">
            <w:pPr>
              <w:pStyle w:val="Paragraph"/>
              <w:spacing w:before="120" w:after="120" w:line="240" w:lineRule="auto"/>
            </w:pPr>
            <w:r w:rsidRPr="00F670E4">
              <w:rPr>
                <w:rFonts w:cs="Arial"/>
                <w:sz w:val="22"/>
                <w:szCs w:val="22"/>
              </w:rPr>
              <w:lastRenderedPageBreak/>
              <w:t>Data can be extracted and used to compare the performance of GP practices.</w:t>
            </w:r>
          </w:p>
        </w:tc>
        <w:tc>
          <w:tcPr>
            <w:tcW w:w="3118" w:type="dxa"/>
          </w:tcPr>
          <w:p w14:paraId="16352939" w14:textId="431F62A1" w:rsidR="00735337" w:rsidRPr="00670EB1" w:rsidRDefault="00735337" w:rsidP="00735337">
            <w:pPr>
              <w:pStyle w:val="Paragraph"/>
              <w:spacing w:before="120" w:after="120" w:line="240" w:lineRule="auto"/>
            </w:pPr>
            <w:r w:rsidRPr="00670EB1">
              <w:rPr>
                <w:rFonts w:cs="Arial"/>
                <w:color w:val="000000"/>
                <w:kern w:val="24"/>
                <w:sz w:val="22"/>
                <w:szCs w:val="22"/>
              </w:rPr>
              <w:t>The results of the indicator can be used to improve practice</w:t>
            </w:r>
            <w:r w:rsidR="00F236DD">
              <w:rPr>
                <w:rFonts w:cs="Arial"/>
                <w:color w:val="000000"/>
                <w:kern w:val="24"/>
                <w:sz w:val="22"/>
                <w:szCs w:val="22"/>
              </w:rPr>
              <w:t>.</w:t>
            </w:r>
          </w:p>
        </w:tc>
      </w:tr>
    </w:tbl>
    <w:p w14:paraId="5E18BE38" w14:textId="77777777" w:rsidR="002338EB" w:rsidRDefault="002338EB" w:rsidP="002338EB">
      <w:pPr>
        <w:pStyle w:val="Paragraph"/>
      </w:pPr>
    </w:p>
    <w:p w14:paraId="76465EA1" w14:textId="77777777" w:rsidR="00A47852" w:rsidRDefault="00A47852" w:rsidP="00192685">
      <w:pPr>
        <w:pStyle w:val="Heading1"/>
      </w:pPr>
      <w:r>
        <w:t>Risk</w:t>
      </w:r>
    </w:p>
    <w:tbl>
      <w:tblPr>
        <w:tblStyle w:val="TableGrid"/>
        <w:tblW w:w="9067" w:type="dxa"/>
        <w:tblLook w:val="04A0" w:firstRow="1" w:lastRow="0" w:firstColumn="1" w:lastColumn="0" w:noHBand="0" w:noVBand="1"/>
      </w:tblPr>
      <w:tblGrid>
        <w:gridCol w:w="5949"/>
        <w:gridCol w:w="3118"/>
      </w:tblGrid>
      <w:tr w:rsidR="00A47852" w14:paraId="7DCBBFF6" w14:textId="77777777" w:rsidTr="001C517D">
        <w:tc>
          <w:tcPr>
            <w:tcW w:w="5949" w:type="dxa"/>
          </w:tcPr>
          <w:p w14:paraId="04A94319"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C7FCC41"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22D5EBB7" w14:textId="77777777" w:rsidTr="001C517D">
        <w:tc>
          <w:tcPr>
            <w:tcW w:w="5949" w:type="dxa"/>
          </w:tcPr>
          <w:p w14:paraId="15C1EA83" w14:textId="5B8DA12A" w:rsidR="00A47852" w:rsidRPr="00A47852" w:rsidRDefault="00F670E4" w:rsidP="00A47852">
            <w:pPr>
              <w:pStyle w:val="Paragraph"/>
              <w:spacing w:before="120" w:after="120" w:line="240" w:lineRule="auto"/>
              <w:rPr>
                <w:highlight w:val="lightGray"/>
              </w:rPr>
            </w:pPr>
            <w:r w:rsidRPr="00F670E4">
              <w:rPr>
                <w:rFonts w:cs="Arial"/>
                <w:color w:val="000000"/>
                <w:kern w:val="24"/>
                <w:sz w:val="22"/>
                <w:szCs w:val="22"/>
                <w:lang w:eastAsia="en-GB"/>
              </w:rPr>
              <w:t>Stakeholder</w:t>
            </w:r>
            <w:r>
              <w:rPr>
                <w:rFonts w:cs="Arial"/>
                <w:color w:val="000000"/>
                <w:kern w:val="24"/>
                <w:sz w:val="22"/>
                <w:szCs w:val="22"/>
                <w:lang w:eastAsia="en-GB"/>
              </w:rPr>
              <w:t>s</w:t>
            </w:r>
            <w:r w:rsidRPr="00F670E4">
              <w:rPr>
                <w:rFonts w:cs="Arial"/>
                <w:color w:val="000000"/>
                <w:kern w:val="24"/>
                <w:sz w:val="22"/>
                <w:szCs w:val="22"/>
                <w:lang w:eastAsia="en-GB"/>
              </w:rPr>
              <w:t xml:space="preserve"> highlighted </w:t>
            </w:r>
            <w:r>
              <w:rPr>
                <w:rFonts w:cs="Arial"/>
                <w:color w:val="000000"/>
                <w:kern w:val="24"/>
                <w:sz w:val="22"/>
                <w:szCs w:val="22"/>
                <w:lang w:eastAsia="en-GB"/>
              </w:rPr>
              <w:t>that focusing only on patients newly diagnosed risks perpetuating under treatment in patients with long-standing diagnosed chronic heart failure</w:t>
            </w:r>
            <w:r w:rsidRPr="00F670E4">
              <w:rPr>
                <w:rFonts w:cs="Arial"/>
                <w:color w:val="000000"/>
                <w:kern w:val="24"/>
                <w:sz w:val="22"/>
                <w:szCs w:val="22"/>
                <w:lang w:eastAsia="en-GB"/>
              </w:rPr>
              <w:t>.</w:t>
            </w:r>
            <w:r>
              <w:rPr>
                <w:rFonts w:cs="Arial"/>
                <w:color w:val="000000"/>
                <w:kern w:val="24"/>
                <w:sz w:val="22"/>
                <w:szCs w:val="22"/>
                <w:lang w:eastAsia="en-GB"/>
              </w:rPr>
              <w:t xml:space="preserve"> T</w:t>
            </w:r>
            <w:r w:rsidRPr="00F670E4">
              <w:rPr>
                <w:rFonts w:cs="Arial"/>
                <w:color w:val="000000"/>
                <w:kern w:val="24"/>
                <w:sz w:val="22"/>
                <w:szCs w:val="22"/>
                <w:lang w:eastAsia="en-GB"/>
              </w:rPr>
              <w:t>he committee agreed that this is a pragmatic approach because a retrospective review of all patients would not be practical nor would referring all patients back to specialist care</w:t>
            </w:r>
            <w:r w:rsidRPr="00F670E4" w:rsidDel="00F670E4">
              <w:rPr>
                <w:rFonts w:cs="Arial"/>
                <w:color w:val="000000"/>
                <w:kern w:val="24"/>
                <w:sz w:val="22"/>
                <w:szCs w:val="22"/>
                <w:lang w:eastAsia="en-GB"/>
              </w:rPr>
              <w:t xml:space="preserve"> </w:t>
            </w:r>
          </w:p>
        </w:tc>
        <w:tc>
          <w:tcPr>
            <w:tcW w:w="3118" w:type="dxa"/>
          </w:tcPr>
          <w:p w14:paraId="19210552" w14:textId="77777777" w:rsidR="00A47852" w:rsidRPr="00A47852" w:rsidRDefault="00A47852" w:rsidP="00A47852">
            <w:pPr>
              <w:pStyle w:val="Paragraph"/>
              <w:spacing w:before="120" w:after="120" w:line="240" w:lineRule="auto"/>
              <w:rPr>
                <w:highlight w:val="lightGray"/>
              </w:rPr>
            </w:pPr>
            <w:r w:rsidRPr="00670EB1">
              <w:rPr>
                <w:rFonts w:cs="Arial"/>
                <w:color w:val="000000"/>
                <w:kern w:val="24"/>
                <w:sz w:val="22"/>
                <w:szCs w:val="22"/>
              </w:rPr>
              <w:t>The indicator has an acceptable risk of unintended consequences.</w:t>
            </w:r>
          </w:p>
        </w:tc>
      </w:tr>
    </w:tbl>
    <w:p w14:paraId="03C0858E" w14:textId="77777777" w:rsidR="002338EB" w:rsidRDefault="002338EB" w:rsidP="002338EB">
      <w:pPr>
        <w:pStyle w:val="Paragraph"/>
      </w:pPr>
    </w:p>
    <w:p w14:paraId="14CBA3BD" w14:textId="77777777" w:rsidR="006C3D61" w:rsidRDefault="006C3D61" w:rsidP="00192685">
      <w:pPr>
        <w:pStyle w:val="Heading1"/>
      </w:pPr>
      <w:r>
        <w:t>NICE indicator advisory committee recommendation</w:t>
      </w:r>
    </w:p>
    <w:p w14:paraId="5B531424" w14:textId="03DEE2EA" w:rsidR="0077603D" w:rsidRPr="00407F14" w:rsidRDefault="0077603D" w:rsidP="00F236DD">
      <w:pPr>
        <w:pStyle w:val="Paragraph"/>
      </w:pPr>
      <w:r w:rsidRPr="00F236DD">
        <w:t>The NICE indicator advisory committee approved this indicator for publication on the menu</w:t>
      </w:r>
      <w:r w:rsidR="00F670E4" w:rsidRPr="00F236DD">
        <w:t>.</w:t>
      </w:r>
    </w:p>
    <w:p w14:paraId="1D3884DE" w14:textId="77777777" w:rsidR="00D73835" w:rsidRDefault="00D73835" w:rsidP="003605D5">
      <w:pPr>
        <w:pStyle w:val="Heading1"/>
      </w:pPr>
    </w:p>
    <w:sectPr w:rsidR="00D73835" w:rsidSect="003E4657">
      <w:headerReference w:type="default" r:id="rId12"/>
      <w:footerReference w:type="default" r:id="rId13"/>
      <w:headerReference w:type="first" r:id="rId14"/>
      <w:footerReference w:type="first" r:id="rId15"/>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618FF" w14:textId="77777777" w:rsidR="005E2B26" w:rsidRDefault="005E2B26" w:rsidP="00446BEE">
      <w:r>
        <w:separator/>
      </w:r>
    </w:p>
  </w:endnote>
  <w:endnote w:type="continuationSeparator" w:id="0">
    <w:p w14:paraId="7C724791" w14:textId="77777777" w:rsidR="005E2B26" w:rsidRDefault="005E2B26"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D3944" w14:textId="30CDE846" w:rsidR="00BB14CA" w:rsidRPr="008C1C95" w:rsidRDefault="00F670E4" w:rsidP="008C1C95">
    <w:pPr>
      <w:pStyle w:val="Footer"/>
      <w:jc w:val="right"/>
    </w:pPr>
    <w:r>
      <w:t>IND318: v</w:t>
    </w:r>
    <w:r w:rsidR="009B0E59">
      <w:t xml:space="preserve">alidity assessment </w:t>
    </w:r>
    <w:r>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2473C" w14:textId="77777777" w:rsidR="00945499" w:rsidRPr="008C1C95" w:rsidRDefault="00945499" w:rsidP="00945499">
    <w:pPr>
      <w:pStyle w:val="Footer"/>
      <w:jc w:val="right"/>
    </w:pPr>
    <w:r>
      <w:t xml:space="preserve">IND318: validity assessment </w:t>
    </w:r>
    <w:r>
      <w:tab/>
    </w:r>
    <w:r>
      <w:tab/>
    </w:r>
    <w:r>
      <w:fldChar w:fldCharType="begin"/>
    </w:r>
    <w:r>
      <w:instrText xml:space="preserve"> PAGE </w:instrText>
    </w:r>
    <w:r>
      <w:fldChar w:fldCharType="separate"/>
    </w:r>
    <w:r>
      <w:t>2</w:t>
    </w:r>
    <w:r>
      <w:fldChar w:fldCharType="end"/>
    </w:r>
    <w:r>
      <w:t xml:space="preserve"> of </w:t>
    </w:r>
    <w:r>
      <w:rPr>
        <w:noProof/>
      </w:rPr>
      <w:fldChar w:fldCharType="begin"/>
    </w:r>
    <w:r>
      <w:rPr>
        <w:noProof/>
      </w:rPr>
      <w:instrText xml:space="preserve"> NUMPAGES  </w:instrText>
    </w:r>
    <w:r>
      <w:rPr>
        <w:noProof/>
      </w:rPr>
      <w:fldChar w:fldCharType="separate"/>
    </w:r>
    <w:r>
      <w:rPr>
        <w:noProof/>
      </w:rPr>
      <w:t>3</w:t>
    </w:r>
    <w:r>
      <w:rPr>
        <w:noProof/>
      </w:rPr>
      <w:fldChar w:fldCharType="end"/>
    </w:r>
  </w:p>
  <w:p w14:paraId="79B2D05D" w14:textId="77777777" w:rsidR="00945499" w:rsidRDefault="00945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6978A" w14:textId="77777777" w:rsidR="005E2B26" w:rsidRDefault="005E2B26" w:rsidP="00446BEE">
      <w:r>
        <w:separator/>
      </w:r>
    </w:p>
  </w:footnote>
  <w:footnote w:type="continuationSeparator" w:id="0">
    <w:p w14:paraId="3F599D4C" w14:textId="77777777" w:rsidR="005E2B26" w:rsidRDefault="005E2B26"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AE8F9" w14:textId="77777777" w:rsidR="00BB14CA" w:rsidRDefault="00BB14CA" w:rsidP="003E4657">
    <w:pPr>
      <w:pStyle w:val="Header"/>
      <w:tabs>
        <w:tab w:val="left" w:pos="2768"/>
        <w:tab w:val="center" w:pos="4156"/>
      </w:tabs>
      <w:rPr>
        <w:b/>
        <w:color w:val="FF0000"/>
        <w:sz w:val="22"/>
        <w:szCs w:val="22"/>
      </w:rPr>
    </w:pPr>
  </w:p>
  <w:p w14:paraId="16D853A7" w14:textId="77777777" w:rsidR="00BB14CA" w:rsidRPr="00482C01" w:rsidRDefault="00BB14CA" w:rsidP="00670FFB">
    <w:pPr>
      <w:pStyle w:val="Header"/>
      <w:tabs>
        <w:tab w:val="left" w:pos="2768"/>
        <w:tab w:val="center" w:pos="4156"/>
      </w:tabs>
      <w:rPr>
        <w:b/>
        <w:color w:val="FF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1CD3" w14:textId="77777777" w:rsidR="003E4657" w:rsidRDefault="003E4657">
    <w:pPr>
      <w:pStyle w:val="Header"/>
    </w:pPr>
    <w:r w:rsidRPr="003E4657">
      <w:rPr>
        <w:rFonts w:ascii="Times New Roman" w:hAnsi="Times New Roman"/>
        <w:noProof/>
        <w:lang w:eastAsia="en-GB"/>
      </w:rPr>
      <w:drawing>
        <wp:inline distT="0" distB="0" distL="0" distR="0" wp14:anchorId="6AEBBC17" wp14:editId="709BA2E8">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496AA87"/>
    <w:multiLevelType w:val="hybridMultilevel"/>
    <w:tmpl w:val="FFFFFFFF"/>
    <w:lvl w:ilvl="0" w:tplc="E0B40DC0">
      <w:start w:val="1"/>
      <w:numFmt w:val="bullet"/>
      <w:lvlText w:val="·"/>
      <w:lvlJc w:val="left"/>
      <w:pPr>
        <w:ind w:left="720" w:hanging="360"/>
      </w:pPr>
      <w:rPr>
        <w:rFonts w:ascii="Symbol" w:hAnsi="Symbol" w:hint="default"/>
      </w:rPr>
    </w:lvl>
    <w:lvl w:ilvl="1" w:tplc="D19E45E8">
      <w:start w:val="1"/>
      <w:numFmt w:val="bullet"/>
      <w:lvlText w:val="o"/>
      <w:lvlJc w:val="left"/>
      <w:pPr>
        <w:ind w:left="1440" w:hanging="360"/>
      </w:pPr>
      <w:rPr>
        <w:rFonts w:ascii="Courier New" w:hAnsi="Courier New" w:hint="default"/>
      </w:rPr>
    </w:lvl>
    <w:lvl w:ilvl="2" w:tplc="26C4A59A">
      <w:start w:val="1"/>
      <w:numFmt w:val="bullet"/>
      <w:lvlText w:val=""/>
      <w:lvlJc w:val="left"/>
      <w:pPr>
        <w:ind w:left="2160" w:hanging="360"/>
      </w:pPr>
      <w:rPr>
        <w:rFonts w:ascii="Wingdings" w:hAnsi="Wingdings" w:hint="default"/>
      </w:rPr>
    </w:lvl>
    <w:lvl w:ilvl="3" w:tplc="752E05FA">
      <w:start w:val="1"/>
      <w:numFmt w:val="bullet"/>
      <w:lvlText w:val=""/>
      <w:lvlJc w:val="left"/>
      <w:pPr>
        <w:ind w:left="2880" w:hanging="360"/>
      </w:pPr>
      <w:rPr>
        <w:rFonts w:ascii="Symbol" w:hAnsi="Symbol" w:hint="default"/>
      </w:rPr>
    </w:lvl>
    <w:lvl w:ilvl="4" w:tplc="8518482E">
      <w:start w:val="1"/>
      <w:numFmt w:val="bullet"/>
      <w:lvlText w:val="o"/>
      <w:lvlJc w:val="left"/>
      <w:pPr>
        <w:ind w:left="3600" w:hanging="360"/>
      </w:pPr>
      <w:rPr>
        <w:rFonts w:ascii="Courier New" w:hAnsi="Courier New" w:hint="default"/>
      </w:rPr>
    </w:lvl>
    <w:lvl w:ilvl="5" w:tplc="8EDABA72">
      <w:start w:val="1"/>
      <w:numFmt w:val="bullet"/>
      <w:lvlText w:val=""/>
      <w:lvlJc w:val="left"/>
      <w:pPr>
        <w:ind w:left="4320" w:hanging="360"/>
      </w:pPr>
      <w:rPr>
        <w:rFonts w:ascii="Wingdings" w:hAnsi="Wingdings" w:hint="default"/>
      </w:rPr>
    </w:lvl>
    <w:lvl w:ilvl="6" w:tplc="330A8A26">
      <w:start w:val="1"/>
      <w:numFmt w:val="bullet"/>
      <w:lvlText w:val=""/>
      <w:lvlJc w:val="left"/>
      <w:pPr>
        <w:ind w:left="5040" w:hanging="360"/>
      </w:pPr>
      <w:rPr>
        <w:rFonts w:ascii="Symbol" w:hAnsi="Symbol" w:hint="default"/>
      </w:rPr>
    </w:lvl>
    <w:lvl w:ilvl="7" w:tplc="6BC49C7C">
      <w:start w:val="1"/>
      <w:numFmt w:val="bullet"/>
      <w:lvlText w:val="o"/>
      <w:lvlJc w:val="left"/>
      <w:pPr>
        <w:ind w:left="5760" w:hanging="360"/>
      </w:pPr>
      <w:rPr>
        <w:rFonts w:ascii="Courier New" w:hAnsi="Courier New" w:hint="default"/>
      </w:rPr>
    </w:lvl>
    <w:lvl w:ilvl="8" w:tplc="EB7EBFE2">
      <w:start w:val="1"/>
      <w:numFmt w:val="bullet"/>
      <w:lvlText w:val=""/>
      <w:lvlJc w:val="left"/>
      <w:pPr>
        <w:ind w:left="6480" w:hanging="360"/>
      </w:pPr>
      <w:rPr>
        <w:rFonts w:ascii="Wingdings" w:hAnsi="Wingdings" w:hint="default"/>
      </w:rPr>
    </w:lvl>
  </w:abstractNum>
  <w:abstractNum w:abstractNumId="14"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2"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238192">
    <w:abstractNumId w:val="32"/>
  </w:num>
  <w:num w:numId="2" w16cid:durableId="233853175">
    <w:abstractNumId w:val="11"/>
  </w:num>
  <w:num w:numId="3" w16cid:durableId="1529370562">
    <w:abstractNumId w:val="28"/>
  </w:num>
  <w:num w:numId="4" w16cid:durableId="657612754">
    <w:abstractNumId w:val="12"/>
  </w:num>
  <w:num w:numId="5" w16cid:durableId="1193808871">
    <w:abstractNumId w:val="25"/>
  </w:num>
  <w:num w:numId="6" w16cid:durableId="781268177">
    <w:abstractNumId w:val="1"/>
  </w:num>
  <w:num w:numId="7" w16cid:durableId="201872007">
    <w:abstractNumId w:val="10"/>
  </w:num>
  <w:num w:numId="8" w16cid:durableId="1295333019">
    <w:abstractNumId w:val="23"/>
  </w:num>
  <w:num w:numId="9" w16cid:durableId="513112173">
    <w:abstractNumId w:val="24"/>
  </w:num>
  <w:num w:numId="10" w16cid:durableId="2049523386">
    <w:abstractNumId w:val="5"/>
  </w:num>
  <w:num w:numId="11" w16cid:durableId="1370840847">
    <w:abstractNumId w:val="7"/>
  </w:num>
  <w:num w:numId="12" w16cid:durableId="1021859395">
    <w:abstractNumId w:val="2"/>
  </w:num>
  <w:num w:numId="13" w16cid:durableId="1167093030">
    <w:abstractNumId w:val="31"/>
  </w:num>
  <w:num w:numId="14" w16cid:durableId="1771392860">
    <w:abstractNumId w:val="15"/>
  </w:num>
  <w:num w:numId="15" w16cid:durableId="1260019971">
    <w:abstractNumId w:val="9"/>
  </w:num>
  <w:num w:numId="16" w16cid:durableId="546987736">
    <w:abstractNumId w:val="20"/>
  </w:num>
  <w:num w:numId="17" w16cid:durableId="2137412053">
    <w:abstractNumId w:val="17"/>
  </w:num>
  <w:num w:numId="18" w16cid:durableId="2039037637">
    <w:abstractNumId w:val="22"/>
  </w:num>
  <w:num w:numId="19" w16cid:durableId="1939945119">
    <w:abstractNumId w:val="26"/>
  </w:num>
  <w:num w:numId="20" w16cid:durableId="1057584041">
    <w:abstractNumId w:val="6"/>
  </w:num>
  <w:num w:numId="21" w16cid:durableId="1439716324">
    <w:abstractNumId w:val="29"/>
  </w:num>
  <w:num w:numId="22" w16cid:durableId="321355733">
    <w:abstractNumId w:val="0"/>
  </w:num>
  <w:num w:numId="23" w16cid:durableId="317730129">
    <w:abstractNumId w:val="4"/>
  </w:num>
  <w:num w:numId="24" w16cid:durableId="480850916">
    <w:abstractNumId w:val="27"/>
  </w:num>
  <w:num w:numId="25" w16cid:durableId="130027160">
    <w:abstractNumId w:val="19"/>
  </w:num>
  <w:num w:numId="26" w16cid:durableId="58794158">
    <w:abstractNumId w:val="18"/>
  </w:num>
  <w:num w:numId="27" w16cid:durableId="21445449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5674182">
    <w:abstractNumId w:val="8"/>
  </w:num>
  <w:num w:numId="29" w16cid:durableId="1249540939">
    <w:abstractNumId w:val="5"/>
  </w:num>
  <w:num w:numId="30" w16cid:durableId="1681851572">
    <w:abstractNumId w:val="14"/>
  </w:num>
  <w:num w:numId="31" w16cid:durableId="1344086205">
    <w:abstractNumId w:val="5"/>
  </w:num>
  <w:num w:numId="32" w16cid:durableId="1152327747">
    <w:abstractNumId w:val="5"/>
  </w:num>
  <w:num w:numId="33" w16cid:durableId="1533374662">
    <w:abstractNumId w:val="5"/>
  </w:num>
  <w:num w:numId="34" w16cid:durableId="827785448">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5142198">
    <w:abstractNumId w:val="5"/>
  </w:num>
  <w:num w:numId="36" w16cid:durableId="1121265795">
    <w:abstractNumId w:val="5"/>
  </w:num>
  <w:num w:numId="37" w16cid:durableId="1261986610">
    <w:abstractNumId w:val="5"/>
  </w:num>
  <w:num w:numId="38" w16cid:durableId="413625216">
    <w:abstractNumId w:val="30"/>
  </w:num>
  <w:num w:numId="39" w16cid:durableId="1357119577">
    <w:abstractNumId w:val="21"/>
  </w:num>
  <w:num w:numId="40" w16cid:durableId="1472091102">
    <w:abstractNumId w:val="3"/>
  </w:num>
  <w:num w:numId="41" w16cid:durableId="1149401755">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B26"/>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7A05"/>
    <w:rsid w:val="00060DA1"/>
    <w:rsid w:val="0006231E"/>
    <w:rsid w:val="00062405"/>
    <w:rsid w:val="00063213"/>
    <w:rsid w:val="0006351F"/>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A97"/>
    <w:rsid w:val="000C4D57"/>
    <w:rsid w:val="000C4EE8"/>
    <w:rsid w:val="000C7A5D"/>
    <w:rsid w:val="000D04B0"/>
    <w:rsid w:val="000D1487"/>
    <w:rsid w:val="000D3776"/>
    <w:rsid w:val="000E0E0D"/>
    <w:rsid w:val="000E4899"/>
    <w:rsid w:val="000E6190"/>
    <w:rsid w:val="000E7E3C"/>
    <w:rsid w:val="000F1F9F"/>
    <w:rsid w:val="000F3B49"/>
    <w:rsid w:val="000F6502"/>
    <w:rsid w:val="001043B0"/>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5596"/>
    <w:rsid w:val="00136466"/>
    <w:rsid w:val="001368F7"/>
    <w:rsid w:val="00140B46"/>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9E5"/>
    <w:rsid w:val="00182263"/>
    <w:rsid w:val="0018281C"/>
    <w:rsid w:val="00185F6B"/>
    <w:rsid w:val="00187570"/>
    <w:rsid w:val="00192188"/>
    <w:rsid w:val="00192685"/>
    <w:rsid w:val="00192B09"/>
    <w:rsid w:val="001936A7"/>
    <w:rsid w:val="00193D4B"/>
    <w:rsid w:val="00194E6C"/>
    <w:rsid w:val="00196653"/>
    <w:rsid w:val="00196E29"/>
    <w:rsid w:val="001976DA"/>
    <w:rsid w:val="001A056C"/>
    <w:rsid w:val="001A23E4"/>
    <w:rsid w:val="001A281B"/>
    <w:rsid w:val="001A3011"/>
    <w:rsid w:val="001A3CA6"/>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957"/>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FF4"/>
    <w:rsid w:val="00230A13"/>
    <w:rsid w:val="002331C6"/>
    <w:rsid w:val="002338EB"/>
    <w:rsid w:val="00236060"/>
    <w:rsid w:val="00236B76"/>
    <w:rsid w:val="002408EA"/>
    <w:rsid w:val="00241410"/>
    <w:rsid w:val="002549B2"/>
    <w:rsid w:val="002563DF"/>
    <w:rsid w:val="0026014A"/>
    <w:rsid w:val="0026108E"/>
    <w:rsid w:val="002614ED"/>
    <w:rsid w:val="00265142"/>
    <w:rsid w:val="002656F0"/>
    <w:rsid w:val="00266AA6"/>
    <w:rsid w:val="00266B50"/>
    <w:rsid w:val="00270605"/>
    <w:rsid w:val="00271804"/>
    <w:rsid w:val="00271857"/>
    <w:rsid w:val="00276AC9"/>
    <w:rsid w:val="00277ED2"/>
    <w:rsid w:val="00280F8A"/>
    <w:rsid w:val="00286537"/>
    <w:rsid w:val="00286C3A"/>
    <w:rsid w:val="00287467"/>
    <w:rsid w:val="00291A5B"/>
    <w:rsid w:val="00292B2C"/>
    <w:rsid w:val="0029330E"/>
    <w:rsid w:val="00296E2E"/>
    <w:rsid w:val="002A5503"/>
    <w:rsid w:val="002A6812"/>
    <w:rsid w:val="002A7339"/>
    <w:rsid w:val="002A7A24"/>
    <w:rsid w:val="002B4762"/>
    <w:rsid w:val="002B565A"/>
    <w:rsid w:val="002B71D2"/>
    <w:rsid w:val="002C1326"/>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17416"/>
    <w:rsid w:val="00320EE5"/>
    <w:rsid w:val="003236DA"/>
    <w:rsid w:val="003244E5"/>
    <w:rsid w:val="00324C60"/>
    <w:rsid w:val="00326131"/>
    <w:rsid w:val="00326482"/>
    <w:rsid w:val="00330EED"/>
    <w:rsid w:val="00331B2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B0286"/>
    <w:rsid w:val="003B046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E4657"/>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5ED7"/>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45970"/>
    <w:rsid w:val="00550783"/>
    <w:rsid w:val="005508EE"/>
    <w:rsid w:val="005536FB"/>
    <w:rsid w:val="00555CC8"/>
    <w:rsid w:val="00556B58"/>
    <w:rsid w:val="005577FA"/>
    <w:rsid w:val="0056425E"/>
    <w:rsid w:val="00565745"/>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865B9"/>
    <w:rsid w:val="00590E29"/>
    <w:rsid w:val="005935C0"/>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5E41"/>
    <w:rsid w:val="005C7DB5"/>
    <w:rsid w:val="005D15B9"/>
    <w:rsid w:val="005D1E0A"/>
    <w:rsid w:val="005D352A"/>
    <w:rsid w:val="005D48F9"/>
    <w:rsid w:val="005D4C95"/>
    <w:rsid w:val="005E09DC"/>
    <w:rsid w:val="005E0AC1"/>
    <w:rsid w:val="005E2508"/>
    <w:rsid w:val="005E2B26"/>
    <w:rsid w:val="005E437F"/>
    <w:rsid w:val="005E58ED"/>
    <w:rsid w:val="005E62A7"/>
    <w:rsid w:val="005E6B30"/>
    <w:rsid w:val="005F25FD"/>
    <w:rsid w:val="005F3989"/>
    <w:rsid w:val="005F3C5C"/>
    <w:rsid w:val="005F3C69"/>
    <w:rsid w:val="005F5AFD"/>
    <w:rsid w:val="005F6BB8"/>
    <w:rsid w:val="005F6F0A"/>
    <w:rsid w:val="005F7681"/>
    <w:rsid w:val="00601291"/>
    <w:rsid w:val="0060351B"/>
    <w:rsid w:val="00607959"/>
    <w:rsid w:val="0061221F"/>
    <w:rsid w:val="00614078"/>
    <w:rsid w:val="006150A0"/>
    <w:rsid w:val="0062228B"/>
    <w:rsid w:val="00624430"/>
    <w:rsid w:val="006255BA"/>
    <w:rsid w:val="00625AEE"/>
    <w:rsid w:val="00627687"/>
    <w:rsid w:val="006276D1"/>
    <w:rsid w:val="006279C2"/>
    <w:rsid w:val="00637F2A"/>
    <w:rsid w:val="00642C45"/>
    <w:rsid w:val="0064313B"/>
    <w:rsid w:val="0064319B"/>
    <w:rsid w:val="006434DF"/>
    <w:rsid w:val="0064604F"/>
    <w:rsid w:val="00651D20"/>
    <w:rsid w:val="006523CB"/>
    <w:rsid w:val="0065348A"/>
    <w:rsid w:val="006557A6"/>
    <w:rsid w:val="00657C65"/>
    <w:rsid w:val="006635D1"/>
    <w:rsid w:val="006639FD"/>
    <w:rsid w:val="00664F8F"/>
    <w:rsid w:val="00666A4E"/>
    <w:rsid w:val="00667C21"/>
    <w:rsid w:val="00667CFA"/>
    <w:rsid w:val="00670EB1"/>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4C74"/>
    <w:rsid w:val="006D55A6"/>
    <w:rsid w:val="006D6BD0"/>
    <w:rsid w:val="006E09CB"/>
    <w:rsid w:val="006E2124"/>
    <w:rsid w:val="006E23A2"/>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B1A6C"/>
    <w:rsid w:val="007B5378"/>
    <w:rsid w:val="007C1642"/>
    <w:rsid w:val="007C33F3"/>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3B47"/>
    <w:rsid w:val="00826926"/>
    <w:rsid w:val="008274B0"/>
    <w:rsid w:val="0082752E"/>
    <w:rsid w:val="008318F6"/>
    <w:rsid w:val="0083313E"/>
    <w:rsid w:val="008331BB"/>
    <w:rsid w:val="008338B5"/>
    <w:rsid w:val="00833D43"/>
    <w:rsid w:val="00840FF7"/>
    <w:rsid w:val="00841169"/>
    <w:rsid w:val="00844032"/>
    <w:rsid w:val="008443D8"/>
    <w:rsid w:val="008445E7"/>
    <w:rsid w:val="00847D3A"/>
    <w:rsid w:val="00855549"/>
    <w:rsid w:val="0086032D"/>
    <w:rsid w:val="00861B3D"/>
    <w:rsid w:val="00862879"/>
    <w:rsid w:val="00865C6A"/>
    <w:rsid w:val="00865CE7"/>
    <w:rsid w:val="0086701C"/>
    <w:rsid w:val="00867262"/>
    <w:rsid w:val="00870BDD"/>
    <w:rsid w:val="008717F1"/>
    <w:rsid w:val="00876D05"/>
    <w:rsid w:val="00876F5C"/>
    <w:rsid w:val="00880ED3"/>
    <w:rsid w:val="00883721"/>
    <w:rsid w:val="00890137"/>
    <w:rsid w:val="008904D0"/>
    <w:rsid w:val="008924E3"/>
    <w:rsid w:val="0089270D"/>
    <w:rsid w:val="00892753"/>
    <w:rsid w:val="008A1DAE"/>
    <w:rsid w:val="008A247E"/>
    <w:rsid w:val="008A2C2A"/>
    <w:rsid w:val="008A35A2"/>
    <w:rsid w:val="008A3D62"/>
    <w:rsid w:val="008A6605"/>
    <w:rsid w:val="008A6A0C"/>
    <w:rsid w:val="008B183A"/>
    <w:rsid w:val="008B4B98"/>
    <w:rsid w:val="008C183F"/>
    <w:rsid w:val="008C1C95"/>
    <w:rsid w:val="008C3D9F"/>
    <w:rsid w:val="008C4122"/>
    <w:rsid w:val="008C669E"/>
    <w:rsid w:val="008D0D92"/>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5499"/>
    <w:rsid w:val="009460E7"/>
    <w:rsid w:val="00947483"/>
    <w:rsid w:val="00947FDB"/>
    <w:rsid w:val="00952219"/>
    <w:rsid w:val="009539B0"/>
    <w:rsid w:val="009542FA"/>
    <w:rsid w:val="009543A4"/>
    <w:rsid w:val="00955F17"/>
    <w:rsid w:val="009562D0"/>
    <w:rsid w:val="00957124"/>
    <w:rsid w:val="00960B9B"/>
    <w:rsid w:val="00960CC3"/>
    <w:rsid w:val="0096180D"/>
    <w:rsid w:val="00961E3B"/>
    <w:rsid w:val="00962360"/>
    <w:rsid w:val="0096568F"/>
    <w:rsid w:val="009669AD"/>
    <w:rsid w:val="00966EB0"/>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4F1D"/>
    <w:rsid w:val="00995A38"/>
    <w:rsid w:val="009965E1"/>
    <w:rsid w:val="009A23F7"/>
    <w:rsid w:val="009A2B2A"/>
    <w:rsid w:val="009A38DA"/>
    <w:rsid w:val="009A3F7F"/>
    <w:rsid w:val="009A4775"/>
    <w:rsid w:val="009A75C4"/>
    <w:rsid w:val="009B0897"/>
    <w:rsid w:val="009B0E59"/>
    <w:rsid w:val="009B276A"/>
    <w:rsid w:val="009B3223"/>
    <w:rsid w:val="009B3F8C"/>
    <w:rsid w:val="009B4063"/>
    <w:rsid w:val="009B52E5"/>
    <w:rsid w:val="009B5C5F"/>
    <w:rsid w:val="009B6AF7"/>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E"/>
    <w:rsid w:val="00A47852"/>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2C2"/>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7CC"/>
    <w:rsid w:val="00BC6FC8"/>
    <w:rsid w:val="00BC7ABB"/>
    <w:rsid w:val="00BD079D"/>
    <w:rsid w:val="00BD2A8E"/>
    <w:rsid w:val="00BD3051"/>
    <w:rsid w:val="00BD38BB"/>
    <w:rsid w:val="00BD4879"/>
    <w:rsid w:val="00BD50F7"/>
    <w:rsid w:val="00BD674E"/>
    <w:rsid w:val="00BE10A8"/>
    <w:rsid w:val="00BE1898"/>
    <w:rsid w:val="00BE1F45"/>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194"/>
    <w:rsid w:val="00C203C9"/>
    <w:rsid w:val="00C22E43"/>
    <w:rsid w:val="00C23238"/>
    <w:rsid w:val="00C235DF"/>
    <w:rsid w:val="00C2539E"/>
    <w:rsid w:val="00C278DE"/>
    <w:rsid w:val="00C2796B"/>
    <w:rsid w:val="00C3004B"/>
    <w:rsid w:val="00C31F4C"/>
    <w:rsid w:val="00C3209A"/>
    <w:rsid w:val="00C32ADC"/>
    <w:rsid w:val="00C35755"/>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4EB8"/>
    <w:rsid w:val="00CD5502"/>
    <w:rsid w:val="00CE0526"/>
    <w:rsid w:val="00CE1ED9"/>
    <w:rsid w:val="00CE3665"/>
    <w:rsid w:val="00CE4F42"/>
    <w:rsid w:val="00CE5520"/>
    <w:rsid w:val="00CF0BB4"/>
    <w:rsid w:val="00CF1333"/>
    <w:rsid w:val="00CF1BB4"/>
    <w:rsid w:val="00CF2FF8"/>
    <w:rsid w:val="00CF3F6B"/>
    <w:rsid w:val="00CF4851"/>
    <w:rsid w:val="00CF58B7"/>
    <w:rsid w:val="00CF5DD6"/>
    <w:rsid w:val="00D0069F"/>
    <w:rsid w:val="00D007C0"/>
    <w:rsid w:val="00D05493"/>
    <w:rsid w:val="00D103E1"/>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1896"/>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F1EC1"/>
    <w:rsid w:val="00DF343E"/>
    <w:rsid w:val="00DF67C3"/>
    <w:rsid w:val="00DF6CEB"/>
    <w:rsid w:val="00E0098A"/>
    <w:rsid w:val="00E009D9"/>
    <w:rsid w:val="00E03F71"/>
    <w:rsid w:val="00E045EE"/>
    <w:rsid w:val="00E06ED0"/>
    <w:rsid w:val="00E1082D"/>
    <w:rsid w:val="00E130CB"/>
    <w:rsid w:val="00E14934"/>
    <w:rsid w:val="00E172BE"/>
    <w:rsid w:val="00E2160E"/>
    <w:rsid w:val="00E24E02"/>
    <w:rsid w:val="00E25895"/>
    <w:rsid w:val="00E275F6"/>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2EDE"/>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36DD"/>
    <w:rsid w:val="00F25246"/>
    <w:rsid w:val="00F307D6"/>
    <w:rsid w:val="00F31A8E"/>
    <w:rsid w:val="00F32C2D"/>
    <w:rsid w:val="00F33A4C"/>
    <w:rsid w:val="00F3442A"/>
    <w:rsid w:val="00F34B87"/>
    <w:rsid w:val="00F358BF"/>
    <w:rsid w:val="00F35CB2"/>
    <w:rsid w:val="00F374CD"/>
    <w:rsid w:val="00F4046E"/>
    <w:rsid w:val="00F4110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670E4"/>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04D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37495953/"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publications/10-year-health-plan-for-england-fit-for-the-future"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ng10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ubmed.ncbi.nlm.nih.gov/36332942/" TargetMode="External"/><Relationship Id="rId4" Type="http://schemas.openxmlformats.org/officeDocument/2006/relationships/webSettings" Target="webSettings.xml"/><Relationship Id="rId9" Type="http://schemas.openxmlformats.org/officeDocument/2006/relationships/hyperlink" Target="https://pubmed.ncbi.nlm.nih.gov/37662516/"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3931</Characters>
  <Application>Microsoft Office Word</Application>
  <DocSecurity>0</DocSecurity>
  <Lines>145</Lines>
  <Paragraphs>61</Paragraphs>
  <ScaleCrop>false</ScaleCrop>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2025-10-29T11:25:00Z</dcterms:created>
  <dcterms:modified xsi:type="dcterms:W3CDTF">2025-10-29T14:00:00Z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2025-10-29T11:25:52Z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521870ec-5495-4ad6-a5c3-ffc776782d1a</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