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EA6C8" w14:textId="77777777" w:rsidR="000F56CB" w:rsidRDefault="000F56CB" w:rsidP="000F56CB">
      <w:pPr>
        <w:rPr>
          <w:sz w:val="32"/>
          <w:szCs w:val="32"/>
        </w:rPr>
      </w:pPr>
      <w:bookmarkStart w:id="0" w:name="_Hlk165369351"/>
    </w:p>
    <w:p w14:paraId="493BBCBE" w14:textId="77777777" w:rsidR="001F61F1" w:rsidRDefault="001F61F1" w:rsidP="001F61F1">
      <w:pPr>
        <w:jc w:val="center"/>
        <w:rPr>
          <w:b/>
          <w:bCs/>
          <w:sz w:val="32"/>
          <w:szCs w:val="32"/>
        </w:rPr>
      </w:pPr>
    </w:p>
    <w:p w14:paraId="792654EB" w14:textId="77777777" w:rsidR="001F61F1" w:rsidRDefault="001F61F1" w:rsidP="001F61F1">
      <w:pPr>
        <w:jc w:val="center"/>
        <w:rPr>
          <w:b/>
          <w:bCs/>
          <w:sz w:val="32"/>
          <w:szCs w:val="32"/>
        </w:rPr>
      </w:pPr>
    </w:p>
    <w:p w14:paraId="49C5D48D" w14:textId="13C49F77" w:rsidR="00FE3C88" w:rsidRPr="000F56CB" w:rsidRDefault="00E63AB3" w:rsidP="001F61F1">
      <w:pPr>
        <w:jc w:val="center"/>
        <w:rPr>
          <w:b/>
          <w:bCs/>
          <w:sz w:val="32"/>
          <w:szCs w:val="32"/>
        </w:rPr>
      </w:pPr>
      <w:r w:rsidRPr="000F56CB">
        <w:rPr>
          <w:b/>
          <w:bCs/>
          <w:sz w:val="32"/>
          <w:szCs w:val="32"/>
        </w:rPr>
        <w:t>NORTH EAST QUALITY OBSERVATORY SERVICE (NATIONAL COLLABORATING CENTRE</w:t>
      </w:r>
    </w:p>
    <w:p w14:paraId="212746FC" w14:textId="190757F3" w:rsidR="00E63AB3" w:rsidRPr="000F56CB" w:rsidRDefault="00E63AB3" w:rsidP="001F61F1">
      <w:pPr>
        <w:jc w:val="center"/>
        <w:rPr>
          <w:b/>
          <w:bCs/>
          <w:sz w:val="32"/>
          <w:szCs w:val="32"/>
        </w:rPr>
      </w:pPr>
      <w:r w:rsidRPr="000F56CB">
        <w:rPr>
          <w:b/>
          <w:bCs/>
          <w:sz w:val="32"/>
          <w:szCs w:val="32"/>
        </w:rPr>
        <w:t>FOR INDICATOR DEVELOPMENT)</w:t>
      </w:r>
    </w:p>
    <w:p w14:paraId="7ADAF74D" w14:textId="77777777" w:rsidR="00E63AB3" w:rsidRPr="000F56CB" w:rsidRDefault="00E63AB3" w:rsidP="001F61F1">
      <w:pPr>
        <w:jc w:val="center"/>
        <w:rPr>
          <w:b/>
          <w:bCs/>
          <w:sz w:val="32"/>
          <w:szCs w:val="32"/>
        </w:rPr>
      </w:pPr>
    </w:p>
    <w:p w14:paraId="3D4E494C" w14:textId="77777777" w:rsidR="00E63AB3" w:rsidRPr="000F56CB" w:rsidRDefault="00E63AB3" w:rsidP="001F61F1">
      <w:pPr>
        <w:jc w:val="center"/>
        <w:rPr>
          <w:b/>
          <w:bCs/>
          <w:sz w:val="32"/>
          <w:szCs w:val="32"/>
        </w:rPr>
      </w:pPr>
      <w:r w:rsidRPr="000F56CB">
        <w:rPr>
          <w:b/>
          <w:bCs/>
          <w:sz w:val="32"/>
          <w:szCs w:val="32"/>
        </w:rPr>
        <w:t>FOR</w:t>
      </w:r>
    </w:p>
    <w:p w14:paraId="2B992C21" w14:textId="77777777" w:rsidR="00AC4951" w:rsidRPr="000F56CB" w:rsidRDefault="00AC4951" w:rsidP="001F61F1">
      <w:pPr>
        <w:jc w:val="center"/>
        <w:rPr>
          <w:b/>
          <w:bCs/>
          <w:sz w:val="32"/>
          <w:szCs w:val="32"/>
        </w:rPr>
      </w:pPr>
      <w:r w:rsidRPr="000F56CB">
        <w:rPr>
          <w:b/>
          <w:bCs/>
          <w:sz w:val="32"/>
          <w:szCs w:val="32"/>
        </w:rPr>
        <w:t>NATIONAL INSTITUTE FOR HEALTH AND CARE EXCELLENCE</w:t>
      </w:r>
    </w:p>
    <w:p w14:paraId="2E3ECB0D" w14:textId="77777777" w:rsidR="00AC4951" w:rsidRPr="000F56CB" w:rsidRDefault="00AC4951" w:rsidP="001F61F1">
      <w:pPr>
        <w:jc w:val="center"/>
        <w:rPr>
          <w:b/>
          <w:bCs/>
          <w:sz w:val="32"/>
          <w:szCs w:val="32"/>
        </w:rPr>
      </w:pPr>
      <w:r w:rsidRPr="000F56CB">
        <w:rPr>
          <w:b/>
          <w:bCs/>
          <w:sz w:val="32"/>
          <w:szCs w:val="32"/>
        </w:rPr>
        <w:t>INDICATOR DEVELOPMENT PROGRAMME</w:t>
      </w:r>
    </w:p>
    <w:p w14:paraId="3A007C21" w14:textId="77777777" w:rsidR="00461419" w:rsidRPr="000F56CB" w:rsidRDefault="00461419" w:rsidP="001F61F1">
      <w:pPr>
        <w:jc w:val="center"/>
        <w:rPr>
          <w:b/>
          <w:bCs/>
          <w:sz w:val="32"/>
          <w:szCs w:val="32"/>
        </w:rPr>
      </w:pPr>
    </w:p>
    <w:p w14:paraId="777B2AA1" w14:textId="61BA4C56" w:rsidR="00F31A16" w:rsidRPr="000F56CB" w:rsidRDefault="00F31A16" w:rsidP="000F56CB">
      <w:pPr>
        <w:rPr>
          <w:b/>
          <w:bCs/>
          <w:sz w:val="32"/>
          <w:szCs w:val="32"/>
        </w:rPr>
      </w:pPr>
      <w:r w:rsidRPr="000F56CB">
        <w:rPr>
          <w:b/>
          <w:bCs/>
          <w:sz w:val="32"/>
          <w:szCs w:val="32"/>
        </w:rPr>
        <w:t>Feedback report on piloted indicators</w:t>
      </w:r>
    </w:p>
    <w:p w14:paraId="05178E08" w14:textId="77777777" w:rsidR="004037BA" w:rsidRPr="000F56CB" w:rsidRDefault="004037BA" w:rsidP="000F56CB">
      <w:pPr>
        <w:rPr>
          <w:b/>
          <w:bCs/>
          <w:sz w:val="32"/>
          <w:szCs w:val="32"/>
        </w:rPr>
      </w:pPr>
    </w:p>
    <w:p w14:paraId="057FEBA6" w14:textId="0D80AB37" w:rsidR="00AC4951" w:rsidRPr="000F56CB" w:rsidRDefault="00AC4951" w:rsidP="000F56CB">
      <w:pPr>
        <w:rPr>
          <w:b/>
          <w:sz w:val="32"/>
          <w:szCs w:val="32"/>
        </w:rPr>
      </w:pPr>
      <w:r w:rsidRPr="000F56CB">
        <w:rPr>
          <w:b/>
          <w:bCs/>
          <w:sz w:val="32"/>
          <w:szCs w:val="32"/>
        </w:rPr>
        <w:t>Topic area:</w:t>
      </w:r>
      <w:r w:rsidRPr="000F56CB">
        <w:rPr>
          <w:sz w:val="32"/>
          <w:szCs w:val="32"/>
        </w:rPr>
        <w:t xml:space="preserve"> </w:t>
      </w:r>
      <w:r w:rsidR="00FC1C9D" w:rsidRPr="00B758B4">
        <w:rPr>
          <w:b/>
          <w:bCs/>
          <w:sz w:val="32"/>
          <w:szCs w:val="32"/>
        </w:rPr>
        <w:t>Weight management</w:t>
      </w:r>
    </w:p>
    <w:p w14:paraId="15713DD8" w14:textId="77777777" w:rsidR="005D2833" w:rsidRPr="000F56CB" w:rsidRDefault="005D2833" w:rsidP="000F56CB">
      <w:pPr>
        <w:rPr>
          <w:sz w:val="32"/>
          <w:szCs w:val="32"/>
        </w:rPr>
      </w:pPr>
    </w:p>
    <w:p w14:paraId="345E4942" w14:textId="77777777" w:rsidR="005D2833" w:rsidRPr="000F56CB" w:rsidRDefault="005D2833" w:rsidP="000F56CB">
      <w:pPr>
        <w:rPr>
          <w:sz w:val="32"/>
          <w:szCs w:val="32"/>
        </w:rPr>
      </w:pPr>
    </w:p>
    <w:p w14:paraId="7FA04CF8" w14:textId="1D66BD36" w:rsidR="006B5C73" w:rsidRPr="000F56CB" w:rsidRDefault="00E07FE4" w:rsidP="000F56CB">
      <w:pPr>
        <w:rPr>
          <w:rFonts w:eastAsiaTheme="majorEastAsia" w:cstheme="majorBidi"/>
          <w:b/>
          <w:sz w:val="32"/>
          <w:szCs w:val="32"/>
        </w:rPr>
      </w:pPr>
      <w:r w:rsidRPr="000F56CB">
        <w:rPr>
          <w:rFonts w:eastAsiaTheme="majorEastAsia" w:cstheme="majorBidi"/>
          <w:b/>
          <w:sz w:val="32"/>
          <w:szCs w:val="32"/>
        </w:rPr>
        <w:t xml:space="preserve">Pilot period: </w:t>
      </w:r>
      <w:r w:rsidR="00094923" w:rsidRPr="000F56CB">
        <w:rPr>
          <w:rFonts w:eastAsiaTheme="majorEastAsia" w:cstheme="majorBidi"/>
          <w:sz w:val="32"/>
          <w:szCs w:val="32"/>
        </w:rPr>
        <w:t>January – March 202</w:t>
      </w:r>
      <w:r w:rsidR="000E72E2" w:rsidRPr="000F56CB">
        <w:rPr>
          <w:rFonts w:eastAsiaTheme="majorEastAsia" w:cstheme="majorBidi"/>
          <w:sz w:val="32"/>
          <w:szCs w:val="32"/>
        </w:rPr>
        <w:t>4</w:t>
      </w:r>
    </w:p>
    <w:p w14:paraId="44D86ACC" w14:textId="2E555520" w:rsidR="006B5C73" w:rsidRPr="000F56CB" w:rsidRDefault="006B5C73" w:rsidP="000F56CB">
      <w:pPr>
        <w:rPr>
          <w:sz w:val="32"/>
          <w:szCs w:val="32"/>
        </w:rPr>
      </w:pPr>
      <w:r w:rsidRPr="000F56CB">
        <w:rPr>
          <w:b/>
          <w:bCs/>
          <w:sz w:val="32"/>
          <w:szCs w:val="32"/>
        </w:rPr>
        <w:t>IAC meeting date:</w:t>
      </w:r>
      <w:r w:rsidRPr="000F56CB">
        <w:rPr>
          <w:sz w:val="32"/>
          <w:szCs w:val="32"/>
        </w:rPr>
        <w:t xml:space="preserve"> </w:t>
      </w:r>
      <w:r w:rsidR="00875D31">
        <w:rPr>
          <w:sz w:val="32"/>
          <w:szCs w:val="32"/>
        </w:rPr>
        <w:t>June 2025</w:t>
      </w:r>
    </w:p>
    <w:p w14:paraId="30530912" w14:textId="2E818599" w:rsidR="00154FD1" w:rsidRPr="000F56CB" w:rsidRDefault="00AC4951" w:rsidP="000F56CB">
      <w:pPr>
        <w:rPr>
          <w:sz w:val="32"/>
          <w:szCs w:val="32"/>
        </w:rPr>
      </w:pPr>
      <w:r w:rsidRPr="000F56CB">
        <w:rPr>
          <w:b/>
          <w:bCs/>
          <w:sz w:val="32"/>
          <w:szCs w:val="32"/>
        </w:rPr>
        <w:t>Output:</w:t>
      </w:r>
      <w:r w:rsidRPr="000F56CB">
        <w:rPr>
          <w:sz w:val="32"/>
          <w:szCs w:val="32"/>
        </w:rPr>
        <w:t xml:space="preserve"> </w:t>
      </w:r>
      <w:r w:rsidR="00154FD1" w:rsidRPr="000F56CB">
        <w:rPr>
          <w:sz w:val="32"/>
          <w:szCs w:val="32"/>
        </w:rPr>
        <w:t>Findings from qualitative pilot to contribute towards recommendations for NICE indicator menu</w:t>
      </w:r>
    </w:p>
    <w:p w14:paraId="3C55508D" w14:textId="2BB80BF9" w:rsidR="00536AE3" w:rsidRPr="00536AE3" w:rsidRDefault="00536AE3">
      <w:pPr>
        <w:spacing w:after="160" w:line="259" w:lineRule="auto"/>
        <w:rPr>
          <w:rFonts w:cs="Arial"/>
          <w:b/>
          <w:bCs/>
          <w:sz w:val="32"/>
          <w:szCs w:val="32"/>
        </w:rPr>
      </w:pPr>
      <w:r w:rsidRPr="00536AE3">
        <w:rPr>
          <w:rFonts w:cs="Arial"/>
          <w:b/>
          <w:bCs/>
          <w:sz w:val="32"/>
          <w:szCs w:val="32"/>
        </w:rPr>
        <w:lastRenderedPageBreak/>
        <w:t>Note</w:t>
      </w:r>
      <w:r>
        <w:rPr>
          <w:rFonts w:cs="Arial"/>
          <w:b/>
          <w:bCs/>
          <w:sz w:val="32"/>
          <w:szCs w:val="32"/>
        </w:rPr>
        <w:t xml:space="preserve"> for </w:t>
      </w:r>
      <w:bookmarkStart w:id="1" w:name="_Hlk198538021"/>
      <w:r>
        <w:rPr>
          <w:rFonts w:cs="Arial"/>
          <w:b/>
          <w:bCs/>
          <w:sz w:val="32"/>
          <w:szCs w:val="32"/>
        </w:rPr>
        <w:t>Indicator Advisory Committee</w:t>
      </w:r>
      <w:r w:rsidR="0075196B">
        <w:rPr>
          <w:rFonts w:cs="Arial"/>
          <w:b/>
          <w:bCs/>
          <w:sz w:val="32"/>
          <w:szCs w:val="32"/>
        </w:rPr>
        <w:t xml:space="preserve"> meeting</w:t>
      </w:r>
      <w:bookmarkEnd w:id="1"/>
      <w:r>
        <w:rPr>
          <w:rFonts w:cs="Arial"/>
          <w:b/>
          <w:bCs/>
          <w:sz w:val="32"/>
          <w:szCs w:val="32"/>
        </w:rPr>
        <w:t>, June 2025</w:t>
      </w:r>
    </w:p>
    <w:p w14:paraId="0D2F3C5D" w14:textId="4A83BA96" w:rsidR="00536AE3" w:rsidRDefault="00BF4511" w:rsidP="007C0AA1">
      <w:pPr>
        <w:spacing w:after="160"/>
        <w:rPr>
          <w:rFonts w:cs="Arial"/>
        </w:rPr>
      </w:pPr>
      <w:r>
        <w:rPr>
          <w:rFonts w:cs="Arial"/>
        </w:rPr>
        <w:t>Four</w:t>
      </w:r>
      <w:r w:rsidR="00536AE3">
        <w:rPr>
          <w:rFonts w:cs="Arial"/>
        </w:rPr>
        <w:t xml:space="preserve"> weight management indicators were piloted with GP practices </w:t>
      </w:r>
      <w:r w:rsidR="00875D31">
        <w:rPr>
          <w:rFonts w:cs="Arial"/>
        </w:rPr>
        <w:t>in January to March 2024</w:t>
      </w:r>
      <w:r w:rsidR="00561A94">
        <w:rPr>
          <w:rFonts w:cs="Arial"/>
        </w:rPr>
        <w:t>:</w:t>
      </w:r>
    </w:p>
    <w:p w14:paraId="7FF5EFE8" w14:textId="71832803" w:rsidR="00561A94" w:rsidRPr="00561A94" w:rsidRDefault="00561A94" w:rsidP="00561A94">
      <w:pPr>
        <w:pStyle w:val="ListParagraph"/>
        <w:numPr>
          <w:ilvl w:val="0"/>
          <w:numId w:val="32"/>
        </w:numPr>
        <w:spacing w:after="160"/>
        <w:rPr>
          <w:rFonts w:cs="Arial"/>
        </w:rPr>
      </w:pPr>
      <w:bookmarkStart w:id="2" w:name="_Toc156476403"/>
      <w:r w:rsidRPr="00561A94">
        <w:rPr>
          <w:rFonts w:cs="Arial"/>
        </w:rPr>
        <w:t>Indicator 1: IND2023-158 Weight management: weight management advice (18-39 years)</w:t>
      </w:r>
      <w:bookmarkEnd w:id="2"/>
    </w:p>
    <w:p w14:paraId="04EFD1AA" w14:textId="61BAA862" w:rsidR="00561A94" w:rsidRPr="00561A94" w:rsidRDefault="00561A94" w:rsidP="00561A94">
      <w:pPr>
        <w:pStyle w:val="ListParagraph"/>
        <w:numPr>
          <w:ilvl w:val="0"/>
          <w:numId w:val="32"/>
        </w:numPr>
        <w:spacing w:after="160"/>
        <w:rPr>
          <w:rFonts w:cs="Arial"/>
        </w:rPr>
      </w:pPr>
      <w:bookmarkStart w:id="3" w:name="_Toc156476404"/>
      <w:r w:rsidRPr="00561A94">
        <w:rPr>
          <w:rFonts w:cs="Arial"/>
        </w:rPr>
        <w:t>Indicator 2: IND2023-162 Weight management: referral for bariatric surgery</w:t>
      </w:r>
      <w:bookmarkEnd w:id="3"/>
      <w:r w:rsidRPr="00561A94">
        <w:rPr>
          <w:rFonts w:cs="Arial"/>
        </w:rPr>
        <w:t xml:space="preserve"> </w:t>
      </w:r>
    </w:p>
    <w:p w14:paraId="54139D72" w14:textId="6E017717" w:rsidR="00561A94" w:rsidRPr="00561A94" w:rsidRDefault="00561A94" w:rsidP="00561A94">
      <w:pPr>
        <w:pStyle w:val="ListParagraph"/>
        <w:numPr>
          <w:ilvl w:val="0"/>
          <w:numId w:val="32"/>
        </w:numPr>
        <w:spacing w:after="160"/>
        <w:rPr>
          <w:rFonts w:cs="Arial"/>
        </w:rPr>
      </w:pPr>
      <w:bookmarkStart w:id="4" w:name="_Toc156476405"/>
      <w:r w:rsidRPr="00561A94">
        <w:rPr>
          <w:rFonts w:cs="Arial"/>
        </w:rPr>
        <w:t>Indicator 3: IND2023-159 Weight management: nutritional status monitoring in primary care after bariatric surgery</w:t>
      </w:r>
      <w:bookmarkEnd w:id="4"/>
      <w:r w:rsidRPr="00561A94">
        <w:rPr>
          <w:rFonts w:cs="Arial"/>
        </w:rPr>
        <w:t xml:space="preserve"> (all patients)</w:t>
      </w:r>
    </w:p>
    <w:p w14:paraId="1D21D65B" w14:textId="19602E4B" w:rsidR="00561A94" w:rsidRPr="00561A94" w:rsidRDefault="00561A94" w:rsidP="00561A94">
      <w:pPr>
        <w:pStyle w:val="ListParagraph"/>
        <w:numPr>
          <w:ilvl w:val="0"/>
          <w:numId w:val="32"/>
        </w:numPr>
        <w:spacing w:after="160"/>
        <w:rPr>
          <w:rFonts w:cs="Arial"/>
        </w:rPr>
      </w:pPr>
      <w:bookmarkStart w:id="5" w:name="_Toc156476406"/>
      <w:r w:rsidRPr="00561A94">
        <w:rPr>
          <w:rFonts w:cs="Arial"/>
        </w:rPr>
        <w:t>Indicator 4: IND2023-163 Weight management: nutritional status monitoring in primary care after bariatric surgery</w:t>
      </w:r>
      <w:bookmarkEnd w:id="5"/>
      <w:r w:rsidRPr="00561A94">
        <w:rPr>
          <w:rFonts w:cs="Arial"/>
        </w:rPr>
        <w:t xml:space="preserve"> (new patients)</w:t>
      </w:r>
    </w:p>
    <w:p w14:paraId="67AA8DC9" w14:textId="2B635C6D" w:rsidR="00272337" w:rsidRDefault="00272337" w:rsidP="007C0AA1">
      <w:pPr>
        <w:spacing w:after="160"/>
        <w:rPr>
          <w:rFonts w:cs="Arial"/>
        </w:rPr>
      </w:pPr>
      <w:r>
        <w:rPr>
          <w:rFonts w:cs="Arial"/>
        </w:rPr>
        <w:t>Th</w:t>
      </w:r>
      <w:r w:rsidR="00875D31">
        <w:rPr>
          <w:rFonts w:cs="Arial"/>
        </w:rPr>
        <w:t>is</w:t>
      </w:r>
      <w:r>
        <w:rPr>
          <w:rFonts w:cs="Arial"/>
        </w:rPr>
        <w:t xml:space="preserve"> </w:t>
      </w:r>
      <w:r w:rsidR="00561A94">
        <w:rPr>
          <w:rFonts w:cs="Arial"/>
        </w:rPr>
        <w:t>document, the f</w:t>
      </w:r>
      <w:r w:rsidR="00561A94" w:rsidRPr="00561A94">
        <w:rPr>
          <w:rFonts w:cs="Arial"/>
        </w:rPr>
        <w:t>eedback report on piloted indicators</w:t>
      </w:r>
      <w:r w:rsidR="00561A94">
        <w:rPr>
          <w:rFonts w:cs="Arial"/>
        </w:rPr>
        <w:t>,</w:t>
      </w:r>
      <w:r w:rsidR="00561A94" w:rsidRPr="00561A94">
        <w:rPr>
          <w:rFonts w:cs="Arial"/>
        </w:rPr>
        <w:t xml:space="preserve"> </w:t>
      </w:r>
      <w:r>
        <w:rPr>
          <w:rFonts w:cs="Arial"/>
        </w:rPr>
        <w:t xml:space="preserve">was included in the papers for </w:t>
      </w:r>
      <w:r w:rsidR="00561A94">
        <w:rPr>
          <w:rFonts w:cs="Arial"/>
        </w:rPr>
        <w:t xml:space="preserve">the </w:t>
      </w:r>
      <w:r>
        <w:rPr>
          <w:rFonts w:cs="Arial"/>
        </w:rPr>
        <w:t xml:space="preserve">June 2024 </w:t>
      </w:r>
      <w:r w:rsidRPr="00272337">
        <w:rPr>
          <w:rFonts w:cs="Arial"/>
        </w:rPr>
        <w:t>Indicator Advisory Committee meeting</w:t>
      </w:r>
      <w:r>
        <w:rPr>
          <w:rFonts w:cs="Arial"/>
        </w:rPr>
        <w:t>. The</w:t>
      </w:r>
      <w:r w:rsidR="007C0AA1">
        <w:rPr>
          <w:rFonts w:cs="Arial"/>
        </w:rPr>
        <w:t xml:space="preserve"> </w:t>
      </w:r>
      <w:r>
        <w:rPr>
          <w:rFonts w:cs="Arial"/>
        </w:rPr>
        <w:t>findings</w:t>
      </w:r>
      <w:r w:rsidR="007C0AA1">
        <w:rPr>
          <w:rFonts w:cs="Arial"/>
        </w:rPr>
        <w:t xml:space="preserve"> from the pilot</w:t>
      </w:r>
      <w:r>
        <w:rPr>
          <w:rFonts w:cs="Arial"/>
        </w:rPr>
        <w:t xml:space="preserve"> were </w:t>
      </w:r>
      <w:r w:rsidRPr="00875D31">
        <w:rPr>
          <w:rFonts w:cs="Arial"/>
          <w:b/>
          <w:bCs/>
        </w:rPr>
        <w:t>not</w:t>
      </w:r>
      <w:r>
        <w:rPr>
          <w:rFonts w:cs="Arial"/>
        </w:rPr>
        <w:t xml:space="preserve"> presented in detail at that meeting, but the </w:t>
      </w:r>
      <w:r w:rsidRPr="00272337">
        <w:rPr>
          <w:rFonts w:cs="Arial"/>
        </w:rPr>
        <w:t xml:space="preserve">indicators </w:t>
      </w:r>
      <w:r>
        <w:rPr>
          <w:rFonts w:cs="Arial"/>
        </w:rPr>
        <w:t>were</w:t>
      </w:r>
      <w:r w:rsidRPr="00272337">
        <w:rPr>
          <w:rFonts w:cs="Arial"/>
        </w:rPr>
        <w:t xml:space="preserve"> </w:t>
      </w:r>
      <w:r w:rsidR="00875D31">
        <w:rPr>
          <w:rFonts w:cs="Arial"/>
        </w:rPr>
        <w:t>presented</w:t>
      </w:r>
      <w:r w:rsidRPr="00272337">
        <w:rPr>
          <w:rFonts w:cs="Arial"/>
        </w:rPr>
        <w:t xml:space="preserve"> to the committee</w:t>
      </w:r>
      <w:r>
        <w:rPr>
          <w:rFonts w:cs="Arial"/>
        </w:rPr>
        <w:t xml:space="preserve"> by NICE</w:t>
      </w:r>
      <w:r w:rsidRPr="00272337">
        <w:rPr>
          <w:rFonts w:cs="Arial"/>
        </w:rPr>
        <w:t xml:space="preserve"> for further discussion</w:t>
      </w:r>
      <w:r w:rsidR="00875D31">
        <w:rPr>
          <w:rFonts w:cs="Arial"/>
        </w:rPr>
        <w:t xml:space="preserve"> (including consideration of some findings from the pilot)</w:t>
      </w:r>
      <w:r w:rsidRPr="00272337">
        <w:rPr>
          <w:rFonts w:cs="Arial"/>
        </w:rPr>
        <w:t xml:space="preserve"> before confirming progression to consultation</w:t>
      </w:r>
      <w:r>
        <w:rPr>
          <w:rFonts w:cs="Arial"/>
        </w:rPr>
        <w:t>, noting the following:</w:t>
      </w:r>
    </w:p>
    <w:p w14:paraId="777CD7BF" w14:textId="4B5CF319" w:rsidR="00272337" w:rsidRPr="00272337" w:rsidRDefault="00272337" w:rsidP="007C0AA1">
      <w:pPr>
        <w:pStyle w:val="ListParagraph"/>
        <w:numPr>
          <w:ilvl w:val="0"/>
          <w:numId w:val="29"/>
        </w:numPr>
        <w:spacing w:after="160"/>
        <w:rPr>
          <w:rFonts w:cs="Arial"/>
        </w:rPr>
      </w:pPr>
      <w:r w:rsidRPr="00272337">
        <w:rPr>
          <w:rFonts w:cs="Arial"/>
        </w:rPr>
        <w:t xml:space="preserve">At that stage, the </w:t>
      </w:r>
      <w:r w:rsidR="007C0AA1">
        <w:rPr>
          <w:rFonts w:cs="Arial"/>
        </w:rPr>
        <w:t xml:space="preserve">anticipated </w:t>
      </w:r>
      <w:r w:rsidRPr="00272337">
        <w:rPr>
          <w:rFonts w:cs="Arial"/>
        </w:rPr>
        <w:t>publication of the NICE guideline in development on overweight and obesity management ha</w:t>
      </w:r>
      <w:r w:rsidR="007C0AA1">
        <w:rPr>
          <w:rFonts w:cs="Arial"/>
        </w:rPr>
        <w:t>d</w:t>
      </w:r>
      <w:r w:rsidRPr="00272337">
        <w:rPr>
          <w:rFonts w:cs="Arial"/>
        </w:rPr>
        <w:t xml:space="preserve"> been delayed.</w:t>
      </w:r>
    </w:p>
    <w:p w14:paraId="0B6DAFA7" w14:textId="37037E4E" w:rsidR="00272337" w:rsidRPr="00272337" w:rsidRDefault="00272337" w:rsidP="007C0AA1">
      <w:pPr>
        <w:pStyle w:val="ListParagraph"/>
        <w:numPr>
          <w:ilvl w:val="0"/>
          <w:numId w:val="29"/>
        </w:numPr>
        <w:spacing w:after="160"/>
        <w:rPr>
          <w:rFonts w:cs="Arial"/>
        </w:rPr>
      </w:pPr>
      <w:r w:rsidRPr="00272337">
        <w:rPr>
          <w:rFonts w:cs="Arial"/>
        </w:rPr>
        <w:t>Concerns about acceptability of the indicators had been raised during</w:t>
      </w:r>
      <w:r w:rsidR="00875D31">
        <w:rPr>
          <w:rFonts w:cs="Arial"/>
        </w:rPr>
        <w:t xml:space="preserve"> the</w:t>
      </w:r>
      <w:r w:rsidRPr="00272337">
        <w:rPr>
          <w:rFonts w:cs="Arial"/>
        </w:rPr>
        <w:t xml:space="preserve"> internal NICE review.</w:t>
      </w:r>
    </w:p>
    <w:p w14:paraId="3C40FFDC" w14:textId="01FA73AD" w:rsidR="00016151" w:rsidRPr="00EF427C" w:rsidRDefault="00272337" w:rsidP="007C0AA1">
      <w:pPr>
        <w:spacing w:after="160"/>
        <w:rPr>
          <w:rFonts w:cs="Arial"/>
        </w:rPr>
      </w:pPr>
      <w:r>
        <w:rPr>
          <w:rFonts w:cs="Arial"/>
        </w:rPr>
        <w:t xml:space="preserve">Following </w:t>
      </w:r>
      <w:r w:rsidR="007C0AA1">
        <w:rPr>
          <w:rFonts w:cs="Arial"/>
        </w:rPr>
        <w:t>discussions at th</w:t>
      </w:r>
      <w:r w:rsidR="00561A94">
        <w:rPr>
          <w:rFonts w:cs="Arial"/>
        </w:rPr>
        <w:t>e June 2024</w:t>
      </w:r>
      <w:r w:rsidR="007C0AA1">
        <w:rPr>
          <w:rFonts w:cs="Arial"/>
        </w:rPr>
        <w:t xml:space="preserve"> committee meeting, it was agreed to progress three of the four indicators for consultation</w:t>
      </w:r>
      <w:r w:rsidR="00561A94">
        <w:rPr>
          <w:rFonts w:cs="Arial"/>
        </w:rPr>
        <w:t xml:space="preserve"> (indicators 1,2 and 3)</w:t>
      </w:r>
      <w:r w:rsidR="007C0AA1">
        <w:rPr>
          <w:rFonts w:cs="Arial"/>
        </w:rPr>
        <w:t xml:space="preserve">, subject to </w:t>
      </w:r>
      <w:r w:rsidR="00561A94">
        <w:rPr>
          <w:rFonts w:cs="Arial"/>
        </w:rPr>
        <w:t>remaining aligned with</w:t>
      </w:r>
      <w:r w:rsidR="007C0AA1">
        <w:rPr>
          <w:rFonts w:cs="Arial"/>
        </w:rPr>
        <w:t xml:space="preserve"> the upcoming guideline.</w:t>
      </w:r>
      <w:r w:rsidR="00561A94">
        <w:rPr>
          <w:rFonts w:cs="Arial"/>
        </w:rPr>
        <w:t xml:space="preserve"> </w:t>
      </w:r>
      <w:r w:rsidR="007C0AA1">
        <w:rPr>
          <w:rFonts w:cs="Arial"/>
        </w:rPr>
        <w:t xml:space="preserve">The </w:t>
      </w:r>
      <w:r w:rsidR="007C0AA1" w:rsidRPr="007C0AA1">
        <w:rPr>
          <w:rFonts w:cs="Arial"/>
        </w:rPr>
        <w:t>guideline (</w:t>
      </w:r>
      <w:hyperlink r:id="rId8" w:history="1">
        <w:r w:rsidR="007C0AA1" w:rsidRPr="007C0AA1">
          <w:rPr>
            <w:rStyle w:val="Hyperlink"/>
            <w:rFonts w:cs="Arial"/>
          </w:rPr>
          <w:t>NG246</w:t>
        </w:r>
      </w:hyperlink>
      <w:r w:rsidR="007C0AA1" w:rsidRPr="007C0AA1">
        <w:rPr>
          <w:rFonts w:cs="Arial"/>
        </w:rPr>
        <w:t>) was published in January 2025</w:t>
      </w:r>
      <w:r w:rsidR="007C0AA1">
        <w:rPr>
          <w:rFonts w:cs="Arial"/>
        </w:rPr>
        <w:t xml:space="preserve">, and as a </w:t>
      </w:r>
      <w:r w:rsidR="007C0AA1" w:rsidRPr="00EF427C">
        <w:rPr>
          <w:rFonts w:cs="Arial"/>
        </w:rPr>
        <w:t xml:space="preserve">result, </w:t>
      </w:r>
      <w:r w:rsidR="00561A94" w:rsidRPr="00EF427C">
        <w:rPr>
          <w:rFonts w:cs="Arial"/>
        </w:rPr>
        <w:t>indicator 2</w:t>
      </w:r>
      <w:r w:rsidR="007C0AA1" w:rsidRPr="00EF427C">
        <w:rPr>
          <w:rFonts w:cs="Arial"/>
        </w:rPr>
        <w:t xml:space="preserve"> was no longer suitable for </w:t>
      </w:r>
      <w:r w:rsidR="00561A94" w:rsidRPr="00EF427C">
        <w:rPr>
          <w:rFonts w:cs="Arial"/>
        </w:rPr>
        <w:t xml:space="preserve">further </w:t>
      </w:r>
      <w:r w:rsidR="007C0AA1" w:rsidRPr="00EF427C">
        <w:rPr>
          <w:rFonts w:cs="Arial"/>
        </w:rPr>
        <w:t>development</w:t>
      </w:r>
      <w:r w:rsidR="00561A94" w:rsidRPr="00EF427C">
        <w:rPr>
          <w:rFonts w:cs="Arial"/>
        </w:rPr>
        <w:t>.</w:t>
      </w:r>
      <w:r w:rsidR="00016151" w:rsidRPr="00EF427C">
        <w:rPr>
          <w:rFonts w:cs="Arial"/>
        </w:rPr>
        <w:t xml:space="preserve"> </w:t>
      </w:r>
      <w:r w:rsidR="007C0AA1" w:rsidRPr="00EF427C">
        <w:rPr>
          <w:rFonts w:cs="Arial"/>
        </w:rPr>
        <w:t xml:space="preserve">Therefore, only two indicators </w:t>
      </w:r>
      <w:r w:rsidR="00875D31" w:rsidRPr="00EF427C">
        <w:rPr>
          <w:rFonts w:cs="Arial"/>
        </w:rPr>
        <w:t>from the original pilot</w:t>
      </w:r>
      <w:r w:rsidR="007C0AA1" w:rsidRPr="00EF427C">
        <w:rPr>
          <w:rFonts w:cs="Arial"/>
        </w:rPr>
        <w:t xml:space="preserve"> are being developed further</w:t>
      </w:r>
      <w:r w:rsidR="002B7A14" w:rsidRPr="00EF427C">
        <w:rPr>
          <w:rFonts w:cs="Arial"/>
        </w:rPr>
        <w:t>:</w:t>
      </w:r>
      <w:r w:rsidR="00561A94" w:rsidRPr="00EF427C">
        <w:rPr>
          <w:rFonts w:cs="Arial"/>
        </w:rPr>
        <w:t xml:space="preserve"> indicator 1 </w:t>
      </w:r>
      <w:r w:rsidR="00016151" w:rsidRPr="00EF427C">
        <w:rPr>
          <w:rFonts w:cs="Arial"/>
        </w:rPr>
        <w:t xml:space="preserve">(weight management advice) </w:t>
      </w:r>
      <w:r w:rsidR="00561A94" w:rsidRPr="00EF427C">
        <w:rPr>
          <w:rFonts w:cs="Arial"/>
        </w:rPr>
        <w:t xml:space="preserve">and </w:t>
      </w:r>
      <w:r w:rsidR="00016151" w:rsidRPr="00EF427C">
        <w:rPr>
          <w:rFonts w:cs="Arial"/>
        </w:rPr>
        <w:t xml:space="preserve">indicator </w:t>
      </w:r>
      <w:r w:rsidR="00561A94" w:rsidRPr="00EF427C">
        <w:rPr>
          <w:rFonts w:cs="Arial"/>
        </w:rPr>
        <w:t>3</w:t>
      </w:r>
      <w:r w:rsidR="00016151" w:rsidRPr="00EF427C">
        <w:rPr>
          <w:rFonts w:cs="Arial"/>
        </w:rPr>
        <w:t xml:space="preserve"> (nutritional status monitoring in primary care after bariatric surgery). </w:t>
      </w:r>
    </w:p>
    <w:p w14:paraId="21C3D769" w14:textId="42972A5D" w:rsidR="00536AE3" w:rsidRDefault="00536AE3" w:rsidP="007C0AA1">
      <w:pPr>
        <w:spacing w:after="160"/>
        <w:rPr>
          <w:rFonts w:cs="Arial"/>
          <w:b/>
          <w:bCs/>
          <w:szCs w:val="20"/>
        </w:rPr>
      </w:pPr>
      <w:r>
        <w:rPr>
          <w:rFonts w:cs="Arial"/>
        </w:rPr>
        <w:t xml:space="preserve">This </w:t>
      </w:r>
      <w:r w:rsidR="00561A94">
        <w:rPr>
          <w:rFonts w:cs="Arial"/>
        </w:rPr>
        <w:t xml:space="preserve">original </w:t>
      </w:r>
      <w:r>
        <w:rPr>
          <w:rFonts w:cs="Arial"/>
        </w:rPr>
        <w:t>piloting report</w:t>
      </w:r>
      <w:r w:rsidR="00875D31">
        <w:rPr>
          <w:rFonts w:cs="Arial"/>
        </w:rPr>
        <w:t xml:space="preserve">, which presents findings on all four indicators, is </w:t>
      </w:r>
      <w:r w:rsidR="00561A94">
        <w:rPr>
          <w:rFonts w:cs="Arial"/>
        </w:rPr>
        <w:t xml:space="preserve">included in </w:t>
      </w:r>
      <w:r w:rsidR="00875D31">
        <w:rPr>
          <w:rFonts w:cs="Arial"/>
        </w:rPr>
        <w:t>the papers for</w:t>
      </w:r>
      <w:r w:rsidR="002B7A14">
        <w:rPr>
          <w:rFonts w:cs="Arial"/>
        </w:rPr>
        <w:t xml:space="preserve"> the</w:t>
      </w:r>
      <w:r w:rsidR="00875D31">
        <w:rPr>
          <w:rFonts w:cs="Arial"/>
        </w:rPr>
        <w:t xml:space="preserve"> June 2025 </w:t>
      </w:r>
      <w:r w:rsidR="00875D31" w:rsidRPr="00272337">
        <w:rPr>
          <w:rFonts w:cs="Arial"/>
        </w:rPr>
        <w:t>Indicator Advisory Committee meetin</w:t>
      </w:r>
      <w:r w:rsidR="00875D31">
        <w:rPr>
          <w:rFonts w:cs="Arial"/>
        </w:rPr>
        <w:t>g. The presentation to the committee</w:t>
      </w:r>
      <w:r w:rsidR="00561A94">
        <w:rPr>
          <w:rFonts w:cs="Arial"/>
        </w:rPr>
        <w:t xml:space="preserve"> at the meeting</w:t>
      </w:r>
      <w:r w:rsidR="00875D31">
        <w:rPr>
          <w:rFonts w:cs="Arial"/>
        </w:rPr>
        <w:t xml:space="preserve"> will cover only the two indicators which are now </w:t>
      </w:r>
      <w:r w:rsidR="002B7A14">
        <w:rPr>
          <w:rFonts w:cs="Arial"/>
        </w:rPr>
        <w:t>undergoing</w:t>
      </w:r>
      <w:r w:rsidR="00875D31">
        <w:rPr>
          <w:rFonts w:cs="Arial"/>
        </w:rPr>
        <w:t xml:space="preserve"> further development.</w:t>
      </w:r>
      <w:r>
        <w:rPr>
          <w:rFonts w:cs="Arial"/>
        </w:rPr>
        <w:br w:type="page"/>
      </w:r>
    </w:p>
    <w:p w14:paraId="28388570" w14:textId="198F924B" w:rsidR="007C0AA1" w:rsidRDefault="00AA0981">
      <w:pPr>
        <w:pStyle w:val="TOC1"/>
        <w:rPr>
          <w:rFonts w:asciiTheme="minorHAnsi" w:eastAsiaTheme="minorEastAsia" w:hAnsiTheme="minorHAnsi" w:cstheme="minorBidi"/>
          <w:b w:val="0"/>
          <w:bCs w:val="0"/>
          <w:noProof/>
          <w:kern w:val="2"/>
          <w:szCs w:val="24"/>
          <w:lang w:eastAsia="en-GB"/>
          <w14:ligatures w14:val="standardContextual"/>
        </w:rPr>
      </w:pPr>
      <w:r>
        <w:rPr>
          <w:rFonts w:cs="Arial"/>
        </w:rPr>
        <w:lastRenderedPageBreak/>
        <w:fldChar w:fldCharType="begin"/>
      </w:r>
      <w:r w:rsidRPr="00AA0981">
        <w:rPr>
          <w:rFonts w:cs="Arial"/>
        </w:rPr>
        <w:instrText xml:space="preserve"> TOC \o "1-2" \u </w:instrText>
      </w:r>
      <w:r>
        <w:rPr>
          <w:rFonts w:cs="Arial"/>
        </w:rPr>
        <w:fldChar w:fldCharType="separate"/>
      </w:r>
      <w:r w:rsidR="007C0AA1">
        <w:rPr>
          <w:noProof/>
        </w:rPr>
        <w:t>1.</w:t>
      </w:r>
      <w:r w:rsidR="007C0AA1">
        <w:rPr>
          <w:rFonts w:asciiTheme="minorHAnsi" w:eastAsiaTheme="minorEastAsia" w:hAnsiTheme="minorHAnsi" w:cstheme="minorBidi"/>
          <w:b w:val="0"/>
          <w:bCs w:val="0"/>
          <w:noProof/>
          <w:kern w:val="2"/>
          <w:szCs w:val="24"/>
          <w:lang w:eastAsia="en-GB"/>
          <w14:ligatures w14:val="standardContextual"/>
        </w:rPr>
        <w:tab/>
      </w:r>
      <w:r w:rsidR="007C0AA1">
        <w:rPr>
          <w:noProof/>
        </w:rPr>
        <w:t>Summary of pilot findings</w:t>
      </w:r>
      <w:r w:rsidR="007C0AA1">
        <w:rPr>
          <w:noProof/>
        </w:rPr>
        <w:tab/>
      </w:r>
      <w:r w:rsidR="007C0AA1">
        <w:rPr>
          <w:noProof/>
        </w:rPr>
        <w:fldChar w:fldCharType="begin"/>
      </w:r>
      <w:r w:rsidR="007C0AA1">
        <w:rPr>
          <w:noProof/>
        </w:rPr>
        <w:instrText xml:space="preserve"> PAGEREF _Toc198538508 \h </w:instrText>
      </w:r>
      <w:r w:rsidR="007C0AA1">
        <w:rPr>
          <w:noProof/>
        </w:rPr>
      </w:r>
      <w:r w:rsidR="007C0AA1">
        <w:rPr>
          <w:noProof/>
        </w:rPr>
        <w:fldChar w:fldCharType="separate"/>
      </w:r>
      <w:r w:rsidR="007C0AA1">
        <w:rPr>
          <w:noProof/>
        </w:rPr>
        <w:t>4</w:t>
      </w:r>
      <w:r w:rsidR="007C0AA1">
        <w:rPr>
          <w:noProof/>
        </w:rPr>
        <w:fldChar w:fldCharType="end"/>
      </w:r>
    </w:p>
    <w:p w14:paraId="1B63F0C2" w14:textId="200F96A5" w:rsidR="007C0AA1" w:rsidRDefault="007C0AA1">
      <w:pPr>
        <w:pStyle w:val="TOC1"/>
        <w:rPr>
          <w:rFonts w:asciiTheme="minorHAnsi" w:eastAsiaTheme="minorEastAsia" w:hAnsiTheme="minorHAnsi" w:cstheme="minorBidi"/>
          <w:b w:val="0"/>
          <w:bCs w:val="0"/>
          <w:noProof/>
          <w:kern w:val="2"/>
          <w:szCs w:val="24"/>
          <w:lang w:eastAsia="en-GB"/>
          <w14:ligatures w14:val="standardContextual"/>
        </w:rPr>
      </w:pPr>
      <w:r>
        <w:rPr>
          <w:noProof/>
        </w:rPr>
        <w:t>2.</w:t>
      </w:r>
      <w:r>
        <w:rPr>
          <w:rFonts w:asciiTheme="minorHAnsi" w:eastAsiaTheme="minorEastAsia" w:hAnsiTheme="minorHAnsi" w:cstheme="minorBidi"/>
          <w:b w:val="0"/>
          <w:bCs w:val="0"/>
          <w:noProof/>
          <w:kern w:val="2"/>
          <w:szCs w:val="24"/>
          <w:lang w:eastAsia="en-GB"/>
          <w14:ligatures w14:val="standardContextual"/>
        </w:rPr>
        <w:tab/>
      </w:r>
      <w:r>
        <w:rPr>
          <w:noProof/>
        </w:rPr>
        <w:t>Background</w:t>
      </w:r>
      <w:r>
        <w:rPr>
          <w:noProof/>
        </w:rPr>
        <w:tab/>
      </w:r>
      <w:r>
        <w:rPr>
          <w:noProof/>
        </w:rPr>
        <w:fldChar w:fldCharType="begin"/>
      </w:r>
      <w:r>
        <w:rPr>
          <w:noProof/>
        </w:rPr>
        <w:instrText xml:space="preserve"> PAGEREF _Toc198538509 \h </w:instrText>
      </w:r>
      <w:r>
        <w:rPr>
          <w:noProof/>
        </w:rPr>
      </w:r>
      <w:r>
        <w:rPr>
          <w:noProof/>
        </w:rPr>
        <w:fldChar w:fldCharType="separate"/>
      </w:r>
      <w:r>
        <w:rPr>
          <w:noProof/>
        </w:rPr>
        <w:t>9</w:t>
      </w:r>
      <w:r>
        <w:rPr>
          <w:noProof/>
        </w:rPr>
        <w:fldChar w:fldCharType="end"/>
      </w:r>
    </w:p>
    <w:p w14:paraId="6417F87F" w14:textId="2DBF65A4" w:rsidR="007C0AA1" w:rsidRDefault="007C0AA1">
      <w:pPr>
        <w:pStyle w:val="TOC1"/>
        <w:rPr>
          <w:rFonts w:asciiTheme="minorHAnsi" w:eastAsiaTheme="minorEastAsia" w:hAnsiTheme="minorHAnsi" w:cstheme="minorBidi"/>
          <w:b w:val="0"/>
          <w:bCs w:val="0"/>
          <w:noProof/>
          <w:kern w:val="2"/>
          <w:szCs w:val="24"/>
          <w:lang w:eastAsia="en-GB"/>
          <w14:ligatures w14:val="standardContextual"/>
        </w:rPr>
      </w:pPr>
      <w:r>
        <w:rPr>
          <w:noProof/>
        </w:rPr>
        <w:t>3.</w:t>
      </w:r>
      <w:r>
        <w:rPr>
          <w:rFonts w:asciiTheme="minorHAnsi" w:eastAsiaTheme="minorEastAsia" w:hAnsiTheme="minorHAnsi" w:cstheme="minorBidi"/>
          <w:b w:val="0"/>
          <w:bCs w:val="0"/>
          <w:noProof/>
          <w:kern w:val="2"/>
          <w:szCs w:val="24"/>
          <w:lang w:eastAsia="en-GB"/>
          <w14:ligatures w14:val="standardContextual"/>
        </w:rPr>
        <w:tab/>
      </w:r>
      <w:r>
        <w:rPr>
          <w:noProof/>
        </w:rPr>
        <w:t>Practice recruitment</w:t>
      </w:r>
      <w:r>
        <w:rPr>
          <w:noProof/>
        </w:rPr>
        <w:tab/>
      </w:r>
      <w:r>
        <w:rPr>
          <w:noProof/>
        </w:rPr>
        <w:fldChar w:fldCharType="begin"/>
      </w:r>
      <w:r>
        <w:rPr>
          <w:noProof/>
        </w:rPr>
        <w:instrText xml:space="preserve"> PAGEREF _Toc198538510 \h </w:instrText>
      </w:r>
      <w:r>
        <w:rPr>
          <w:noProof/>
        </w:rPr>
      </w:r>
      <w:r>
        <w:rPr>
          <w:noProof/>
        </w:rPr>
        <w:fldChar w:fldCharType="separate"/>
      </w:r>
      <w:r>
        <w:rPr>
          <w:noProof/>
        </w:rPr>
        <w:t>9</w:t>
      </w:r>
      <w:r>
        <w:rPr>
          <w:noProof/>
        </w:rPr>
        <w:fldChar w:fldCharType="end"/>
      </w:r>
    </w:p>
    <w:p w14:paraId="06A51EEB" w14:textId="34EEC9E4" w:rsidR="007C0AA1" w:rsidRDefault="007C0AA1">
      <w:pPr>
        <w:pStyle w:val="TOC1"/>
        <w:rPr>
          <w:rFonts w:asciiTheme="minorHAnsi" w:eastAsiaTheme="minorEastAsia" w:hAnsiTheme="minorHAnsi" w:cstheme="minorBidi"/>
          <w:b w:val="0"/>
          <w:bCs w:val="0"/>
          <w:noProof/>
          <w:kern w:val="2"/>
          <w:szCs w:val="24"/>
          <w:lang w:eastAsia="en-GB"/>
          <w14:ligatures w14:val="standardContextual"/>
        </w:rPr>
      </w:pPr>
      <w:r>
        <w:rPr>
          <w:noProof/>
        </w:rPr>
        <w:t>4.</w:t>
      </w:r>
      <w:r>
        <w:rPr>
          <w:rFonts w:asciiTheme="minorHAnsi" w:eastAsiaTheme="minorEastAsia" w:hAnsiTheme="minorHAnsi" w:cstheme="minorBidi"/>
          <w:b w:val="0"/>
          <w:bCs w:val="0"/>
          <w:noProof/>
          <w:kern w:val="2"/>
          <w:szCs w:val="24"/>
          <w:lang w:eastAsia="en-GB"/>
          <w14:ligatures w14:val="standardContextual"/>
        </w:rPr>
        <w:tab/>
      </w:r>
      <w:r>
        <w:rPr>
          <w:noProof/>
        </w:rPr>
        <w:t>Assessment of clarity, feasibility, reliability and acceptability</w:t>
      </w:r>
      <w:r>
        <w:rPr>
          <w:noProof/>
        </w:rPr>
        <w:tab/>
      </w:r>
      <w:r>
        <w:rPr>
          <w:noProof/>
        </w:rPr>
        <w:fldChar w:fldCharType="begin"/>
      </w:r>
      <w:r>
        <w:rPr>
          <w:noProof/>
        </w:rPr>
        <w:instrText xml:space="preserve"> PAGEREF _Toc198538511 \h </w:instrText>
      </w:r>
      <w:r>
        <w:rPr>
          <w:noProof/>
        </w:rPr>
      </w:r>
      <w:r>
        <w:rPr>
          <w:noProof/>
        </w:rPr>
        <w:fldChar w:fldCharType="separate"/>
      </w:r>
      <w:r>
        <w:rPr>
          <w:noProof/>
        </w:rPr>
        <w:t>11</w:t>
      </w:r>
      <w:r>
        <w:rPr>
          <w:noProof/>
        </w:rPr>
        <w:fldChar w:fldCharType="end"/>
      </w:r>
    </w:p>
    <w:p w14:paraId="079FDDBD" w14:textId="039C6A2A"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4.1.</w:t>
      </w:r>
      <w:r>
        <w:rPr>
          <w:rFonts w:asciiTheme="minorHAnsi" w:eastAsiaTheme="minorEastAsia" w:hAnsiTheme="minorHAnsi" w:cstheme="minorBidi"/>
          <w:bCs w:val="0"/>
          <w:kern w:val="2"/>
          <w:sz w:val="24"/>
          <w:szCs w:val="24"/>
          <w:lang w:eastAsia="en-GB"/>
          <w14:ligatures w14:val="standardContextual"/>
        </w:rPr>
        <w:tab/>
      </w:r>
      <w:r>
        <w:t>Clarity</w:t>
      </w:r>
      <w:r>
        <w:tab/>
      </w:r>
      <w:r>
        <w:fldChar w:fldCharType="begin"/>
      </w:r>
      <w:r>
        <w:instrText xml:space="preserve"> PAGEREF _Toc198538512 \h </w:instrText>
      </w:r>
      <w:r>
        <w:fldChar w:fldCharType="separate"/>
      </w:r>
      <w:r>
        <w:t>11</w:t>
      </w:r>
      <w:r>
        <w:fldChar w:fldCharType="end"/>
      </w:r>
    </w:p>
    <w:p w14:paraId="1B0A5043" w14:textId="0CAB0299"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4.2.</w:t>
      </w:r>
      <w:r>
        <w:rPr>
          <w:rFonts w:asciiTheme="minorHAnsi" w:eastAsiaTheme="minorEastAsia" w:hAnsiTheme="minorHAnsi" w:cstheme="minorBidi"/>
          <w:bCs w:val="0"/>
          <w:kern w:val="2"/>
          <w:sz w:val="24"/>
          <w:szCs w:val="24"/>
          <w:lang w:eastAsia="en-GB"/>
          <w14:ligatures w14:val="standardContextual"/>
        </w:rPr>
        <w:tab/>
      </w:r>
      <w:r>
        <w:t>Feasibility and reliability</w:t>
      </w:r>
      <w:r>
        <w:tab/>
      </w:r>
      <w:r>
        <w:fldChar w:fldCharType="begin"/>
      </w:r>
      <w:r>
        <w:instrText xml:space="preserve"> PAGEREF _Toc198538513 \h </w:instrText>
      </w:r>
      <w:r>
        <w:fldChar w:fldCharType="separate"/>
      </w:r>
      <w:r>
        <w:t>11</w:t>
      </w:r>
      <w:r>
        <w:fldChar w:fldCharType="end"/>
      </w:r>
    </w:p>
    <w:p w14:paraId="75B5E172" w14:textId="7ACBF024"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4.3.</w:t>
      </w:r>
      <w:r>
        <w:rPr>
          <w:rFonts w:asciiTheme="minorHAnsi" w:eastAsiaTheme="minorEastAsia" w:hAnsiTheme="minorHAnsi" w:cstheme="minorBidi"/>
          <w:bCs w:val="0"/>
          <w:kern w:val="2"/>
          <w:sz w:val="24"/>
          <w:szCs w:val="24"/>
          <w:lang w:eastAsia="en-GB"/>
          <w14:ligatures w14:val="standardContextual"/>
        </w:rPr>
        <w:tab/>
      </w:r>
      <w:r>
        <w:t>Acceptability</w:t>
      </w:r>
      <w:r>
        <w:tab/>
      </w:r>
      <w:r>
        <w:fldChar w:fldCharType="begin"/>
      </w:r>
      <w:r>
        <w:instrText xml:space="preserve"> PAGEREF _Toc198538514 \h </w:instrText>
      </w:r>
      <w:r>
        <w:fldChar w:fldCharType="separate"/>
      </w:r>
      <w:r>
        <w:t>11</w:t>
      </w:r>
      <w:r>
        <w:fldChar w:fldCharType="end"/>
      </w:r>
    </w:p>
    <w:p w14:paraId="5D96BAB6" w14:textId="5583BEB2" w:rsidR="007C0AA1" w:rsidRDefault="007C0AA1">
      <w:pPr>
        <w:pStyle w:val="TOC1"/>
        <w:rPr>
          <w:rFonts w:asciiTheme="minorHAnsi" w:eastAsiaTheme="minorEastAsia" w:hAnsiTheme="minorHAnsi" w:cstheme="minorBidi"/>
          <w:b w:val="0"/>
          <w:bCs w:val="0"/>
          <w:noProof/>
          <w:kern w:val="2"/>
          <w:szCs w:val="24"/>
          <w:lang w:eastAsia="en-GB"/>
          <w14:ligatures w14:val="standardContextual"/>
        </w:rPr>
      </w:pPr>
      <w:r>
        <w:rPr>
          <w:noProof/>
        </w:rPr>
        <w:t>5.</w:t>
      </w:r>
      <w:r>
        <w:rPr>
          <w:rFonts w:asciiTheme="minorHAnsi" w:eastAsiaTheme="minorEastAsia" w:hAnsiTheme="minorHAnsi" w:cstheme="minorBidi"/>
          <w:b w:val="0"/>
          <w:bCs w:val="0"/>
          <w:noProof/>
          <w:kern w:val="2"/>
          <w:szCs w:val="24"/>
          <w:lang w:eastAsia="en-GB"/>
          <w14:ligatures w14:val="standardContextual"/>
        </w:rPr>
        <w:tab/>
      </w:r>
      <w:r>
        <w:rPr>
          <w:noProof/>
        </w:rPr>
        <w:t>Suggested amendments to indicator definitions and/or wording</w:t>
      </w:r>
      <w:r>
        <w:rPr>
          <w:noProof/>
        </w:rPr>
        <w:tab/>
      </w:r>
      <w:r>
        <w:rPr>
          <w:noProof/>
        </w:rPr>
        <w:fldChar w:fldCharType="begin"/>
      </w:r>
      <w:r>
        <w:rPr>
          <w:noProof/>
        </w:rPr>
        <w:instrText xml:space="preserve"> PAGEREF _Toc198538515 \h </w:instrText>
      </w:r>
      <w:r>
        <w:rPr>
          <w:noProof/>
        </w:rPr>
      </w:r>
      <w:r>
        <w:rPr>
          <w:noProof/>
        </w:rPr>
        <w:fldChar w:fldCharType="separate"/>
      </w:r>
      <w:r>
        <w:rPr>
          <w:noProof/>
        </w:rPr>
        <w:t>24</w:t>
      </w:r>
      <w:r>
        <w:rPr>
          <w:noProof/>
        </w:rPr>
        <w:fldChar w:fldCharType="end"/>
      </w:r>
    </w:p>
    <w:p w14:paraId="7A85D252" w14:textId="45827BAF"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5.1.</w:t>
      </w:r>
      <w:r>
        <w:rPr>
          <w:rFonts w:asciiTheme="minorHAnsi" w:eastAsiaTheme="minorEastAsia" w:hAnsiTheme="minorHAnsi" w:cstheme="minorBidi"/>
          <w:bCs w:val="0"/>
          <w:kern w:val="2"/>
          <w:sz w:val="24"/>
          <w:szCs w:val="24"/>
          <w:lang w:eastAsia="en-GB"/>
          <w14:ligatures w14:val="standardContextual"/>
        </w:rPr>
        <w:tab/>
      </w:r>
      <w:r>
        <w:t>Indicator wording</w:t>
      </w:r>
      <w:r>
        <w:tab/>
      </w:r>
      <w:r>
        <w:fldChar w:fldCharType="begin"/>
      </w:r>
      <w:r>
        <w:instrText xml:space="preserve"> PAGEREF _Toc198538516 \h </w:instrText>
      </w:r>
      <w:r>
        <w:fldChar w:fldCharType="separate"/>
      </w:r>
      <w:r>
        <w:t>24</w:t>
      </w:r>
      <w:r>
        <w:fldChar w:fldCharType="end"/>
      </w:r>
    </w:p>
    <w:p w14:paraId="7AE29DCE" w14:textId="372B21EE"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5.2.</w:t>
      </w:r>
      <w:r>
        <w:rPr>
          <w:rFonts w:asciiTheme="minorHAnsi" w:eastAsiaTheme="minorEastAsia" w:hAnsiTheme="minorHAnsi" w:cstheme="minorBidi"/>
          <w:bCs w:val="0"/>
          <w:kern w:val="2"/>
          <w:sz w:val="24"/>
          <w:szCs w:val="24"/>
          <w:lang w:eastAsia="en-GB"/>
          <w14:ligatures w14:val="standardContextual"/>
        </w:rPr>
        <w:tab/>
      </w:r>
      <w:r>
        <w:t>Indicator exclusions</w:t>
      </w:r>
      <w:r>
        <w:tab/>
      </w:r>
      <w:r>
        <w:fldChar w:fldCharType="begin"/>
      </w:r>
      <w:r>
        <w:instrText xml:space="preserve"> PAGEREF _Toc198538517 \h </w:instrText>
      </w:r>
      <w:r>
        <w:fldChar w:fldCharType="separate"/>
      </w:r>
      <w:r>
        <w:t>26</w:t>
      </w:r>
      <w:r>
        <w:fldChar w:fldCharType="end"/>
      </w:r>
    </w:p>
    <w:p w14:paraId="62CCD827" w14:textId="5D5C3A82" w:rsidR="007C0AA1" w:rsidRDefault="007C0AA1">
      <w:pPr>
        <w:pStyle w:val="TOC1"/>
        <w:rPr>
          <w:rFonts w:asciiTheme="minorHAnsi" w:eastAsiaTheme="minorEastAsia" w:hAnsiTheme="minorHAnsi" w:cstheme="minorBidi"/>
          <w:b w:val="0"/>
          <w:bCs w:val="0"/>
          <w:noProof/>
          <w:kern w:val="2"/>
          <w:szCs w:val="24"/>
          <w:lang w:eastAsia="en-GB"/>
          <w14:ligatures w14:val="standardContextual"/>
        </w:rPr>
      </w:pPr>
      <w:r>
        <w:rPr>
          <w:noProof/>
        </w:rPr>
        <w:t>6.</w:t>
      </w:r>
      <w:r>
        <w:rPr>
          <w:rFonts w:asciiTheme="minorHAnsi" w:eastAsiaTheme="minorEastAsia" w:hAnsiTheme="minorHAnsi" w:cstheme="minorBidi"/>
          <w:b w:val="0"/>
          <w:bCs w:val="0"/>
          <w:noProof/>
          <w:kern w:val="2"/>
          <w:szCs w:val="24"/>
          <w:lang w:eastAsia="en-GB"/>
          <w14:ligatures w14:val="standardContextual"/>
        </w:rPr>
        <w:tab/>
      </w:r>
      <w:r>
        <w:rPr>
          <w:noProof/>
        </w:rPr>
        <w:t>Practices’ views on implementation issues and impact</w:t>
      </w:r>
      <w:r>
        <w:rPr>
          <w:noProof/>
        </w:rPr>
        <w:tab/>
      </w:r>
      <w:r>
        <w:rPr>
          <w:noProof/>
        </w:rPr>
        <w:fldChar w:fldCharType="begin"/>
      </w:r>
      <w:r>
        <w:rPr>
          <w:noProof/>
        </w:rPr>
        <w:instrText xml:space="preserve"> PAGEREF _Toc198538518 \h </w:instrText>
      </w:r>
      <w:r>
        <w:rPr>
          <w:noProof/>
        </w:rPr>
      </w:r>
      <w:r>
        <w:rPr>
          <w:noProof/>
        </w:rPr>
        <w:fldChar w:fldCharType="separate"/>
      </w:r>
      <w:r>
        <w:rPr>
          <w:noProof/>
        </w:rPr>
        <w:t>30</w:t>
      </w:r>
      <w:r>
        <w:rPr>
          <w:noProof/>
        </w:rPr>
        <w:fldChar w:fldCharType="end"/>
      </w:r>
    </w:p>
    <w:p w14:paraId="678D34CB" w14:textId="30623704"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6.1.</w:t>
      </w:r>
      <w:r>
        <w:rPr>
          <w:rFonts w:asciiTheme="minorHAnsi" w:eastAsiaTheme="minorEastAsia" w:hAnsiTheme="minorHAnsi" w:cstheme="minorBidi"/>
          <w:bCs w:val="0"/>
          <w:kern w:val="2"/>
          <w:sz w:val="24"/>
          <w:szCs w:val="24"/>
          <w:lang w:eastAsia="en-GB"/>
          <w14:ligatures w14:val="standardContextual"/>
        </w:rPr>
        <w:tab/>
      </w:r>
      <w:r>
        <w:t>Training requirements</w:t>
      </w:r>
      <w:r>
        <w:tab/>
      </w:r>
      <w:r>
        <w:fldChar w:fldCharType="begin"/>
      </w:r>
      <w:r>
        <w:instrText xml:space="preserve"> PAGEREF _Toc198538519 \h </w:instrText>
      </w:r>
      <w:r>
        <w:fldChar w:fldCharType="separate"/>
      </w:r>
      <w:r>
        <w:t>30</w:t>
      </w:r>
      <w:r>
        <w:fldChar w:fldCharType="end"/>
      </w:r>
    </w:p>
    <w:p w14:paraId="2F2F4DC7" w14:textId="09596D83"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6.2.</w:t>
      </w:r>
      <w:r>
        <w:rPr>
          <w:rFonts w:asciiTheme="minorHAnsi" w:eastAsiaTheme="minorEastAsia" w:hAnsiTheme="minorHAnsi" w:cstheme="minorBidi"/>
          <w:bCs w:val="0"/>
          <w:kern w:val="2"/>
          <w:sz w:val="24"/>
          <w:szCs w:val="24"/>
          <w:lang w:eastAsia="en-GB"/>
          <w14:ligatures w14:val="standardContextual"/>
        </w:rPr>
        <w:tab/>
      </w:r>
      <w:r>
        <w:t>Workload, resource utilisation and costs</w:t>
      </w:r>
      <w:r>
        <w:tab/>
      </w:r>
      <w:r>
        <w:fldChar w:fldCharType="begin"/>
      </w:r>
      <w:r>
        <w:instrText xml:space="preserve"> PAGEREF _Toc198538520 \h </w:instrText>
      </w:r>
      <w:r>
        <w:fldChar w:fldCharType="separate"/>
      </w:r>
      <w:r>
        <w:t>31</w:t>
      </w:r>
      <w:r>
        <w:fldChar w:fldCharType="end"/>
      </w:r>
    </w:p>
    <w:p w14:paraId="44C792B3" w14:textId="190DA5D1"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6.3.</w:t>
      </w:r>
      <w:r>
        <w:rPr>
          <w:rFonts w:asciiTheme="minorHAnsi" w:eastAsiaTheme="minorEastAsia" w:hAnsiTheme="minorHAnsi" w:cstheme="minorBidi"/>
          <w:bCs w:val="0"/>
          <w:kern w:val="2"/>
          <w:sz w:val="24"/>
          <w:szCs w:val="24"/>
          <w:lang w:eastAsia="en-GB"/>
          <w14:ligatures w14:val="standardContextual"/>
        </w:rPr>
        <w:tab/>
      </w:r>
      <w:r>
        <w:t>Barriers to implementation</w:t>
      </w:r>
      <w:r>
        <w:tab/>
      </w:r>
      <w:r>
        <w:fldChar w:fldCharType="begin"/>
      </w:r>
      <w:r>
        <w:instrText xml:space="preserve"> PAGEREF _Toc198538521 \h </w:instrText>
      </w:r>
      <w:r>
        <w:fldChar w:fldCharType="separate"/>
      </w:r>
      <w:r>
        <w:t>38</w:t>
      </w:r>
      <w:r>
        <w:fldChar w:fldCharType="end"/>
      </w:r>
    </w:p>
    <w:p w14:paraId="3753BAD7" w14:textId="1C1C4691"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6.4.</w:t>
      </w:r>
      <w:r>
        <w:rPr>
          <w:rFonts w:asciiTheme="minorHAnsi" w:eastAsiaTheme="minorEastAsia" w:hAnsiTheme="minorHAnsi" w:cstheme="minorBidi"/>
          <w:bCs w:val="0"/>
          <w:kern w:val="2"/>
          <w:sz w:val="24"/>
          <w:szCs w:val="24"/>
          <w:lang w:eastAsia="en-GB"/>
          <w14:ligatures w14:val="standardContextual"/>
        </w:rPr>
        <w:tab/>
      </w:r>
      <w:r>
        <w:t>Impact on health inequalities</w:t>
      </w:r>
      <w:r>
        <w:tab/>
      </w:r>
      <w:r>
        <w:fldChar w:fldCharType="begin"/>
      </w:r>
      <w:r>
        <w:instrText xml:space="preserve"> PAGEREF _Toc198538522 \h </w:instrText>
      </w:r>
      <w:r>
        <w:fldChar w:fldCharType="separate"/>
      </w:r>
      <w:r>
        <w:t>42</w:t>
      </w:r>
      <w:r>
        <w:fldChar w:fldCharType="end"/>
      </w:r>
    </w:p>
    <w:p w14:paraId="22338D78" w14:textId="489A6483" w:rsidR="007C0AA1" w:rsidRDefault="007C0AA1">
      <w:pPr>
        <w:pStyle w:val="TOC2"/>
        <w:rPr>
          <w:rFonts w:asciiTheme="minorHAnsi" w:eastAsiaTheme="minorEastAsia" w:hAnsiTheme="minorHAnsi" w:cstheme="minorBidi"/>
          <w:bCs w:val="0"/>
          <w:kern w:val="2"/>
          <w:sz w:val="24"/>
          <w:szCs w:val="24"/>
          <w:lang w:eastAsia="en-GB"/>
          <w14:ligatures w14:val="standardContextual"/>
        </w:rPr>
      </w:pPr>
      <w:r>
        <w:t>6.5.</w:t>
      </w:r>
      <w:r>
        <w:rPr>
          <w:rFonts w:asciiTheme="minorHAnsi" w:eastAsiaTheme="minorEastAsia" w:hAnsiTheme="minorHAnsi" w:cstheme="minorBidi"/>
          <w:bCs w:val="0"/>
          <w:kern w:val="2"/>
          <w:sz w:val="24"/>
          <w:szCs w:val="24"/>
          <w:lang w:eastAsia="en-GB"/>
          <w14:ligatures w14:val="standardContextual"/>
        </w:rPr>
        <w:tab/>
      </w:r>
      <w:r>
        <w:t>Other overall views on implementation of the indicators (including unintended consequences)</w:t>
      </w:r>
      <w:r>
        <w:tab/>
      </w:r>
      <w:r>
        <w:fldChar w:fldCharType="begin"/>
      </w:r>
      <w:r>
        <w:instrText xml:space="preserve"> PAGEREF _Toc198538523 \h </w:instrText>
      </w:r>
      <w:r>
        <w:fldChar w:fldCharType="separate"/>
      </w:r>
      <w:r>
        <w:t>43</w:t>
      </w:r>
      <w:r>
        <w:fldChar w:fldCharType="end"/>
      </w:r>
    </w:p>
    <w:p w14:paraId="57C6E9E5" w14:textId="2EC6F363" w:rsidR="000B2C16" w:rsidRDefault="00AA0981">
      <w:pPr>
        <w:spacing w:after="160" w:line="259" w:lineRule="auto"/>
        <w:rPr>
          <w:rFonts w:eastAsiaTheme="majorEastAsia" w:cstheme="majorBidi"/>
          <w:b/>
          <w:sz w:val="32"/>
          <w:szCs w:val="32"/>
        </w:rPr>
      </w:pPr>
      <w:r>
        <w:fldChar w:fldCharType="end"/>
      </w:r>
      <w:r w:rsidR="000B2C16">
        <w:br w:type="page"/>
      </w:r>
    </w:p>
    <w:p w14:paraId="1FF04C8E" w14:textId="77777777" w:rsidR="0099011F" w:rsidRDefault="0099011F" w:rsidP="00AA0981">
      <w:pPr>
        <w:pStyle w:val="Heading1"/>
      </w:pPr>
      <w:bookmarkStart w:id="6" w:name="_Toc198538508"/>
      <w:r w:rsidRPr="00AA0981">
        <w:lastRenderedPageBreak/>
        <w:t>Summary</w:t>
      </w:r>
      <w:r w:rsidRPr="00B8476F">
        <w:t xml:space="preserve"> of </w:t>
      </w:r>
      <w:r>
        <w:t>pilot findings</w:t>
      </w:r>
      <w:bookmarkEnd w:id="6"/>
    </w:p>
    <w:p w14:paraId="72CFA232" w14:textId="7C295FD2" w:rsidR="007F7C0C" w:rsidRPr="00DE46F6" w:rsidRDefault="007F7C0C" w:rsidP="002675D5">
      <w:r w:rsidRPr="00DE46F6">
        <w:t>This topic encompassed four indicators, which range from the prevention of obesity in young adults who are overweight</w:t>
      </w:r>
      <w:r w:rsidR="003520FF">
        <w:t xml:space="preserve"> (indicator 1)</w:t>
      </w:r>
      <w:r w:rsidRPr="00DE46F6">
        <w:t>, the management of severe obesity</w:t>
      </w:r>
      <w:r w:rsidR="003520FF">
        <w:t xml:space="preserve"> (indicator 2)</w:t>
      </w:r>
      <w:r w:rsidRPr="00DE46F6">
        <w:t xml:space="preserve">, </w:t>
      </w:r>
      <w:r w:rsidR="00DE46F6" w:rsidRPr="00DE46F6">
        <w:t>and the post-surgical monitoring in primary care of patients who have undergone bariatric surgery</w:t>
      </w:r>
      <w:r w:rsidR="003520FF">
        <w:t xml:space="preserve"> (indicators 3 and 4)</w:t>
      </w:r>
      <w:r w:rsidR="00DE46F6" w:rsidRPr="00DE46F6">
        <w:t>.</w:t>
      </w:r>
    </w:p>
    <w:p w14:paraId="3D3AE687" w14:textId="77777777" w:rsidR="00F3360E" w:rsidRPr="009829E5" w:rsidRDefault="00F3360E" w:rsidP="00F3360E">
      <w:pPr>
        <w:pStyle w:val="Heading4"/>
      </w:pPr>
      <w:r w:rsidRPr="00911385">
        <w:t>Indicator 1: Weight management: weight management advice (18-39 years)</w:t>
      </w:r>
    </w:p>
    <w:p w14:paraId="32BE837C" w14:textId="402BA8A2" w:rsidR="0099011F" w:rsidRDefault="00FC1C9D" w:rsidP="0099011F">
      <w:r w:rsidRPr="00FC1C9D">
        <w:t>The percentage of patients aged 18 to 39 years with a BMI of between 23 kg/m2 to 27.4 kg/m2 (or 25 and 30 kg/m2 if ethnicity is recorded as White) in the preceding 12 months who have been given appropriate weight management advice within 90 days of the BMI being recorded.</w:t>
      </w:r>
    </w:p>
    <w:p w14:paraId="72D21D04" w14:textId="7E79DDBE" w:rsidR="00BA1D66" w:rsidRDefault="00BA1D66" w:rsidP="00BA1D66">
      <w:r w:rsidRPr="00BA1D66">
        <w:t xml:space="preserve">Indicator 1 </w:t>
      </w:r>
      <w:r>
        <w:t>wa</w:t>
      </w:r>
      <w:r w:rsidRPr="00BA1D66">
        <w:t>s proposed as a general practice indicator suitable for QOF.</w:t>
      </w:r>
    </w:p>
    <w:p w14:paraId="51C6F3C1" w14:textId="77777777" w:rsidR="0099011F" w:rsidRPr="009B3F41" w:rsidRDefault="0099011F" w:rsidP="0099011F">
      <w:pPr>
        <w:pStyle w:val="Heading5"/>
        <w:rPr>
          <w:b/>
          <w:i w:val="0"/>
        </w:rPr>
      </w:pPr>
      <w:r w:rsidRPr="009B3F41">
        <w:t>Acceptability assessment</w:t>
      </w:r>
    </w:p>
    <w:p w14:paraId="5882066F" w14:textId="77DCF1BA" w:rsidR="0099011F" w:rsidRPr="009B3F41" w:rsidRDefault="009B3F41" w:rsidP="0099011F">
      <w:r w:rsidRPr="009B3F41">
        <w:t>Less than half (45.6</w:t>
      </w:r>
      <w:r w:rsidR="0099011F" w:rsidRPr="009B3F41">
        <w:t>%</w:t>
      </w:r>
      <w:r w:rsidRPr="009B3F41">
        <w:t>, 26/57</w:t>
      </w:r>
      <w:r w:rsidR="000B6544" w:rsidRPr="009B3F41">
        <w:t xml:space="preserve">) </w:t>
      </w:r>
      <w:r w:rsidR="0099011F" w:rsidRPr="009B3F41">
        <w:t xml:space="preserve">of survey respondents </w:t>
      </w:r>
      <w:r w:rsidR="00AA2341" w:rsidRPr="009B3F41">
        <w:t>felt that this indicator</w:t>
      </w:r>
      <w:r w:rsidR="0099011F" w:rsidRPr="009B3F41">
        <w:t xml:space="preserve"> would improve the quality of care for patients</w:t>
      </w:r>
      <w:r w:rsidRPr="009B3F41">
        <w:t xml:space="preserve">, and only 36.8% (21/57) felt it represented an issue that was important for patients, families and carers. However, almost 60% of survey respondents (59.6%, 34/57) felt it </w:t>
      </w:r>
      <w:r w:rsidR="0099011F" w:rsidRPr="009B3F41">
        <w:t xml:space="preserve">was suitable for financial incentivisation. </w:t>
      </w:r>
      <w:r w:rsidRPr="009B3F41">
        <w:t>Feedback from interviews was mixed.</w:t>
      </w:r>
    </w:p>
    <w:p w14:paraId="56E2949F" w14:textId="19444860" w:rsidR="00911E5C" w:rsidRPr="009B3F41" w:rsidRDefault="00911E5C" w:rsidP="00911E5C">
      <w:pPr>
        <w:pStyle w:val="Heading5"/>
        <w:rPr>
          <w:b/>
          <w:i w:val="0"/>
        </w:rPr>
      </w:pPr>
      <w:r w:rsidRPr="009B3F41">
        <w:t>Implementation assessment</w:t>
      </w:r>
    </w:p>
    <w:p w14:paraId="19E6519E" w14:textId="2EE43989" w:rsidR="00824D01" w:rsidRPr="009B3F41" w:rsidRDefault="009B3F41" w:rsidP="00824D01">
      <w:r w:rsidRPr="009B3F41">
        <w:t>S</w:t>
      </w:r>
      <w:r w:rsidR="00824D01" w:rsidRPr="009B3F41">
        <w:t>ubstantial issues with implementation were highlighted</w:t>
      </w:r>
      <w:r w:rsidR="00607D4B">
        <w:t xml:space="preserve"> by practices</w:t>
      </w:r>
      <w:r w:rsidRPr="009B3F41">
        <w:t>, as shown below.</w:t>
      </w:r>
    </w:p>
    <w:p w14:paraId="68F3D9F9" w14:textId="0BBD73C4" w:rsidR="008F2403" w:rsidRPr="009B3F41" w:rsidRDefault="008F2403" w:rsidP="008F2403">
      <w:pPr>
        <w:pStyle w:val="Heading4"/>
        <w:spacing w:after="160" w:line="259" w:lineRule="auto"/>
      </w:pPr>
      <w:r w:rsidRPr="009B3F41">
        <w:t xml:space="preserve">Issues to </w:t>
      </w:r>
      <w:r w:rsidR="00607D4B">
        <w:t>consider</w:t>
      </w:r>
      <w:r w:rsidRPr="009B3F41">
        <w:t xml:space="preserve"> prior to implementation</w:t>
      </w:r>
      <w:r w:rsidR="00607D4B">
        <w:t>:</w:t>
      </w:r>
    </w:p>
    <w:tbl>
      <w:tblPr>
        <w:tblStyle w:val="TableGrid"/>
        <w:tblW w:w="9351" w:type="dxa"/>
        <w:tblLook w:val="04A0" w:firstRow="1" w:lastRow="0" w:firstColumn="1" w:lastColumn="0" w:noHBand="0" w:noVBand="1"/>
      </w:tblPr>
      <w:tblGrid>
        <w:gridCol w:w="2122"/>
        <w:gridCol w:w="4110"/>
        <w:gridCol w:w="3119"/>
      </w:tblGrid>
      <w:tr w:rsidR="0099011F" w:rsidRPr="00FC1C9D" w14:paraId="4A49A50F" w14:textId="77777777" w:rsidTr="000C1B15">
        <w:tc>
          <w:tcPr>
            <w:tcW w:w="2122" w:type="dxa"/>
          </w:tcPr>
          <w:p w14:paraId="6D8DDCCC" w14:textId="77777777" w:rsidR="0099011F" w:rsidRPr="00633629" w:rsidRDefault="0099011F" w:rsidP="00DD28EC">
            <w:pPr>
              <w:spacing w:line="240" w:lineRule="auto"/>
              <w:rPr>
                <w:b/>
              </w:rPr>
            </w:pPr>
            <w:r w:rsidRPr="00633629">
              <w:rPr>
                <w:b/>
              </w:rPr>
              <w:t>Issue</w:t>
            </w:r>
          </w:p>
        </w:tc>
        <w:tc>
          <w:tcPr>
            <w:tcW w:w="4110" w:type="dxa"/>
          </w:tcPr>
          <w:p w14:paraId="765C6608" w14:textId="77777777" w:rsidR="0099011F" w:rsidRPr="00633629" w:rsidRDefault="0099011F" w:rsidP="00DD28EC">
            <w:pPr>
              <w:spacing w:line="240" w:lineRule="auto"/>
              <w:rPr>
                <w:b/>
              </w:rPr>
            </w:pPr>
            <w:r w:rsidRPr="00633629">
              <w:rPr>
                <w:b/>
              </w:rPr>
              <w:t>Detail</w:t>
            </w:r>
          </w:p>
        </w:tc>
        <w:tc>
          <w:tcPr>
            <w:tcW w:w="3119" w:type="dxa"/>
          </w:tcPr>
          <w:p w14:paraId="51C33EB6" w14:textId="77777777" w:rsidR="0099011F" w:rsidRPr="00633629" w:rsidRDefault="0099011F" w:rsidP="00DD28EC">
            <w:pPr>
              <w:spacing w:line="240" w:lineRule="auto"/>
              <w:rPr>
                <w:b/>
              </w:rPr>
            </w:pPr>
            <w:r w:rsidRPr="00633629">
              <w:rPr>
                <w:b/>
              </w:rPr>
              <w:t>Mitigating activity</w:t>
            </w:r>
          </w:p>
        </w:tc>
      </w:tr>
      <w:tr w:rsidR="000D023B" w:rsidRPr="00FC1C9D" w14:paraId="49D0464A" w14:textId="77777777" w:rsidTr="000C1B15">
        <w:tc>
          <w:tcPr>
            <w:tcW w:w="2122" w:type="dxa"/>
          </w:tcPr>
          <w:p w14:paraId="064DFB3B" w14:textId="6557717A" w:rsidR="000D023B" w:rsidRPr="00521B20" w:rsidRDefault="00521B20" w:rsidP="000D023B">
            <w:pPr>
              <w:spacing w:line="240" w:lineRule="auto"/>
            </w:pPr>
            <w:r w:rsidRPr="00521B20">
              <w:t>Potential for intervention to damage patient relationship</w:t>
            </w:r>
          </w:p>
        </w:tc>
        <w:tc>
          <w:tcPr>
            <w:tcW w:w="4110" w:type="dxa"/>
          </w:tcPr>
          <w:p w14:paraId="78ABC48C" w14:textId="0A66B830" w:rsidR="000D023B" w:rsidRPr="00521B20" w:rsidRDefault="00521B20" w:rsidP="000D023B">
            <w:pPr>
              <w:spacing w:line="240" w:lineRule="auto"/>
            </w:pPr>
            <w:r w:rsidRPr="00521B20">
              <w:t>Respondents felt that raising weight with patients may make them angry, upset or isolated.</w:t>
            </w:r>
            <w:r w:rsidR="00F33C0E">
              <w:t xml:space="preserve"> This was raised for specific subgroups, including patients with BAME ethnicities and those with eating disorders.</w:t>
            </w:r>
          </w:p>
        </w:tc>
        <w:tc>
          <w:tcPr>
            <w:tcW w:w="3119" w:type="dxa"/>
          </w:tcPr>
          <w:p w14:paraId="6E616281" w14:textId="6C1F2C51" w:rsidR="000D023B" w:rsidRPr="00521B20" w:rsidRDefault="00521B20" w:rsidP="000D023B">
            <w:pPr>
              <w:spacing w:line="240" w:lineRule="auto"/>
              <w:rPr>
                <w:iCs/>
              </w:rPr>
            </w:pPr>
            <w:r w:rsidRPr="00521B20">
              <w:rPr>
                <w:iCs/>
              </w:rPr>
              <w:t xml:space="preserve">Evidence-based detail in </w:t>
            </w:r>
            <w:r w:rsidR="00A02EC8">
              <w:rPr>
                <w:iCs/>
              </w:rPr>
              <w:t xml:space="preserve">indicator </w:t>
            </w:r>
            <w:r w:rsidRPr="00521B20">
              <w:rPr>
                <w:iCs/>
              </w:rPr>
              <w:t>guidance</w:t>
            </w:r>
          </w:p>
          <w:p w14:paraId="70A01EF3" w14:textId="680FB613" w:rsidR="00521B20" w:rsidRPr="00521B20" w:rsidRDefault="00521B20" w:rsidP="000D023B">
            <w:pPr>
              <w:spacing w:line="240" w:lineRule="auto"/>
              <w:rPr>
                <w:iCs/>
              </w:rPr>
            </w:pPr>
            <w:r w:rsidRPr="00521B20">
              <w:rPr>
                <w:iCs/>
              </w:rPr>
              <w:t>Training</w:t>
            </w:r>
            <w:r w:rsidR="006542B2" w:rsidRPr="00521B20">
              <w:rPr>
                <w:iCs/>
              </w:rPr>
              <w:t xml:space="preserve"> </w:t>
            </w:r>
            <w:r w:rsidR="006542B2">
              <w:rPr>
                <w:iCs/>
              </w:rPr>
              <w:t>and education regarding obesity, weight management, personalised care, behaviour change, brief interventions</w:t>
            </w:r>
          </w:p>
        </w:tc>
      </w:tr>
      <w:tr w:rsidR="000D023B" w:rsidRPr="00633629" w14:paraId="06816637" w14:textId="77777777" w:rsidTr="00A5447F">
        <w:tc>
          <w:tcPr>
            <w:tcW w:w="2122" w:type="dxa"/>
          </w:tcPr>
          <w:p w14:paraId="56256205" w14:textId="56E7EE2B" w:rsidR="000D023B" w:rsidRPr="00633629" w:rsidRDefault="00521B20" w:rsidP="000D023B">
            <w:pPr>
              <w:spacing w:line="240" w:lineRule="auto"/>
            </w:pPr>
            <w:r w:rsidRPr="00633629">
              <w:t>Lack of available services</w:t>
            </w:r>
          </w:p>
        </w:tc>
        <w:tc>
          <w:tcPr>
            <w:tcW w:w="4110" w:type="dxa"/>
          </w:tcPr>
          <w:p w14:paraId="732E2B30" w14:textId="2EEFB3F8" w:rsidR="000D023B" w:rsidRPr="00A5447F" w:rsidRDefault="00A5447F" w:rsidP="000D023B">
            <w:pPr>
              <w:spacing w:line="240" w:lineRule="auto"/>
            </w:pPr>
            <w:r w:rsidRPr="00A5447F">
              <w:t xml:space="preserve">The original expectation was for the brief intervention to be delivered in-house, however </w:t>
            </w:r>
            <w:r w:rsidR="00607D4B" w:rsidRPr="00A5447F">
              <w:t>a wider response was received from practices</w:t>
            </w:r>
          </w:p>
        </w:tc>
        <w:tc>
          <w:tcPr>
            <w:tcW w:w="3119" w:type="dxa"/>
          </w:tcPr>
          <w:p w14:paraId="4D3BB451" w14:textId="50869213" w:rsidR="00080582" w:rsidRPr="00633629" w:rsidRDefault="00F64DB6" w:rsidP="005A6A84">
            <w:pPr>
              <w:spacing w:line="240" w:lineRule="auto"/>
            </w:pPr>
            <w:r>
              <w:t xml:space="preserve">Changing indicator to </w:t>
            </w:r>
            <w:r w:rsidR="00633629" w:rsidRPr="00633629">
              <w:t xml:space="preserve">system level </w:t>
            </w:r>
            <w:r>
              <w:t>could</w:t>
            </w:r>
            <w:r w:rsidR="00633629" w:rsidRPr="00633629">
              <w:t xml:space="preserve"> incentivise local systems to address the issues relating </w:t>
            </w:r>
            <w:r w:rsidR="00633629" w:rsidRPr="00633629">
              <w:lastRenderedPageBreak/>
              <w:t>to weight management services</w:t>
            </w:r>
          </w:p>
        </w:tc>
      </w:tr>
      <w:tr w:rsidR="00BC168F" w:rsidRPr="000E72E2" w14:paraId="5701ED8A" w14:textId="77777777" w:rsidTr="000C1B15">
        <w:tc>
          <w:tcPr>
            <w:tcW w:w="2122" w:type="dxa"/>
          </w:tcPr>
          <w:p w14:paraId="54D78AB1" w14:textId="1E81E437" w:rsidR="00BC168F" w:rsidRPr="00FC4559" w:rsidRDefault="00BC168F" w:rsidP="00BC168F">
            <w:pPr>
              <w:spacing w:line="240" w:lineRule="auto"/>
              <w:rPr>
                <w:color w:val="000000" w:themeColor="text1"/>
              </w:rPr>
            </w:pPr>
            <w:r w:rsidRPr="00FC4559">
              <w:rPr>
                <w:color w:val="000000" w:themeColor="text1"/>
              </w:rPr>
              <w:lastRenderedPageBreak/>
              <w:t>Consider suggested additional patient exclusions</w:t>
            </w:r>
          </w:p>
        </w:tc>
        <w:tc>
          <w:tcPr>
            <w:tcW w:w="4110" w:type="dxa"/>
          </w:tcPr>
          <w:p w14:paraId="210FC1E8" w14:textId="28824F3F" w:rsidR="00BC168F" w:rsidRPr="00FC4559" w:rsidRDefault="00BC168F" w:rsidP="00BC168F">
            <w:pPr>
              <w:spacing w:line="240" w:lineRule="auto"/>
            </w:pPr>
            <w:r w:rsidRPr="00FC4559">
              <w:t xml:space="preserve">These </w:t>
            </w:r>
            <w:r w:rsidRPr="00EC7FBB">
              <w:t>are detailed in section 5.2, and include:</w:t>
            </w:r>
          </w:p>
          <w:p w14:paraId="49E51BDF" w14:textId="77777777" w:rsidR="00BC168F" w:rsidRPr="00FC4559" w:rsidRDefault="00BC168F" w:rsidP="00BC168F">
            <w:pPr>
              <w:pStyle w:val="ListParagraph"/>
              <w:numPr>
                <w:ilvl w:val="0"/>
                <w:numId w:val="20"/>
              </w:numPr>
              <w:spacing w:line="240" w:lineRule="auto"/>
              <w:rPr>
                <w:color w:val="000000" w:themeColor="text1"/>
              </w:rPr>
            </w:pPr>
            <w:r w:rsidRPr="00FC4559">
              <w:t>post-partum women</w:t>
            </w:r>
          </w:p>
          <w:p w14:paraId="24CD5B3F" w14:textId="77777777" w:rsidR="00BC168F" w:rsidRPr="00FC4559" w:rsidRDefault="00BC168F" w:rsidP="00BC168F">
            <w:pPr>
              <w:pStyle w:val="ListParagraph"/>
              <w:numPr>
                <w:ilvl w:val="0"/>
                <w:numId w:val="20"/>
              </w:numPr>
              <w:spacing w:line="240" w:lineRule="auto"/>
              <w:rPr>
                <w:color w:val="000000" w:themeColor="text1"/>
              </w:rPr>
            </w:pPr>
            <w:r w:rsidRPr="00FC4559">
              <w:t>those with eating disorders</w:t>
            </w:r>
          </w:p>
          <w:p w14:paraId="7B6387E1" w14:textId="77777777" w:rsidR="00BC168F" w:rsidRPr="00FC4559" w:rsidRDefault="00BC168F" w:rsidP="00BC168F">
            <w:pPr>
              <w:pStyle w:val="ListParagraph"/>
              <w:numPr>
                <w:ilvl w:val="0"/>
                <w:numId w:val="20"/>
              </w:numPr>
              <w:spacing w:line="240" w:lineRule="auto"/>
              <w:rPr>
                <w:color w:val="000000" w:themeColor="text1"/>
              </w:rPr>
            </w:pPr>
            <w:r w:rsidRPr="00FC4559">
              <w:t>housebound patients</w:t>
            </w:r>
          </w:p>
          <w:p w14:paraId="7733F812" w14:textId="10A82E13" w:rsidR="00BC168F" w:rsidRPr="00FC4559" w:rsidRDefault="00BC168F" w:rsidP="00BC168F">
            <w:pPr>
              <w:pStyle w:val="ListParagraph"/>
              <w:numPr>
                <w:ilvl w:val="0"/>
                <w:numId w:val="20"/>
              </w:numPr>
              <w:spacing w:line="240" w:lineRule="auto"/>
              <w:rPr>
                <w:color w:val="000000" w:themeColor="text1"/>
              </w:rPr>
            </w:pPr>
            <w:r w:rsidRPr="00FC4559">
              <w:t>patients with severe illnesses or who are terminally ill</w:t>
            </w:r>
            <w:r>
              <w:t>, receiving palliative care</w:t>
            </w:r>
          </w:p>
          <w:p w14:paraId="6BF08356" w14:textId="41FBAB52" w:rsidR="00BC168F" w:rsidRPr="00FC4559" w:rsidRDefault="00BC168F" w:rsidP="00BC168F">
            <w:pPr>
              <w:pStyle w:val="ListParagraph"/>
              <w:numPr>
                <w:ilvl w:val="0"/>
                <w:numId w:val="20"/>
              </w:numPr>
              <w:spacing w:line="240" w:lineRule="auto"/>
              <w:rPr>
                <w:color w:val="000000" w:themeColor="text1"/>
              </w:rPr>
            </w:pPr>
            <w:r>
              <w:t>Potentially those</w:t>
            </w:r>
            <w:r w:rsidRPr="00FC4559">
              <w:t xml:space="preserve"> with learning </w:t>
            </w:r>
            <w:r w:rsidRPr="00EC7FBB">
              <w:t xml:space="preserve">disabilities, noting the discussion in relation to health inequalities (see </w:t>
            </w:r>
            <w:r w:rsidR="00E70AF6">
              <w:t xml:space="preserve">report </w:t>
            </w:r>
            <w:r w:rsidRPr="00EC7FBB">
              <w:t xml:space="preserve">section 6.4 for </w:t>
            </w:r>
            <w:r>
              <w:t>detail)</w:t>
            </w:r>
          </w:p>
        </w:tc>
        <w:tc>
          <w:tcPr>
            <w:tcW w:w="3119" w:type="dxa"/>
          </w:tcPr>
          <w:p w14:paraId="04EB6EAF" w14:textId="155DA72E" w:rsidR="00BC168F" w:rsidRPr="00633629" w:rsidRDefault="00BC168F" w:rsidP="00BC168F">
            <w:pPr>
              <w:spacing w:line="240" w:lineRule="auto"/>
            </w:pPr>
            <w:r w:rsidRPr="00FC4559">
              <w:rPr>
                <w:iCs/>
              </w:rPr>
              <w:t>Would require amendments to guidance</w:t>
            </w:r>
          </w:p>
        </w:tc>
      </w:tr>
      <w:tr w:rsidR="00BC168F" w:rsidRPr="000E72E2" w14:paraId="3C9019C4" w14:textId="77777777" w:rsidTr="000C1B15">
        <w:tc>
          <w:tcPr>
            <w:tcW w:w="2122" w:type="dxa"/>
          </w:tcPr>
          <w:p w14:paraId="5F35121F" w14:textId="5CF4EEEA" w:rsidR="00BC168F" w:rsidRDefault="00BC168F" w:rsidP="00BC168F">
            <w:pPr>
              <w:spacing w:line="240" w:lineRule="auto"/>
              <w:rPr>
                <w:color w:val="000000" w:themeColor="text1"/>
              </w:rPr>
            </w:pPr>
            <w:r>
              <w:rPr>
                <w:color w:val="000000" w:themeColor="text1"/>
              </w:rPr>
              <w:t>Workload</w:t>
            </w:r>
          </w:p>
        </w:tc>
        <w:tc>
          <w:tcPr>
            <w:tcW w:w="4110" w:type="dxa"/>
          </w:tcPr>
          <w:p w14:paraId="1205188A" w14:textId="0D88EBC5" w:rsidR="00BC168F" w:rsidRPr="00171E55" w:rsidRDefault="00BC168F" w:rsidP="00BC168F">
            <w:pPr>
              <w:spacing w:line="240" w:lineRule="auto"/>
            </w:pPr>
            <w:r>
              <w:t>Concern over additional workload required to have the extra conversation</w:t>
            </w:r>
          </w:p>
        </w:tc>
        <w:tc>
          <w:tcPr>
            <w:tcW w:w="3119" w:type="dxa"/>
          </w:tcPr>
          <w:p w14:paraId="43B2EFAD" w14:textId="77777777" w:rsidR="00BC168F" w:rsidRDefault="00BC168F" w:rsidP="00BC168F">
            <w:pPr>
              <w:spacing w:line="240" w:lineRule="auto"/>
              <w:rPr>
                <w:iCs/>
              </w:rPr>
            </w:pPr>
            <w:r>
              <w:rPr>
                <w:iCs/>
              </w:rPr>
              <w:t>Consider setting lower achievement threshold</w:t>
            </w:r>
          </w:p>
          <w:p w14:paraId="688B2179" w14:textId="27DA1007" w:rsidR="00BC168F" w:rsidRPr="00B436BC" w:rsidRDefault="002C41ED" w:rsidP="00BC168F">
            <w:pPr>
              <w:spacing w:line="240" w:lineRule="auto"/>
              <w:rPr>
                <w:iCs/>
              </w:rPr>
            </w:pPr>
            <w:r>
              <w:rPr>
                <w:iCs/>
              </w:rPr>
              <w:t>Consider whether this support can be provided via an alternate route</w:t>
            </w:r>
            <w:r w:rsidR="00BC168F">
              <w:rPr>
                <w:iCs/>
              </w:rPr>
              <w:t xml:space="preserve"> </w:t>
            </w:r>
            <w:r>
              <w:rPr>
                <w:iCs/>
              </w:rPr>
              <w:t>for example</w:t>
            </w:r>
            <w:r w:rsidR="00BC168F">
              <w:rPr>
                <w:iCs/>
              </w:rPr>
              <w:t xml:space="preserve"> social prescribers, or service model improvements to enable primary care to support public health</w:t>
            </w:r>
            <w:r>
              <w:rPr>
                <w:iCs/>
              </w:rPr>
              <w:t>.</w:t>
            </w:r>
          </w:p>
        </w:tc>
      </w:tr>
      <w:tr w:rsidR="00BC168F" w:rsidRPr="00FC1C9D" w14:paraId="7E807A78" w14:textId="77777777" w:rsidTr="00C27E0D">
        <w:tc>
          <w:tcPr>
            <w:tcW w:w="2122" w:type="dxa"/>
          </w:tcPr>
          <w:p w14:paraId="42F6B7B2" w14:textId="0105BF8E" w:rsidR="00BC168F" w:rsidRPr="00A02EC8" w:rsidRDefault="00BC168F" w:rsidP="00BC168F">
            <w:pPr>
              <w:spacing w:line="240" w:lineRule="auto"/>
              <w:rPr>
                <w:color w:val="000000" w:themeColor="text1"/>
              </w:rPr>
            </w:pPr>
            <w:r>
              <w:rPr>
                <w:color w:val="000000" w:themeColor="text1"/>
              </w:rPr>
              <w:t xml:space="preserve">Role of primary care </w:t>
            </w:r>
          </w:p>
        </w:tc>
        <w:tc>
          <w:tcPr>
            <w:tcW w:w="4110" w:type="dxa"/>
          </w:tcPr>
          <w:p w14:paraId="41B1D585" w14:textId="77777777" w:rsidR="00BC168F" w:rsidRDefault="00BC168F" w:rsidP="00BC168F">
            <w:pPr>
              <w:spacing w:line="240" w:lineRule="auto"/>
            </w:pPr>
            <w:r w:rsidRPr="00A02EC8">
              <w:t xml:space="preserve">Concerns about the role of primary care </w:t>
            </w:r>
            <w:r>
              <w:t>in achieving</w:t>
            </w:r>
            <w:r w:rsidRPr="00A02EC8">
              <w:t xml:space="preserve"> wider public health outcomes</w:t>
            </w:r>
            <w:r w:rsidR="007752E9">
              <w:t>.</w:t>
            </w:r>
          </w:p>
          <w:p w14:paraId="0DF20567" w14:textId="0502EBA6" w:rsidR="007752E9" w:rsidRPr="00A02EC8" w:rsidRDefault="007752E9" w:rsidP="00BC168F">
            <w:pPr>
              <w:spacing w:line="240" w:lineRule="auto"/>
            </w:pPr>
            <w:r>
              <w:t>Role of primary care in addressing obesity in patients who may not themselves be motivated.</w:t>
            </w:r>
          </w:p>
        </w:tc>
        <w:tc>
          <w:tcPr>
            <w:tcW w:w="3119" w:type="dxa"/>
          </w:tcPr>
          <w:p w14:paraId="18C5FCD0" w14:textId="2ACD5A5C" w:rsidR="00BC168F" w:rsidRPr="00B436BC" w:rsidRDefault="00BC168F" w:rsidP="00BC168F">
            <w:pPr>
              <w:spacing w:line="240" w:lineRule="auto"/>
              <w:rPr>
                <w:iCs/>
              </w:rPr>
            </w:pPr>
            <w:r w:rsidRPr="00A02EC8">
              <w:rPr>
                <w:iCs/>
              </w:rPr>
              <w:t>Further work needed to clarify</w:t>
            </w:r>
            <w:r w:rsidR="002C41ED">
              <w:rPr>
                <w:iCs/>
              </w:rPr>
              <w:t xml:space="preserve"> the role and responsibilities of primary care </w:t>
            </w:r>
            <w:r w:rsidRPr="00A02EC8">
              <w:rPr>
                <w:iCs/>
              </w:rPr>
              <w:t>in system level outcomes</w:t>
            </w:r>
            <w:r w:rsidR="002C41ED">
              <w:rPr>
                <w:iCs/>
              </w:rPr>
              <w:t>.</w:t>
            </w:r>
          </w:p>
        </w:tc>
      </w:tr>
    </w:tbl>
    <w:p w14:paraId="3C298594" w14:textId="77777777" w:rsidR="00FC1C9D" w:rsidRDefault="00FC1C9D">
      <w:pPr>
        <w:spacing w:after="160" w:line="259" w:lineRule="auto"/>
        <w:rPr>
          <w:highlight w:val="magenta"/>
        </w:rPr>
      </w:pPr>
    </w:p>
    <w:p w14:paraId="086B4773" w14:textId="77777777" w:rsidR="00F3360E" w:rsidRPr="00AE0D43" w:rsidRDefault="00F3360E" w:rsidP="00F3360E">
      <w:pPr>
        <w:pStyle w:val="Heading4"/>
      </w:pPr>
      <w:r w:rsidRPr="00B36A25">
        <w:t>Indicator 2: Weight management: referral for bariatric surgery</w:t>
      </w:r>
    </w:p>
    <w:p w14:paraId="76C7BEF0" w14:textId="50416808" w:rsidR="009B3F41" w:rsidRDefault="004D0CB7" w:rsidP="009B3F41">
      <w:r w:rsidRPr="004D0CB7">
        <w:t>The percentage of patients aged 18 years and over with a BMI measured in the preceding 12 months of 37.5 kg/m2 or more (or 40 kg/m2 or more if ethnicity is recorded as White) who have been offered referral for comprehensive bariatric surgery assessment within the preceding 12 months.</w:t>
      </w:r>
    </w:p>
    <w:p w14:paraId="745D79CA" w14:textId="54887DA4" w:rsidR="00633629" w:rsidRDefault="00BA1D66" w:rsidP="009B3F41">
      <w:r>
        <w:t>Indicator 2 was</w:t>
      </w:r>
      <w:r w:rsidR="00633629">
        <w:t xml:space="preserve"> proposed </w:t>
      </w:r>
      <w:r w:rsidR="00633629" w:rsidRPr="00633629">
        <w:t xml:space="preserve">as a network </w:t>
      </w:r>
      <w:r w:rsidR="00633629">
        <w:t xml:space="preserve">or </w:t>
      </w:r>
      <w:r w:rsidR="00633629" w:rsidRPr="00633629">
        <w:t>system level indicator because of concerns about the availability of bariatric surgery services and expected achievement levels.</w:t>
      </w:r>
    </w:p>
    <w:p w14:paraId="67F4F2AC" w14:textId="77777777" w:rsidR="009B3F41" w:rsidRPr="009B3F41" w:rsidRDefault="009B3F41" w:rsidP="009B3F41">
      <w:pPr>
        <w:pStyle w:val="Heading5"/>
        <w:rPr>
          <w:b/>
          <w:i w:val="0"/>
        </w:rPr>
      </w:pPr>
      <w:r w:rsidRPr="009B3F41">
        <w:lastRenderedPageBreak/>
        <w:t>Acceptability assessment</w:t>
      </w:r>
    </w:p>
    <w:p w14:paraId="3B0EA97F" w14:textId="60FB0598" w:rsidR="009B3F41" w:rsidRPr="009B3F41" w:rsidRDefault="004D0CB7" w:rsidP="009B3F41">
      <w:r>
        <w:t>61.4</w:t>
      </w:r>
      <w:r w:rsidR="009B3F41" w:rsidRPr="009B3F41">
        <w:t>%</w:t>
      </w:r>
      <w:r>
        <w:t xml:space="preserve"> (35</w:t>
      </w:r>
      <w:r w:rsidR="009B3F41" w:rsidRPr="009B3F41">
        <w:t xml:space="preserve">/57) of survey respondents felt that this indicator would improve the quality of care for patients, and </w:t>
      </w:r>
      <w:r>
        <w:t>5</w:t>
      </w:r>
      <w:r w:rsidR="009B3F41" w:rsidRPr="009B3F41">
        <w:t>6.</w:t>
      </w:r>
      <w:r>
        <w:t>1%</w:t>
      </w:r>
      <w:r w:rsidR="009B3F41" w:rsidRPr="009B3F41">
        <w:t xml:space="preserve"> (</w:t>
      </w:r>
      <w:r>
        <w:t>32</w:t>
      </w:r>
      <w:r w:rsidR="009B3F41" w:rsidRPr="009B3F41">
        <w:t xml:space="preserve">/57) felt it represented an issue that was important for patients, families and carers. </w:t>
      </w:r>
      <w:r>
        <w:t>61.4</w:t>
      </w:r>
      <w:r w:rsidRPr="009B3F41">
        <w:t>%</w:t>
      </w:r>
      <w:r>
        <w:t xml:space="preserve"> (35</w:t>
      </w:r>
      <w:r w:rsidRPr="009B3F41">
        <w:t>/57) of survey respondents felt</w:t>
      </w:r>
      <w:r w:rsidR="009B3F41" w:rsidRPr="009B3F41">
        <w:t xml:space="preserve"> it was suitable for financial incentivisation. </w:t>
      </w:r>
    </w:p>
    <w:p w14:paraId="3C892E06" w14:textId="77777777" w:rsidR="009B3F41" w:rsidRPr="009B3F41" w:rsidRDefault="009B3F41" w:rsidP="009B3F41">
      <w:pPr>
        <w:pStyle w:val="Heading5"/>
        <w:rPr>
          <w:b/>
          <w:i w:val="0"/>
        </w:rPr>
      </w:pPr>
      <w:r w:rsidRPr="009B3F41">
        <w:t>Implementation assessment</w:t>
      </w:r>
    </w:p>
    <w:p w14:paraId="75B7818E" w14:textId="50D1BD24" w:rsidR="009B3F41" w:rsidRDefault="009B3F41" w:rsidP="009B3F41">
      <w:r w:rsidRPr="009B3F41">
        <w:t>Substantial issues with implementation were highlighted</w:t>
      </w:r>
      <w:r w:rsidR="00607D4B">
        <w:t xml:space="preserve"> by practices</w:t>
      </w:r>
      <w:r w:rsidRPr="009B3F41">
        <w:t>, as shown below.</w:t>
      </w:r>
    </w:p>
    <w:p w14:paraId="1BF21B93" w14:textId="781D5436" w:rsidR="009B3F41" w:rsidRPr="009B3F41" w:rsidRDefault="009B3F41" w:rsidP="009B3F41">
      <w:pPr>
        <w:pStyle w:val="Heading4"/>
        <w:spacing w:after="160" w:line="259" w:lineRule="auto"/>
      </w:pPr>
      <w:r w:rsidRPr="009B3F41">
        <w:t xml:space="preserve">Issues to </w:t>
      </w:r>
      <w:r w:rsidR="00607D4B">
        <w:t>consider</w:t>
      </w:r>
      <w:r w:rsidRPr="009B3F41">
        <w:t xml:space="preserve"> prior to implementation</w:t>
      </w:r>
      <w:r w:rsidR="00607D4B">
        <w:t>:</w:t>
      </w:r>
    </w:p>
    <w:tbl>
      <w:tblPr>
        <w:tblStyle w:val="TableGrid"/>
        <w:tblW w:w="9351" w:type="dxa"/>
        <w:tblLook w:val="04A0" w:firstRow="1" w:lastRow="0" w:firstColumn="1" w:lastColumn="0" w:noHBand="0" w:noVBand="1"/>
      </w:tblPr>
      <w:tblGrid>
        <w:gridCol w:w="2324"/>
        <w:gridCol w:w="3972"/>
        <w:gridCol w:w="3055"/>
      </w:tblGrid>
      <w:tr w:rsidR="009B3F41" w:rsidRPr="00FC1C9D" w14:paraId="1CCA234E" w14:textId="77777777" w:rsidTr="00171E55">
        <w:tc>
          <w:tcPr>
            <w:tcW w:w="2324" w:type="dxa"/>
          </w:tcPr>
          <w:p w14:paraId="32189AF7" w14:textId="77777777" w:rsidR="009B3F41" w:rsidRPr="00B436BC" w:rsidRDefault="009B3F41" w:rsidP="002A7025">
            <w:pPr>
              <w:spacing w:line="240" w:lineRule="auto"/>
              <w:rPr>
                <w:b/>
              </w:rPr>
            </w:pPr>
            <w:r w:rsidRPr="00B436BC">
              <w:rPr>
                <w:b/>
              </w:rPr>
              <w:t>Issue</w:t>
            </w:r>
          </w:p>
        </w:tc>
        <w:tc>
          <w:tcPr>
            <w:tcW w:w="3972" w:type="dxa"/>
          </w:tcPr>
          <w:p w14:paraId="74FDB0EC" w14:textId="77777777" w:rsidR="009B3F41" w:rsidRPr="00B436BC" w:rsidRDefault="009B3F41" w:rsidP="002A7025">
            <w:pPr>
              <w:spacing w:line="240" w:lineRule="auto"/>
              <w:rPr>
                <w:b/>
              </w:rPr>
            </w:pPr>
            <w:r w:rsidRPr="00B436BC">
              <w:rPr>
                <w:b/>
              </w:rPr>
              <w:t>Detail</w:t>
            </w:r>
          </w:p>
        </w:tc>
        <w:tc>
          <w:tcPr>
            <w:tcW w:w="3055" w:type="dxa"/>
          </w:tcPr>
          <w:p w14:paraId="43793A9B" w14:textId="77777777" w:rsidR="009B3F41" w:rsidRPr="00B436BC" w:rsidRDefault="009B3F41" w:rsidP="002A7025">
            <w:pPr>
              <w:spacing w:line="240" w:lineRule="auto"/>
              <w:rPr>
                <w:b/>
              </w:rPr>
            </w:pPr>
            <w:r w:rsidRPr="00B436BC">
              <w:rPr>
                <w:b/>
              </w:rPr>
              <w:t>Mitigating activity</w:t>
            </w:r>
          </w:p>
        </w:tc>
      </w:tr>
      <w:tr w:rsidR="002F7D11" w:rsidRPr="00633629" w14:paraId="3ACC2064" w14:textId="77777777" w:rsidTr="00171E55">
        <w:tc>
          <w:tcPr>
            <w:tcW w:w="2324" w:type="dxa"/>
          </w:tcPr>
          <w:p w14:paraId="28217010" w14:textId="77777777" w:rsidR="002F7D11" w:rsidRPr="002F7D11" w:rsidRDefault="002F7D11" w:rsidP="002F7D11">
            <w:pPr>
              <w:spacing w:line="240" w:lineRule="auto"/>
            </w:pPr>
            <w:r w:rsidRPr="002F7D11">
              <w:t xml:space="preserve">Variation in access to bariatric services due to differences in availability and referral pathways </w:t>
            </w:r>
          </w:p>
          <w:p w14:paraId="36471D09" w14:textId="0A52DE29" w:rsidR="002F7D11" w:rsidRPr="00633629" w:rsidRDefault="002F7D11" w:rsidP="002F7D11">
            <w:pPr>
              <w:spacing w:line="240" w:lineRule="auto"/>
            </w:pPr>
          </w:p>
        </w:tc>
        <w:tc>
          <w:tcPr>
            <w:tcW w:w="3972" w:type="dxa"/>
          </w:tcPr>
          <w:p w14:paraId="6131BB0F" w14:textId="2929597B" w:rsidR="002F7D11" w:rsidRPr="00FC4559" w:rsidRDefault="002F7D11" w:rsidP="002F7D11">
            <w:pPr>
              <w:spacing w:line="240" w:lineRule="auto"/>
              <w:rPr>
                <w:highlight w:val="yellow"/>
              </w:rPr>
            </w:pPr>
            <w:r>
              <w:t>Feedback was overwhelmingly that bariatric surgery services were limited in local areas (and an assumption that this was common across the country) and where services exist, criteria are in place to ration referrals, for example, the requirement for patients to have tried lower tiers of weight management before any referral for surgical assessment</w:t>
            </w:r>
            <w:r w:rsidR="00171C0E">
              <w:t>.</w:t>
            </w:r>
          </w:p>
        </w:tc>
        <w:tc>
          <w:tcPr>
            <w:tcW w:w="3055" w:type="dxa"/>
          </w:tcPr>
          <w:p w14:paraId="251D3268" w14:textId="77777777" w:rsidR="002F7D11" w:rsidRDefault="002F7D11" w:rsidP="002F7D11">
            <w:pPr>
              <w:spacing w:line="240" w:lineRule="auto"/>
            </w:pPr>
            <w:r>
              <w:t>This i</w:t>
            </w:r>
            <w:r w:rsidRPr="00633629">
              <w:t xml:space="preserve">ndicator </w:t>
            </w:r>
            <w:r>
              <w:t>was proposed at</w:t>
            </w:r>
            <w:r w:rsidRPr="00633629">
              <w:t xml:space="preserve"> system level to incentivise local systems to address the issues relating to </w:t>
            </w:r>
            <w:r>
              <w:t>bariatric</w:t>
            </w:r>
            <w:r w:rsidRPr="00633629">
              <w:t xml:space="preserve"> services</w:t>
            </w:r>
            <w:r>
              <w:t xml:space="preserve"> to support weight management.</w:t>
            </w:r>
          </w:p>
          <w:p w14:paraId="4BE211A7" w14:textId="395FC811" w:rsidR="002F7D11" w:rsidRPr="00633629" w:rsidRDefault="002F7D11" w:rsidP="002F7D11">
            <w:pPr>
              <w:spacing w:line="240" w:lineRule="auto"/>
            </w:pPr>
            <w:r>
              <w:t>Consider and resolve wider implications of system outcome indicators: leadership, accountability, remuneration etc</w:t>
            </w:r>
            <w:r w:rsidR="00171C0E">
              <w:t>.</w:t>
            </w:r>
            <w:r>
              <w:t xml:space="preserve"> </w:t>
            </w:r>
          </w:p>
        </w:tc>
      </w:tr>
      <w:tr w:rsidR="00633629" w:rsidRPr="00633629" w14:paraId="55286547" w14:textId="77777777" w:rsidTr="00171E55">
        <w:tc>
          <w:tcPr>
            <w:tcW w:w="2324" w:type="dxa"/>
          </w:tcPr>
          <w:p w14:paraId="362DE776" w14:textId="7A1C62E9" w:rsidR="00633629" w:rsidRPr="00633629" w:rsidRDefault="00633629" w:rsidP="002A7025">
            <w:pPr>
              <w:spacing w:line="240" w:lineRule="auto"/>
            </w:pPr>
            <w:r>
              <w:t xml:space="preserve">Ethical </w:t>
            </w:r>
            <w:r w:rsidR="002F7D11">
              <w:t>concerns</w:t>
            </w:r>
          </w:p>
        </w:tc>
        <w:tc>
          <w:tcPr>
            <w:tcW w:w="3972" w:type="dxa"/>
          </w:tcPr>
          <w:p w14:paraId="1A15688B" w14:textId="2881DE74" w:rsidR="00633629" w:rsidRPr="00633629" w:rsidRDefault="004F5AA5" w:rsidP="002A7025">
            <w:pPr>
              <w:spacing w:line="240" w:lineRule="auto"/>
            </w:pPr>
            <w:r>
              <w:t>Some feedback that GPs felt it was inappropriate to offer surgical assessment as a first option for treating obesity, particularly in young adults.</w:t>
            </w:r>
          </w:p>
        </w:tc>
        <w:tc>
          <w:tcPr>
            <w:tcW w:w="3055" w:type="dxa"/>
          </w:tcPr>
          <w:p w14:paraId="42586BB2" w14:textId="7E7B4E2C" w:rsidR="00633629" w:rsidRDefault="00633629" w:rsidP="00633629">
            <w:pPr>
              <w:spacing w:line="240" w:lineRule="auto"/>
            </w:pPr>
            <w:r>
              <w:t xml:space="preserve">Promote evidence behind change to guidance relating to an offer of referral as a first solution for adults with a BMI of </w:t>
            </w:r>
            <w:r w:rsidR="004F5AA5">
              <w:t>40 and over.</w:t>
            </w:r>
          </w:p>
        </w:tc>
      </w:tr>
      <w:tr w:rsidR="00171E55" w:rsidRPr="00633629" w14:paraId="34F0CBF5" w14:textId="77777777" w:rsidTr="00171E55">
        <w:tc>
          <w:tcPr>
            <w:tcW w:w="2324" w:type="dxa"/>
          </w:tcPr>
          <w:p w14:paraId="6A3112FC" w14:textId="1ADAF6B7" w:rsidR="00171E55" w:rsidRDefault="00171E55" w:rsidP="002A7025">
            <w:pPr>
              <w:spacing w:line="240" w:lineRule="auto"/>
            </w:pPr>
            <w:r w:rsidRPr="00171E55">
              <w:t>Progress in increasing access to new weight-loss drugs</w:t>
            </w:r>
            <w:r w:rsidRPr="00171E55">
              <w:tab/>
            </w:r>
            <w:r w:rsidRPr="00171E55">
              <w:tab/>
            </w:r>
          </w:p>
        </w:tc>
        <w:tc>
          <w:tcPr>
            <w:tcW w:w="3972" w:type="dxa"/>
          </w:tcPr>
          <w:p w14:paraId="77B23C70" w14:textId="04F1CEC9" w:rsidR="00171E55" w:rsidRPr="00633629" w:rsidRDefault="00FC4559" w:rsidP="002A7025">
            <w:pPr>
              <w:spacing w:line="240" w:lineRule="auto"/>
            </w:pPr>
            <w:r w:rsidRPr="00FC4559">
              <w:t>An ongoing pilot is exploring ways to make obesity drugs more accessible to patients, including consideration of prescribing in primary care</w:t>
            </w:r>
            <w:r>
              <w:t xml:space="preserve">. </w:t>
            </w:r>
            <w:r w:rsidRPr="00FC4559">
              <w:t xml:space="preserve">Semaglutide and tirzepatide </w:t>
            </w:r>
            <w:r>
              <w:t xml:space="preserve">have </w:t>
            </w:r>
            <w:r w:rsidRPr="00FC4559">
              <w:t xml:space="preserve">recently </w:t>
            </w:r>
            <w:r>
              <w:t xml:space="preserve">been </w:t>
            </w:r>
            <w:r w:rsidRPr="00FC4559">
              <w:t xml:space="preserve">recommended for weight loss purposes, and other drugs </w:t>
            </w:r>
            <w:r>
              <w:t xml:space="preserve">are </w:t>
            </w:r>
            <w:r w:rsidRPr="00FC4559">
              <w:t xml:space="preserve">being assessed in trials. </w:t>
            </w:r>
            <w:r>
              <w:t xml:space="preserve">There is potential for this indicator to become surpassed </w:t>
            </w:r>
            <w:r w:rsidRPr="00FC4559">
              <w:t>by these new developments.</w:t>
            </w:r>
          </w:p>
        </w:tc>
        <w:tc>
          <w:tcPr>
            <w:tcW w:w="3055" w:type="dxa"/>
          </w:tcPr>
          <w:p w14:paraId="0BC58E4D" w14:textId="1C35C3AF" w:rsidR="00C023CB" w:rsidRDefault="003E78FC" w:rsidP="003E78FC">
            <w:pPr>
              <w:spacing w:line="240" w:lineRule="auto"/>
            </w:pPr>
            <w:r>
              <w:t xml:space="preserve">Likely to be addressed in </w:t>
            </w:r>
            <w:r w:rsidR="002F7D11">
              <w:t xml:space="preserve">future </w:t>
            </w:r>
            <w:r>
              <w:t>changes to guidance and treatment pathways.</w:t>
            </w:r>
          </w:p>
        </w:tc>
      </w:tr>
      <w:tr w:rsidR="009B3F41" w:rsidRPr="00FC1C9D" w14:paraId="0F391C17" w14:textId="77777777" w:rsidTr="00171E55">
        <w:tc>
          <w:tcPr>
            <w:tcW w:w="2324" w:type="dxa"/>
          </w:tcPr>
          <w:p w14:paraId="11B91665" w14:textId="790CF708" w:rsidR="009B3F41" w:rsidRPr="00B436BC" w:rsidRDefault="00171E55" w:rsidP="002A7025">
            <w:pPr>
              <w:spacing w:line="240" w:lineRule="auto"/>
            </w:pPr>
            <w:r w:rsidRPr="00B436BC">
              <w:lastRenderedPageBreak/>
              <w:t>Potential change to wording</w:t>
            </w:r>
          </w:p>
        </w:tc>
        <w:tc>
          <w:tcPr>
            <w:tcW w:w="3972" w:type="dxa"/>
          </w:tcPr>
          <w:p w14:paraId="0E083110" w14:textId="2EF1F239" w:rsidR="009B3F41" w:rsidRPr="00B436BC" w:rsidRDefault="00171E55" w:rsidP="002A7025">
            <w:pPr>
              <w:spacing w:line="240" w:lineRule="auto"/>
            </w:pPr>
            <w:r w:rsidRPr="00B436BC">
              <w:t>Timeframe between BMI taken and offer of referral is unclear</w:t>
            </w:r>
            <w:r w:rsidR="00171C0E">
              <w:t>.</w:t>
            </w:r>
          </w:p>
          <w:p w14:paraId="049CD6DE" w14:textId="12E653CB" w:rsidR="00171E55" w:rsidRPr="00B436BC" w:rsidRDefault="00171E55" w:rsidP="002A7025">
            <w:pPr>
              <w:spacing w:line="240" w:lineRule="auto"/>
            </w:pPr>
            <w:r w:rsidRPr="00B436BC">
              <w:t>How to exclude those who referred more than a year ago</w:t>
            </w:r>
            <w:r w:rsidR="00171C0E">
              <w:t>.</w:t>
            </w:r>
          </w:p>
        </w:tc>
        <w:tc>
          <w:tcPr>
            <w:tcW w:w="3055" w:type="dxa"/>
          </w:tcPr>
          <w:p w14:paraId="4D2B3FBD" w14:textId="34F6CAD7" w:rsidR="009B3F41" w:rsidRPr="00B436BC" w:rsidRDefault="00171E55" w:rsidP="002A7025">
            <w:pPr>
              <w:spacing w:line="240" w:lineRule="auto"/>
              <w:rPr>
                <w:iCs/>
              </w:rPr>
            </w:pPr>
            <w:r w:rsidRPr="00B436BC">
              <w:rPr>
                <w:iCs/>
              </w:rPr>
              <w:t>Would require amendments to definition and guidance</w:t>
            </w:r>
            <w:r w:rsidR="004F5AA5">
              <w:rPr>
                <w:iCs/>
              </w:rPr>
              <w:t>.</w:t>
            </w:r>
          </w:p>
        </w:tc>
      </w:tr>
      <w:tr w:rsidR="002F7D11" w:rsidRPr="00FC1C9D" w14:paraId="0CB3CC31" w14:textId="77777777" w:rsidTr="00171E55">
        <w:tc>
          <w:tcPr>
            <w:tcW w:w="2324" w:type="dxa"/>
          </w:tcPr>
          <w:p w14:paraId="1CF75D73" w14:textId="7CCA404A" w:rsidR="002F7D11" w:rsidRPr="00FC1C9D" w:rsidRDefault="002F7D11" w:rsidP="002F7D11">
            <w:pPr>
              <w:spacing w:line="240" w:lineRule="auto"/>
              <w:rPr>
                <w:highlight w:val="yellow"/>
              </w:rPr>
            </w:pPr>
            <w:r>
              <w:rPr>
                <w:color w:val="000000" w:themeColor="text1"/>
              </w:rPr>
              <w:t>Consider suggested additional exclusions</w:t>
            </w:r>
          </w:p>
        </w:tc>
        <w:tc>
          <w:tcPr>
            <w:tcW w:w="3972" w:type="dxa"/>
          </w:tcPr>
          <w:p w14:paraId="6DAE1C9C" w14:textId="77777777" w:rsidR="002F7D11" w:rsidRPr="002F7D11" w:rsidRDefault="002F7D11" w:rsidP="002F7D11">
            <w:pPr>
              <w:spacing w:line="240" w:lineRule="auto"/>
            </w:pPr>
            <w:r w:rsidRPr="002F7D11">
              <w:t xml:space="preserve">These are </w:t>
            </w:r>
            <w:r w:rsidRPr="00EC7FBB">
              <w:t>detailed in section 5.2 and include various groups of</w:t>
            </w:r>
            <w:r w:rsidRPr="002F7D11">
              <w:t xml:space="preserve"> patients relating to their condition or risk factor, as well as a suggestion of an upper age-limit.</w:t>
            </w:r>
          </w:p>
          <w:p w14:paraId="58C8B601" w14:textId="0F2716D9" w:rsidR="002F7D11" w:rsidRPr="002F7D11" w:rsidRDefault="002F7D11" w:rsidP="002F7D11">
            <w:pPr>
              <w:spacing w:line="240" w:lineRule="auto"/>
            </w:pPr>
          </w:p>
        </w:tc>
        <w:tc>
          <w:tcPr>
            <w:tcW w:w="3055" w:type="dxa"/>
          </w:tcPr>
          <w:p w14:paraId="26FB2B2B" w14:textId="185BA71F" w:rsidR="002F7D11" w:rsidRPr="00B436BC" w:rsidRDefault="002F7D11" w:rsidP="002F7D11">
            <w:pPr>
              <w:spacing w:line="240" w:lineRule="auto"/>
            </w:pPr>
            <w:r w:rsidRPr="00B436BC">
              <w:rPr>
                <w:iCs/>
              </w:rPr>
              <w:t>Would require</w:t>
            </w:r>
            <w:r>
              <w:rPr>
                <w:iCs/>
              </w:rPr>
              <w:t xml:space="preserve"> significant </w:t>
            </w:r>
            <w:r w:rsidRPr="00B436BC">
              <w:rPr>
                <w:iCs/>
              </w:rPr>
              <w:t xml:space="preserve">amendments to </w:t>
            </w:r>
            <w:r>
              <w:rPr>
                <w:iCs/>
              </w:rPr>
              <w:t xml:space="preserve">indicator </w:t>
            </w:r>
            <w:r w:rsidRPr="00B436BC">
              <w:rPr>
                <w:iCs/>
              </w:rPr>
              <w:t>guidance</w:t>
            </w:r>
            <w:r>
              <w:rPr>
                <w:iCs/>
              </w:rPr>
              <w:t xml:space="preserve"> and consideration of how any changes would align with </w:t>
            </w:r>
            <w:hyperlink r:id="rId9" w:history="1">
              <w:r w:rsidRPr="002F7D11">
                <w:rPr>
                  <w:rStyle w:val="Hyperlink"/>
                  <w:iCs/>
                </w:rPr>
                <w:t>CG189</w:t>
              </w:r>
            </w:hyperlink>
            <w:r>
              <w:rPr>
                <w:iCs/>
              </w:rPr>
              <w:t>.</w:t>
            </w:r>
          </w:p>
        </w:tc>
      </w:tr>
    </w:tbl>
    <w:p w14:paraId="164FEE28" w14:textId="43D250BE" w:rsidR="009B3F41" w:rsidRDefault="00F3360E" w:rsidP="00171C0E">
      <w:pPr>
        <w:pStyle w:val="Heading4"/>
        <w:spacing w:before="240"/>
      </w:pPr>
      <w:r>
        <w:t xml:space="preserve">Indicator 3: </w:t>
      </w:r>
      <w:r w:rsidR="009B3F41">
        <w:t>Weight management: nutritional status monitoring in primary care after bariatric surgery (all patients)</w:t>
      </w:r>
    </w:p>
    <w:p w14:paraId="13702251" w14:textId="69212A19" w:rsidR="009B3F41" w:rsidRDefault="004D0CB7" w:rsidP="009B3F41">
      <w:r w:rsidRPr="004D0CB7">
        <w:t>The percentage of patients aged 18 years and over discharged from bariatric surgery service follow-up more than 12 months previously with a record of nutritional status monitoring in the preceding 12 months.</w:t>
      </w:r>
    </w:p>
    <w:p w14:paraId="1B772107" w14:textId="3DA3AA4C" w:rsidR="00BA1D66" w:rsidRDefault="00BA1D66" w:rsidP="00BA1D66">
      <w:r w:rsidRPr="00BA1D66">
        <w:t xml:space="preserve">Indicator </w:t>
      </w:r>
      <w:r>
        <w:t>3 wa</w:t>
      </w:r>
      <w:r w:rsidRPr="00BA1D66">
        <w:t>s proposed as a general practice indicator suitable for QOF.</w:t>
      </w:r>
    </w:p>
    <w:p w14:paraId="7A0AC798" w14:textId="13DF9702" w:rsidR="009B3F41" w:rsidRDefault="00F3360E" w:rsidP="00F3360E">
      <w:pPr>
        <w:pStyle w:val="Heading4"/>
      </w:pPr>
      <w:r>
        <w:t xml:space="preserve">Indicator 4: </w:t>
      </w:r>
      <w:r w:rsidR="009B3F41">
        <w:t>Weight management: nutritional status monitoring in primary care after bariatric surgery (new patients)</w:t>
      </w:r>
    </w:p>
    <w:p w14:paraId="0A97FA86" w14:textId="0E421DDD" w:rsidR="009B3F41" w:rsidRDefault="004D0CB7" w:rsidP="009B3F41">
      <w:r w:rsidRPr="004D0CB7">
        <w:t>The percentage of patients aged 18 years and over discharged from bariatric surgery service follow-up in the previous 12 to 24 months, with a record of nutritional status monitoring in the preceding 12 months.</w:t>
      </w:r>
    </w:p>
    <w:p w14:paraId="0843494D" w14:textId="77777777" w:rsidR="00633629" w:rsidRDefault="00633629" w:rsidP="009B3F41">
      <w:r>
        <w:t xml:space="preserve">Indicator 4 was proposed </w:t>
      </w:r>
      <w:r w:rsidRPr="00633629">
        <w:t xml:space="preserve">as a network </w:t>
      </w:r>
      <w:r>
        <w:t xml:space="preserve">or </w:t>
      </w:r>
      <w:r w:rsidRPr="00633629">
        <w:t xml:space="preserve">system level indicator because </w:t>
      </w:r>
      <w:r>
        <w:t>of likely small numbers at general practice level.</w:t>
      </w:r>
    </w:p>
    <w:p w14:paraId="6D9C0BC5" w14:textId="5C099302" w:rsidR="009B3F41" w:rsidRDefault="00BA1D66" w:rsidP="009B3F41">
      <w:r>
        <w:t>I</w:t>
      </w:r>
      <w:r w:rsidR="009B3F41">
        <w:t xml:space="preserve">ndicators </w:t>
      </w:r>
      <w:r>
        <w:t xml:space="preserve">3 and 4 </w:t>
      </w:r>
      <w:r w:rsidR="009B3F41">
        <w:t>are being summarised together as comments received mostly applied to both.</w:t>
      </w:r>
    </w:p>
    <w:p w14:paraId="4FE1303A" w14:textId="77777777" w:rsidR="009B3F41" w:rsidRPr="009B3F41" w:rsidRDefault="009B3F41" w:rsidP="009B3F41">
      <w:pPr>
        <w:pStyle w:val="Heading5"/>
        <w:rPr>
          <w:b/>
          <w:i w:val="0"/>
        </w:rPr>
      </w:pPr>
      <w:r w:rsidRPr="009B3F41">
        <w:t>Acceptability assessment</w:t>
      </w:r>
    </w:p>
    <w:p w14:paraId="0D0400C2" w14:textId="384C65C3" w:rsidR="009B3F41" w:rsidRPr="009B3F41" w:rsidRDefault="004D0CB7" w:rsidP="009B3F41">
      <w:r>
        <w:t>Just over</w:t>
      </w:r>
      <w:r w:rsidR="009B3F41" w:rsidRPr="009B3F41">
        <w:t xml:space="preserve"> half (</w:t>
      </w:r>
      <w:r>
        <w:t>56.1</w:t>
      </w:r>
      <w:r w:rsidR="009B3F41" w:rsidRPr="009B3F41">
        <w:t xml:space="preserve">%, </w:t>
      </w:r>
      <w:r>
        <w:t>32</w:t>
      </w:r>
      <w:r w:rsidR="009B3F41" w:rsidRPr="009B3F41">
        <w:t>/57</w:t>
      </w:r>
      <w:r>
        <w:t xml:space="preserve"> for indicator </w:t>
      </w:r>
      <w:r w:rsidR="00521B20">
        <w:t>3</w:t>
      </w:r>
      <w:r>
        <w:t xml:space="preserve"> and 50.9%, 29/57</w:t>
      </w:r>
      <w:r w:rsidR="00521B20">
        <w:t xml:space="preserve"> for indicator 4</w:t>
      </w:r>
      <w:r w:rsidR="009B3F41" w:rsidRPr="009B3F41">
        <w:t>) of survey respondents felt that th</w:t>
      </w:r>
      <w:r w:rsidR="00521B20">
        <w:t>ese</w:t>
      </w:r>
      <w:r w:rsidR="009B3F41" w:rsidRPr="009B3F41">
        <w:t xml:space="preserve"> indicator</w:t>
      </w:r>
      <w:r w:rsidR="00521B20">
        <w:t>s</w:t>
      </w:r>
      <w:r w:rsidR="009B3F41" w:rsidRPr="009B3F41">
        <w:t xml:space="preserve"> would improve the quality of care for patients, and </w:t>
      </w:r>
      <w:r w:rsidR="00521B20">
        <w:t>just under half (49.1%, 28/57 for both)</w:t>
      </w:r>
      <w:r w:rsidR="009B3F41" w:rsidRPr="009B3F41">
        <w:t xml:space="preserve"> felt </w:t>
      </w:r>
      <w:r w:rsidR="00521B20">
        <w:t>they</w:t>
      </w:r>
      <w:r w:rsidR="009B3F41" w:rsidRPr="009B3F41">
        <w:t xml:space="preserve"> represented an issue that was important for patients, families and carers. </w:t>
      </w:r>
      <w:r w:rsidR="00521B20">
        <w:t>Over</w:t>
      </w:r>
      <w:r w:rsidR="00521B20" w:rsidRPr="009B3F41">
        <w:t xml:space="preserve"> half (</w:t>
      </w:r>
      <w:r w:rsidR="00521B20">
        <w:t>56.1</w:t>
      </w:r>
      <w:r w:rsidR="00521B20" w:rsidRPr="009B3F41">
        <w:t xml:space="preserve">%, </w:t>
      </w:r>
      <w:r w:rsidR="00521B20">
        <w:t>32</w:t>
      </w:r>
      <w:r w:rsidR="00521B20" w:rsidRPr="009B3F41">
        <w:t>/57</w:t>
      </w:r>
      <w:r w:rsidR="00521B20">
        <w:t xml:space="preserve"> for indicator 3 and 57.9%, 33/57</w:t>
      </w:r>
      <w:r w:rsidR="00521B20" w:rsidRPr="009B3F41">
        <w:t xml:space="preserve">) </w:t>
      </w:r>
      <w:r w:rsidR="009B3F41" w:rsidRPr="009B3F41">
        <w:t xml:space="preserve">felt </w:t>
      </w:r>
      <w:r w:rsidR="00521B20">
        <w:t>they</w:t>
      </w:r>
      <w:r w:rsidR="009B3F41" w:rsidRPr="009B3F41">
        <w:t xml:space="preserve"> w</w:t>
      </w:r>
      <w:r w:rsidR="00521B20">
        <w:t>ere</w:t>
      </w:r>
      <w:r w:rsidR="009B3F41" w:rsidRPr="009B3F41">
        <w:t xml:space="preserve"> suitable for financial incentivisation. Feedback from interviews was mixed.</w:t>
      </w:r>
    </w:p>
    <w:p w14:paraId="6D9DC43A" w14:textId="77777777" w:rsidR="009B3F41" w:rsidRPr="009B3F41" w:rsidRDefault="009B3F41" w:rsidP="009B3F41">
      <w:pPr>
        <w:pStyle w:val="Heading5"/>
        <w:rPr>
          <w:b/>
          <w:i w:val="0"/>
        </w:rPr>
      </w:pPr>
      <w:r w:rsidRPr="009B3F41">
        <w:lastRenderedPageBreak/>
        <w:t>Implementation assessment</w:t>
      </w:r>
    </w:p>
    <w:p w14:paraId="587DD649" w14:textId="77777777" w:rsidR="009B3F41" w:rsidRDefault="009B3F41" w:rsidP="009B3F41">
      <w:r w:rsidRPr="009B3F41">
        <w:t>Substantial issues with implementation were highlighted, as shown below.</w:t>
      </w:r>
    </w:p>
    <w:p w14:paraId="6E929A0A" w14:textId="09E80506" w:rsidR="009B3F41" w:rsidRPr="009B3F41" w:rsidRDefault="009B3F41" w:rsidP="009B3F41">
      <w:pPr>
        <w:pStyle w:val="Heading4"/>
        <w:spacing w:after="160" w:line="259" w:lineRule="auto"/>
      </w:pPr>
      <w:r w:rsidRPr="009B3F41">
        <w:t xml:space="preserve">Issues to </w:t>
      </w:r>
      <w:r w:rsidR="00607D4B">
        <w:t>consider</w:t>
      </w:r>
      <w:r w:rsidRPr="009B3F41">
        <w:t xml:space="preserve"> prior to implementation</w:t>
      </w:r>
      <w:r w:rsidR="00607D4B">
        <w:t>:</w:t>
      </w:r>
    </w:p>
    <w:tbl>
      <w:tblPr>
        <w:tblStyle w:val="TableGrid"/>
        <w:tblW w:w="4871" w:type="pct"/>
        <w:tblLook w:val="04A0" w:firstRow="1" w:lastRow="0" w:firstColumn="1" w:lastColumn="0" w:noHBand="0" w:noVBand="1"/>
      </w:tblPr>
      <w:tblGrid>
        <w:gridCol w:w="1845"/>
        <w:gridCol w:w="4247"/>
        <w:gridCol w:w="2691"/>
      </w:tblGrid>
      <w:tr w:rsidR="00B436BC" w:rsidRPr="00B436BC" w14:paraId="2D2604AC" w14:textId="77777777" w:rsidTr="0005308B">
        <w:tc>
          <w:tcPr>
            <w:tcW w:w="1050" w:type="pct"/>
          </w:tcPr>
          <w:p w14:paraId="092C6494" w14:textId="77777777" w:rsidR="00B436BC" w:rsidRPr="00B436BC" w:rsidRDefault="00B436BC" w:rsidP="002A7025">
            <w:pPr>
              <w:spacing w:line="240" w:lineRule="auto"/>
              <w:rPr>
                <w:b/>
              </w:rPr>
            </w:pPr>
            <w:r w:rsidRPr="00B436BC">
              <w:rPr>
                <w:b/>
              </w:rPr>
              <w:t>Issue</w:t>
            </w:r>
          </w:p>
        </w:tc>
        <w:tc>
          <w:tcPr>
            <w:tcW w:w="2418" w:type="pct"/>
          </w:tcPr>
          <w:p w14:paraId="071B2775" w14:textId="6292B7B8" w:rsidR="00B436BC" w:rsidRPr="00B436BC" w:rsidRDefault="00B436BC" w:rsidP="002A7025">
            <w:pPr>
              <w:spacing w:line="240" w:lineRule="auto"/>
              <w:rPr>
                <w:b/>
              </w:rPr>
            </w:pPr>
            <w:r w:rsidRPr="00B436BC">
              <w:rPr>
                <w:b/>
              </w:rPr>
              <w:t>Detail</w:t>
            </w:r>
          </w:p>
        </w:tc>
        <w:tc>
          <w:tcPr>
            <w:tcW w:w="1532" w:type="pct"/>
          </w:tcPr>
          <w:p w14:paraId="37C574FE" w14:textId="77777777" w:rsidR="00B436BC" w:rsidRPr="00B436BC" w:rsidRDefault="00B436BC" w:rsidP="002A7025">
            <w:pPr>
              <w:spacing w:line="240" w:lineRule="auto"/>
              <w:rPr>
                <w:b/>
              </w:rPr>
            </w:pPr>
            <w:r w:rsidRPr="00B436BC">
              <w:rPr>
                <w:b/>
              </w:rPr>
              <w:t>Mitigating activity</w:t>
            </w:r>
          </w:p>
        </w:tc>
      </w:tr>
      <w:tr w:rsidR="0005308B" w:rsidRPr="00B436BC" w14:paraId="5CDC659D" w14:textId="77777777" w:rsidTr="0005308B">
        <w:tc>
          <w:tcPr>
            <w:tcW w:w="1050" w:type="pct"/>
          </w:tcPr>
          <w:p w14:paraId="268E1081" w14:textId="0C91D419" w:rsidR="0005308B" w:rsidRPr="00B436BC" w:rsidRDefault="0005308B" w:rsidP="0005308B">
            <w:pPr>
              <w:spacing w:line="240" w:lineRule="auto"/>
            </w:pPr>
            <w:r w:rsidRPr="00B436BC">
              <w:t>Cohort identification and level of detail</w:t>
            </w:r>
          </w:p>
        </w:tc>
        <w:tc>
          <w:tcPr>
            <w:tcW w:w="2418" w:type="pct"/>
          </w:tcPr>
          <w:p w14:paraId="331BEC6C" w14:textId="0A2D44FD" w:rsidR="0005308B" w:rsidRPr="00B436BC" w:rsidRDefault="0005308B" w:rsidP="0005308B">
            <w:pPr>
              <w:spacing w:line="240" w:lineRule="auto"/>
            </w:pPr>
            <w:r w:rsidRPr="00B436BC">
              <w:t xml:space="preserve">Lack of knowledge of patients travelling abroad for surgery, and a lack of information about the details of their surgery on their return. </w:t>
            </w:r>
          </w:p>
        </w:tc>
        <w:tc>
          <w:tcPr>
            <w:tcW w:w="1532" w:type="pct"/>
          </w:tcPr>
          <w:p w14:paraId="6E5563A3" w14:textId="6A53B850" w:rsidR="0005308B" w:rsidRPr="00B436BC" w:rsidRDefault="0005308B" w:rsidP="0005308B">
            <w:pPr>
              <w:spacing w:line="240" w:lineRule="auto"/>
              <w:rPr>
                <w:iCs/>
              </w:rPr>
            </w:pPr>
            <w:r>
              <w:rPr>
                <w:iCs/>
              </w:rPr>
              <w:t>Guidance to be developed to help GPs ensure complete records and appropriate follow up for any NHS care</w:t>
            </w:r>
            <w:r w:rsidR="00171C0E">
              <w:rPr>
                <w:iCs/>
              </w:rPr>
              <w:t>.</w:t>
            </w:r>
          </w:p>
        </w:tc>
      </w:tr>
      <w:tr w:rsidR="0005308B" w:rsidRPr="00B436BC" w14:paraId="54E31D29" w14:textId="77777777" w:rsidTr="0005308B">
        <w:tc>
          <w:tcPr>
            <w:tcW w:w="1050" w:type="pct"/>
          </w:tcPr>
          <w:p w14:paraId="0E332C8D" w14:textId="75128DB8" w:rsidR="0005308B" w:rsidRPr="00B436BC" w:rsidRDefault="0005308B" w:rsidP="0005308B">
            <w:pPr>
              <w:spacing w:line="240" w:lineRule="auto"/>
            </w:pPr>
            <w:r w:rsidRPr="00B436BC">
              <w:t>Lack of understanding of the requirements of a comprehensive review</w:t>
            </w:r>
          </w:p>
        </w:tc>
        <w:tc>
          <w:tcPr>
            <w:tcW w:w="2418" w:type="pct"/>
          </w:tcPr>
          <w:p w14:paraId="5C40E201" w14:textId="28D2BCB1" w:rsidR="0005308B" w:rsidRPr="00B436BC" w:rsidRDefault="0005308B" w:rsidP="0005308B">
            <w:pPr>
              <w:spacing w:line="240" w:lineRule="auto"/>
            </w:pPr>
            <w:r w:rsidRPr="00B436BC">
              <w:t xml:space="preserve">Lack of knowledge, skills and confidence, and </w:t>
            </w:r>
            <w:r>
              <w:t>views</w:t>
            </w:r>
            <w:r w:rsidRPr="00B436BC">
              <w:t xml:space="preserve"> that GPs are not the appropriate group to deliver this</w:t>
            </w:r>
            <w:r w:rsidRPr="0005308B">
              <w:t>: it requires a specialist role</w:t>
            </w:r>
            <w:r w:rsidR="00171C0E">
              <w:t>.</w:t>
            </w:r>
          </w:p>
        </w:tc>
        <w:tc>
          <w:tcPr>
            <w:tcW w:w="1532" w:type="pct"/>
          </w:tcPr>
          <w:p w14:paraId="25FF4C1C" w14:textId="0F3B2053" w:rsidR="0005308B" w:rsidRDefault="0005308B" w:rsidP="0005308B">
            <w:pPr>
              <w:spacing w:line="240" w:lineRule="auto"/>
            </w:pPr>
            <w:r w:rsidRPr="00B436BC">
              <w:t>Suggest both indicators at system level to incentivise local systems to provide appropriate services to meet the needs of their patients</w:t>
            </w:r>
            <w:r w:rsidR="00171C0E">
              <w:t>.</w:t>
            </w:r>
          </w:p>
          <w:p w14:paraId="402B36D3" w14:textId="2A8AFEBB" w:rsidR="0005308B" w:rsidRPr="00B436BC" w:rsidRDefault="0005308B" w:rsidP="0005308B">
            <w:pPr>
              <w:spacing w:line="240" w:lineRule="auto"/>
            </w:pPr>
            <w:r>
              <w:t>Clear local guidelines and pathways for patient follow up and monitoring supported by shared care agreements</w:t>
            </w:r>
            <w:r w:rsidR="00171C0E">
              <w:t>.</w:t>
            </w:r>
          </w:p>
        </w:tc>
      </w:tr>
      <w:tr w:rsidR="0005308B" w:rsidRPr="000E72E2" w14:paraId="78713D67" w14:textId="77777777" w:rsidTr="0005308B">
        <w:tc>
          <w:tcPr>
            <w:tcW w:w="1050" w:type="pct"/>
          </w:tcPr>
          <w:p w14:paraId="27E285F0" w14:textId="034908C4" w:rsidR="0005308B" w:rsidRPr="00B436BC" w:rsidRDefault="0005308B" w:rsidP="0005308B">
            <w:pPr>
              <w:spacing w:line="240" w:lineRule="auto"/>
              <w:rPr>
                <w:color w:val="000000" w:themeColor="text1"/>
              </w:rPr>
            </w:pPr>
            <w:r w:rsidRPr="00B436BC">
              <w:rPr>
                <w:color w:val="000000" w:themeColor="text1"/>
              </w:rPr>
              <w:t>Consider suggested additional exclusions</w:t>
            </w:r>
          </w:p>
        </w:tc>
        <w:tc>
          <w:tcPr>
            <w:tcW w:w="2418" w:type="pct"/>
          </w:tcPr>
          <w:p w14:paraId="38390C13" w14:textId="379D8DCB" w:rsidR="0005308B" w:rsidRPr="00B436BC" w:rsidRDefault="0005308B" w:rsidP="0005308B">
            <w:pPr>
              <w:spacing w:line="240" w:lineRule="auto"/>
              <w:rPr>
                <w:color w:val="000000" w:themeColor="text1"/>
              </w:rPr>
            </w:pPr>
            <w:r w:rsidRPr="00EC7FBB">
              <w:t>These are detailed in section 5.2</w:t>
            </w:r>
            <w:r w:rsidR="00171C0E">
              <w:t>.</w:t>
            </w:r>
          </w:p>
        </w:tc>
        <w:tc>
          <w:tcPr>
            <w:tcW w:w="1532" w:type="pct"/>
          </w:tcPr>
          <w:p w14:paraId="7F90FE1B" w14:textId="315B1B82" w:rsidR="0005308B" w:rsidRPr="00B436BC" w:rsidRDefault="0005308B" w:rsidP="0005308B">
            <w:pPr>
              <w:spacing w:line="240" w:lineRule="auto"/>
              <w:rPr>
                <w:color w:val="000000" w:themeColor="text1"/>
              </w:rPr>
            </w:pPr>
            <w:r w:rsidRPr="00B436BC">
              <w:rPr>
                <w:iCs/>
              </w:rPr>
              <w:t xml:space="preserve">Would require amendments to </w:t>
            </w:r>
            <w:r>
              <w:rPr>
                <w:iCs/>
              </w:rPr>
              <w:t xml:space="preserve">indicator </w:t>
            </w:r>
            <w:r w:rsidRPr="00B436BC">
              <w:rPr>
                <w:iCs/>
              </w:rPr>
              <w:t>guidance</w:t>
            </w:r>
            <w:r w:rsidR="00171C0E">
              <w:rPr>
                <w:iCs/>
              </w:rPr>
              <w:t>.</w:t>
            </w:r>
          </w:p>
        </w:tc>
      </w:tr>
    </w:tbl>
    <w:p w14:paraId="6428B597" w14:textId="77777777" w:rsidR="00B758B4" w:rsidRDefault="00B758B4" w:rsidP="00B758B4">
      <w:pPr>
        <w:pStyle w:val="Heading1"/>
        <w:numPr>
          <w:ilvl w:val="0"/>
          <w:numId w:val="0"/>
        </w:numPr>
        <w:rPr>
          <w:highlight w:val="lightGray"/>
        </w:rPr>
      </w:pPr>
    </w:p>
    <w:p w14:paraId="781CC911" w14:textId="77777777" w:rsidR="00B758B4" w:rsidRDefault="00B758B4">
      <w:pPr>
        <w:spacing w:after="160" w:line="259" w:lineRule="auto"/>
        <w:rPr>
          <w:rFonts w:eastAsiaTheme="majorEastAsia" w:cstheme="majorBidi"/>
          <w:b/>
          <w:sz w:val="32"/>
          <w:szCs w:val="32"/>
          <w:highlight w:val="lightGray"/>
        </w:rPr>
      </w:pPr>
      <w:r>
        <w:rPr>
          <w:highlight w:val="lightGray"/>
        </w:rPr>
        <w:br w:type="page"/>
      </w:r>
    </w:p>
    <w:p w14:paraId="3642BC5C" w14:textId="3810647D" w:rsidR="00A519BA" w:rsidRPr="00B8476F" w:rsidRDefault="00FA454F" w:rsidP="00B758B4">
      <w:pPr>
        <w:pStyle w:val="Heading1"/>
      </w:pPr>
      <w:bookmarkStart w:id="7" w:name="_Toc198538509"/>
      <w:r w:rsidRPr="00B8476F">
        <w:lastRenderedPageBreak/>
        <w:t>Background</w:t>
      </w:r>
      <w:bookmarkEnd w:id="7"/>
    </w:p>
    <w:p w14:paraId="183A07FF" w14:textId="2652C432" w:rsidR="00FA454F" w:rsidRPr="00B8476F" w:rsidRDefault="00FA454F" w:rsidP="00FA454F">
      <w:r w:rsidRPr="00B8476F">
        <w:t>As part of the NICE indicator development process, all clinical and health improvement indicators proposed for inclusion in the NICE Indicator Menu are piloted, using an agreed methodology, in a representative sample of GP practices across England.</w:t>
      </w:r>
    </w:p>
    <w:p w14:paraId="22D57663" w14:textId="4BF0EB02" w:rsidR="00FA454F" w:rsidRPr="00C15625" w:rsidRDefault="00FA454F" w:rsidP="00FA454F">
      <w:r w:rsidRPr="00B8476F">
        <w:t xml:space="preserve">The aim of piloting is to test whether indicators work in practice, have any unintended </w:t>
      </w:r>
      <w:r w:rsidRPr="00C15625">
        <w:t>consequences</w:t>
      </w:r>
      <w:r w:rsidR="00AB680F" w:rsidRPr="00C15625">
        <w:t>,</w:t>
      </w:r>
      <w:r w:rsidRPr="00C15625">
        <w:t xml:space="preserve"> and are fit for purpose.</w:t>
      </w:r>
    </w:p>
    <w:p w14:paraId="7AA323AC" w14:textId="428D1005" w:rsidR="00BA2699" w:rsidRPr="00C15625" w:rsidRDefault="00BA2699" w:rsidP="002F431B">
      <w:r w:rsidRPr="00C15625">
        <w:t xml:space="preserve">The </w:t>
      </w:r>
      <w:r w:rsidR="008660DD" w:rsidRPr="00C15625">
        <w:t xml:space="preserve">full </w:t>
      </w:r>
      <w:r w:rsidRPr="00C15625">
        <w:t>background to the inclusion of this topic in the pilot</w:t>
      </w:r>
      <w:r w:rsidR="008660DD" w:rsidRPr="00C15625">
        <w:t>, including</w:t>
      </w:r>
      <w:r w:rsidRPr="00C15625">
        <w:t xml:space="preserve"> a list of piloted indicators</w:t>
      </w:r>
      <w:r w:rsidR="008660DD" w:rsidRPr="00C15625">
        <w:t>,</w:t>
      </w:r>
      <w:r w:rsidRPr="00C15625">
        <w:t xml:space="preserve"> is presented in Appendix A </w:t>
      </w:r>
      <w:r w:rsidR="008660DD" w:rsidRPr="00C15625">
        <w:t>along with</w:t>
      </w:r>
      <w:r w:rsidRPr="00C15625">
        <w:t xml:space="preserve"> a description of the method and approach to piloting. </w:t>
      </w:r>
    </w:p>
    <w:p w14:paraId="6635C9BB" w14:textId="77777777" w:rsidR="00BA7B25" w:rsidRPr="00C15625" w:rsidRDefault="00BA7B25" w:rsidP="00BA7B25">
      <w:pPr>
        <w:pStyle w:val="Heading1"/>
      </w:pPr>
      <w:bookmarkStart w:id="8" w:name="_Toc165367844"/>
      <w:bookmarkStart w:id="9" w:name="_Toc198538510"/>
      <w:r w:rsidRPr="00C15625">
        <w:t>Practice recruitment</w:t>
      </w:r>
      <w:bookmarkEnd w:id="8"/>
      <w:bookmarkEnd w:id="9"/>
    </w:p>
    <w:p w14:paraId="3888EB71" w14:textId="77777777" w:rsidR="00BA7B25" w:rsidRPr="00140625" w:rsidRDefault="00BA7B25" w:rsidP="00BA7B25">
      <w:r w:rsidRPr="00C15625">
        <w:t>A summary of the general practice recruitment methodology is shown in Appendix B.</w:t>
      </w:r>
    </w:p>
    <w:p w14:paraId="767DDC1D" w14:textId="77777777" w:rsidR="00350D85" w:rsidRPr="009F070E" w:rsidRDefault="00350D85" w:rsidP="00350D85">
      <w:pPr>
        <w:spacing w:after="0"/>
        <w:rPr>
          <w:color w:val="000000" w:themeColor="text1"/>
        </w:rPr>
      </w:pPr>
      <w:r w:rsidRPr="009F070E">
        <w:rPr>
          <w:color w:val="000000" w:themeColor="text1"/>
        </w:rPr>
        <w:t>Number of practices recruited, ready to commence pilot (January 2024)</w:t>
      </w:r>
      <w:r w:rsidRPr="009F070E">
        <w:rPr>
          <w:color w:val="000000" w:themeColor="text1"/>
        </w:rPr>
        <w:tab/>
      </w:r>
      <w:r w:rsidRPr="009F070E">
        <w:rPr>
          <w:color w:val="000000" w:themeColor="text1"/>
        </w:rPr>
        <w:tab/>
      </w:r>
      <w:r w:rsidRPr="009F070E">
        <w:rPr>
          <w:b/>
          <w:color w:val="000000" w:themeColor="text1"/>
        </w:rPr>
        <w:t>30</w:t>
      </w:r>
    </w:p>
    <w:p w14:paraId="557232D4" w14:textId="77777777" w:rsidR="00350D85" w:rsidRPr="009F070E" w:rsidRDefault="00350D85" w:rsidP="00350D85">
      <w:pPr>
        <w:spacing w:after="0"/>
        <w:rPr>
          <w:b/>
          <w:color w:val="000000" w:themeColor="text1"/>
        </w:rPr>
      </w:pPr>
      <w:r w:rsidRPr="009F070E">
        <w:rPr>
          <w:b/>
          <w:color w:val="000000" w:themeColor="text1"/>
        </w:rPr>
        <w:t>Final number of practices in the pilot</w:t>
      </w:r>
      <w:r w:rsidRPr="009F070E">
        <w:rPr>
          <w:b/>
          <w:color w:val="000000" w:themeColor="text1"/>
        </w:rPr>
        <w:tab/>
      </w:r>
      <w:r w:rsidRPr="009F070E">
        <w:rPr>
          <w:b/>
          <w:color w:val="000000" w:themeColor="text1"/>
        </w:rPr>
        <w:tab/>
      </w:r>
      <w:r w:rsidRPr="009F070E">
        <w:rPr>
          <w:b/>
          <w:color w:val="000000" w:themeColor="text1"/>
        </w:rPr>
        <w:tab/>
      </w:r>
      <w:r w:rsidRPr="009F070E">
        <w:rPr>
          <w:b/>
          <w:color w:val="000000" w:themeColor="text1"/>
        </w:rPr>
        <w:tab/>
      </w:r>
      <w:r w:rsidRPr="009F070E">
        <w:rPr>
          <w:b/>
          <w:color w:val="000000" w:themeColor="text1"/>
        </w:rPr>
        <w:tab/>
      </w:r>
      <w:r w:rsidRPr="009F070E">
        <w:rPr>
          <w:b/>
          <w:color w:val="000000" w:themeColor="text1"/>
        </w:rPr>
        <w:tab/>
      </w:r>
      <w:r w:rsidRPr="009F070E">
        <w:rPr>
          <w:b/>
          <w:color w:val="000000" w:themeColor="text1"/>
        </w:rPr>
        <w:tab/>
        <w:t>22</w:t>
      </w:r>
    </w:p>
    <w:p w14:paraId="1914D73E" w14:textId="77777777" w:rsidR="00350D85" w:rsidRPr="009F070E" w:rsidRDefault="00350D85" w:rsidP="00350D85">
      <w:pPr>
        <w:spacing w:after="0"/>
        <w:rPr>
          <w:b/>
          <w:color w:val="000000" w:themeColor="text1"/>
        </w:rPr>
      </w:pPr>
      <w:r w:rsidRPr="009F070E">
        <w:rPr>
          <w:b/>
          <w:color w:val="000000" w:themeColor="text1"/>
        </w:rPr>
        <w:t>Number of practices participating in feedback</w:t>
      </w:r>
      <w:r w:rsidRPr="009F070E">
        <w:rPr>
          <w:b/>
          <w:color w:val="000000" w:themeColor="text1"/>
        </w:rPr>
        <w:tab/>
      </w:r>
      <w:r w:rsidRPr="009F070E">
        <w:rPr>
          <w:b/>
          <w:color w:val="000000" w:themeColor="text1"/>
        </w:rPr>
        <w:tab/>
      </w:r>
      <w:r w:rsidRPr="009F070E">
        <w:rPr>
          <w:b/>
          <w:color w:val="000000" w:themeColor="text1"/>
        </w:rPr>
        <w:tab/>
      </w:r>
      <w:r w:rsidRPr="009F070E">
        <w:rPr>
          <w:b/>
          <w:color w:val="000000" w:themeColor="text1"/>
        </w:rPr>
        <w:tab/>
      </w:r>
      <w:r w:rsidRPr="009F070E">
        <w:rPr>
          <w:b/>
          <w:color w:val="000000" w:themeColor="text1"/>
        </w:rPr>
        <w:tab/>
        <w:t>22</w:t>
      </w:r>
    </w:p>
    <w:p w14:paraId="7FC181C0" w14:textId="77777777" w:rsidR="00350D85" w:rsidRPr="009F070E" w:rsidRDefault="00350D85" w:rsidP="00350D85">
      <w:pPr>
        <w:spacing w:after="0"/>
        <w:rPr>
          <w:b/>
        </w:rPr>
      </w:pPr>
    </w:p>
    <w:p w14:paraId="3D9B9371" w14:textId="78FE8DAA" w:rsidR="00350D85" w:rsidRPr="00B8476F" w:rsidRDefault="00350D85" w:rsidP="00350D85">
      <w:r w:rsidRPr="009F070E">
        <w:t xml:space="preserve">Feedback was obtained via interviews and an online survey, and it was possible for individuals to participate in both the survey and the interviews. </w:t>
      </w:r>
      <w:r w:rsidRPr="009F070E">
        <w:rPr>
          <w:color w:val="000000" w:themeColor="text1"/>
        </w:rPr>
        <w:t>At least one survey was completed by each of the 22 participating practices.</w:t>
      </w:r>
      <w:r w:rsidRPr="009F070E">
        <w:t xml:space="preserve"> The quantitative responses to the online survey are shown in Appendix E. The table below indicates</w:t>
      </w:r>
      <w:r>
        <w:t xml:space="preserve"> the practice participation in the pilot specifically for the weight management topic.</w:t>
      </w:r>
    </w:p>
    <w:p w14:paraId="135137BB" w14:textId="77777777" w:rsidR="00BA2699" w:rsidRDefault="00BA2699">
      <w:pPr>
        <w:spacing w:after="160" w:line="259" w:lineRule="auto"/>
        <w:rPr>
          <w:rFonts w:eastAsiaTheme="majorEastAsia" w:cstheme="majorBidi"/>
          <w:iCs/>
          <w:color w:val="000000" w:themeColor="text1"/>
          <w:u w:val="single"/>
        </w:rPr>
      </w:pPr>
      <w:r>
        <w:br w:type="page"/>
      </w:r>
    </w:p>
    <w:p w14:paraId="3AF22D8D" w14:textId="77777777" w:rsidR="00911E5C" w:rsidRDefault="00911E5C" w:rsidP="00911E5C">
      <w:pPr>
        <w:pStyle w:val="Heading4"/>
      </w:pPr>
      <w:r w:rsidRPr="00B8476F">
        <w:lastRenderedPageBreak/>
        <w:t>Feedback participation by role and method</w:t>
      </w:r>
    </w:p>
    <w:tbl>
      <w:tblPr>
        <w:tblStyle w:val="TableGrid"/>
        <w:tblW w:w="0" w:type="auto"/>
        <w:tblLook w:val="04A0" w:firstRow="1" w:lastRow="0" w:firstColumn="1" w:lastColumn="0" w:noHBand="0" w:noVBand="1"/>
      </w:tblPr>
      <w:tblGrid>
        <w:gridCol w:w="4106"/>
        <w:gridCol w:w="2552"/>
        <w:gridCol w:w="2358"/>
      </w:tblGrid>
      <w:tr w:rsidR="00911E5C" w:rsidRPr="00CF25B7" w14:paraId="195EDDB4" w14:textId="77777777" w:rsidTr="008051DB">
        <w:tc>
          <w:tcPr>
            <w:tcW w:w="4106" w:type="dxa"/>
          </w:tcPr>
          <w:p w14:paraId="77CA418D" w14:textId="77777777" w:rsidR="00911E5C" w:rsidRPr="003F0CB3" w:rsidRDefault="00911E5C" w:rsidP="008051DB">
            <w:pPr>
              <w:spacing w:before="60" w:after="60" w:line="240" w:lineRule="auto"/>
              <w:rPr>
                <w:b/>
                <w:color w:val="000000" w:themeColor="text1"/>
              </w:rPr>
            </w:pPr>
            <w:r w:rsidRPr="003F0CB3">
              <w:rPr>
                <w:b/>
                <w:color w:val="000000" w:themeColor="text1"/>
              </w:rPr>
              <w:t>Staff role</w:t>
            </w:r>
          </w:p>
        </w:tc>
        <w:tc>
          <w:tcPr>
            <w:tcW w:w="2552" w:type="dxa"/>
          </w:tcPr>
          <w:p w14:paraId="2541BB6E" w14:textId="77777777" w:rsidR="00911E5C" w:rsidRPr="003F0CB3" w:rsidRDefault="00911E5C" w:rsidP="008051DB">
            <w:pPr>
              <w:spacing w:before="60" w:after="60" w:line="240" w:lineRule="auto"/>
              <w:jc w:val="center"/>
              <w:rPr>
                <w:b/>
                <w:color w:val="000000" w:themeColor="text1"/>
              </w:rPr>
            </w:pPr>
            <w:r w:rsidRPr="003F0CB3">
              <w:rPr>
                <w:b/>
                <w:color w:val="000000" w:themeColor="text1"/>
              </w:rPr>
              <w:t>Interviews - number of participants</w:t>
            </w:r>
          </w:p>
        </w:tc>
        <w:tc>
          <w:tcPr>
            <w:tcW w:w="2358" w:type="dxa"/>
          </w:tcPr>
          <w:p w14:paraId="65C03284" w14:textId="77777777" w:rsidR="00911E5C" w:rsidRPr="003F0CB3" w:rsidRDefault="00911E5C" w:rsidP="008051DB">
            <w:pPr>
              <w:spacing w:before="60" w:after="60" w:line="240" w:lineRule="auto"/>
              <w:jc w:val="center"/>
              <w:rPr>
                <w:b/>
                <w:color w:val="000000" w:themeColor="text1"/>
              </w:rPr>
            </w:pPr>
            <w:r w:rsidRPr="003F0CB3">
              <w:rPr>
                <w:b/>
                <w:color w:val="000000" w:themeColor="text1"/>
              </w:rPr>
              <w:t>Survey - number of respondents</w:t>
            </w:r>
          </w:p>
        </w:tc>
      </w:tr>
      <w:tr w:rsidR="00571937" w:rsidRPr="00CF25B7" w14:paraId="11C06D9F" w14:textId="77777777" w:rsidTr="00F95996">
        <w:tc>
          <w:tcPr>
            <w:tcW w:w="4106" w:type="dxa"/>
            <w:vAlign w:val="bottom"/>
          </w:tcPr>
          <w:p w14:paraId="676BFD82" w14:textId="0B5DC8C0" w:rsidR="00571937" w:rsidRPr="003F0CB3" w:rsidRDefault="00571937" w:rsidP="00571937">
            <w:pPr>
              <w:spacing w:before="60" w:after="60" w:line="240" w:lineRule="auto"/>
              <w:rPr>
                <w:color w:val="000000" w:themeColor="text1"/>
              </w:rPr>
            </w:pPr>
            <w:r w:rsidRPr="005E3DE5">
              <w:rPr>
                <w:bCs/>
                <w:color w:val="000000" w:themeColor="text1"/>
              </w:rPr>
              <w:t>GP</w:t>
            </w:r>
          </w:p>
        </w:tc>
        <w:tc>
          <w:tcPr>
            <w:tcW w:w="2552" w:type="dxa"/>
          </w:tcPr>
          <w:p w14:paraId="34E94A21" w14:textId="072E9241" w:rsidR="00571937" w:rsidRPr="006B59C0" w:rsidRDefault="00211CF0" w:rsidP="00571937">
            <w:pPr>
              <w:spacing w:before="60" w:after="60" w:line="240" w:lineRule="auto"/>
              <w:jc w:val="center"/>
            </w:pPr>
            <w:r>
              <w:t>9</w:t>
            </w:r>
          </w:p>
        </w:tc>
        <w:tc>
          <w:tcPr>
            <w:tcW w:w="2358" w:type="dxa"/>
          </w:tcPr>
          <w:p w14:paraId="74CDAF06" w14:textId="4B27C0DF" w:rsidR="00571937" w:rsidRPr="00571937" w:rsidRDefault="00571937" w:rsidP="00571937">
            <w:pPr>
              <w:spacing w:before="60" w:after="60" w:line="240" w:lineRule="auto"/>
              <w:jc w:val="center"/>
              <w:rPr>
                <w:color w:val="000000" w:themeColor="text1"/>
              </w:rPr>
            </w:pPr>
            <w:r w:rsidRPr="00571937">
              <w:rPr>
                <w:color w:val="000000" w:themeColor="text1"/>
              </w:rPr>
              <w:t>33</w:t>
            </w:r>
          </w:p>
        </w:tc>
      </w:tr>
      <w:tr w:rsidR="00571937" w:rsidRPr="00CF25B7" w14:paraId="1282612F" w14:textId="77777777" w:rsidTr="00F95996">
        <w:tc>
          <w:tcPr>
            <w:tcW w:w="4106" w:type="dxa"/>
            <w:vAlign w:val="bottom"/>
          </w:tcPr>
          <w:p w14:paraId="1E3A2ABB" w14:textId="04354AED" w:rsidR="00571937" w:rsidRPr="003F0CB3" w:rsidRDefault="00571937" w:rsidP="00571937">
            <w:pPr>
              <w:spacing w:before="60" w:after="60" w:line="240" w:lineRule="auto"/>
              <w:rPr>
                <w:color w:val="000000" w:themeColor="text1"/>
              </w:rPr>
            </w:pPr>
            <w:r w:rsidRPr="005E3DE5">
              <w:rPr>
                <w:bCs/>
                <w:color w:val="000000" w:themeColor="text1"/>
              </w:rPr>
              <w:t>Pharmacist</w:t>
            </w:r>
          </w:p>
        </w:tc>
        <w:tc>
          <w:tcPr>
            <w:tcW w:w="2552" w:type="dxa"/>
          </w:tcPr>
          <w:p w14:paraId="388603BA" w14:textId="20AD6C08" w:rsidR="00571937" w:rsidRPr="006B59C0" w:rsidRDefault="00211CF0" w:rsidP="00571937">
            <w:pPr>
              <w:spacing w:before="60" w:after="60" w:line="240" w:lineRule="auto"/>
              <w:jc w:val="center"/>
            </w:pPr>
            <w:r>
              <w:t>1</w:t>
            </w:r>
          </w:p>
        </w:tc>
        <w:tc>
          <w:tcPr>
            <w:tcW w:w="2358" w:type="dxa"/>
          </w:tcPr>
          <w:p w14:paraId="0849CE77" w14:textId="4F1EF770" w:rsidR="00571937" w:rsidRPr="00571937" w:rsidRDefault="00571937" w:rsidP="00571937">
            <w:pPr>
              <w:spacing w:before="60" w:after="60" w:line="240" w:lineRule="auto"/>
              <w:jc w:val="center"/>
              <w:rPr>
                <w:color w:val="000000" w:themeColor="text1"/>
              </w:rPr>
            </w:pPr>
            <w:r w:rsidRPr="00571937">
              <w:rPr>
                <w:color w:val="000000" w:themeColor="text1"/>
              </w:rPr>
              <w:t>1</w:t>
            </w:r>
          </w:p>
        </w:tc>
      </w:tr>
      <w:tr w:rsidR="00571937" w:rsidRPr="00CF25B7" w14:paraId="34BA36A5" w14:textId="77777777" w:rsidTr="00F95996">
        <w:tc>
          <w:tcPr>
            <w:tcW w:w="4106" w:type="dxa"/>
            <w:vAlign w:val="bottom"/>
          </w:tcPr>
          <w:p w14:paraId="2ED6F329" w14:textId="7D86A260" w:rsidR="00571937" w:rsidRPr="003F0CB3" w:rsidRDefault="00571937" w:rsidP="00571937">
            <w:pPr>
              <w:spacing w:before="60" w:after="60" w:line="240" w:lineRule="auto"/>
              <w:rPr>
                <w:color w:val="000000" w:themeColor="text1"/>
              </w:rPr>
            </w:pPr>
            <w:r w:rsidRPr="005E3DE5">
              <w:rPr>
                <w:bCs/>
                <w:color w:val="000000" w:themeColor="text1"/>
              </w:rPr>
              <w:t>Nurse</w:t>
            </w:r>
          </w:p>
        </w:tc>
        <w:tc>
          <w:tcPr>
            <w:tcW w:w="2552" w:type="dxa"/>
          </w:tcPr>
          <w:p w14:paraId="073B3062" w14:textId="7C92F44E" w:rsidR="00571937" w:rsidRPr="006B59C0" w:rsidRDefault="00211CF0" w:rsidP="00571937">
            <w:pPr>
              <w:spacing w:before="60" w:after="60" w:line="240" w:lineRule="auto"/>
              <w:jc w:val="center"/>
            </w:pPr>
            <w:r>
              <w:t>1</w:t>
            </w:r>
          </w:p>
        </w:tc>
        <w:tc>
          <w:tcPr>
            <w:tcW w:w="2358" w:type="dxa"/>
          </w:tcPr>
          <w:p w14:paraId="04BBD3D5" w14:textId="72076804" w:rsidR="00571937" w:rsidRPr="00571937" w:rsidRDefault="00571937" w:rsidP="00571937">
            <w:pPr>
              <w:spacing w:before="60" w:after="60" w:line="240" w:lineRule="auto"/>
              <w:jc w:val="center"/>
              <w:rPr>
                <w:color w:val="000000" w:themeColor="text1"/>
              </w:rPr>
            </w:pPr>
            <w:r w:rsidRPr="00571937">
              <w:rPr>
                <w:color w:val="000000" w:themeColor="text1"/>
              </w:rPr>
              <w:t>4</w:t>
            </w:r>
          </w:p>
        </w:tc>
      </w:tr>
      <w:tr w:rsidR="00571937" w:rsidRPr="00CF25B7" w14:paraId="0DD7AB97" w14:textId="77777777" w:rsidTr="00F95996">
        <w:tc>
          <w:tcPr>
            <w:tcW w:w="4106" w:type="dxa"/>
            <w:vAlign w:val="bottom"/>
          </w:tcPr>
          <w:p w14:paraId="66CF2E7B" w14:textId="562C63A3" w:rsidR="00571937" w:rsidRPr="003F0CB3" w:rsidRDefault="00571937" w:rsidP="00571937">
            <w:pPr>
              <w:spacing w:before="60" w:after="60" w:line="240" w:lineRule="auto"/>
              <w:rPr>
                <w:color w:val="000000" w:themeColor="text1"/>
              </w:rPr>
            </w:pPr>
            <w:r w:rsidRPr="005E3DE5">
              <w:rPr>
                <w:bCs/>
                <w:color w:val="000000" w:themeColor="text1"/>
              </w:rPr>
              <w:t>Practice manager</w:t>
            </w:r>
          </w:p>
        </w:tc>
        <w:tc>
          <w:tcPr>
            <w:tcW w:w="2552" w:type="dxa"/>
          </w:tcPr>
          <w:p w14:paraId="35371D05" w14:textId="72C4A24A" w:rsidR="00571937" w:rsidRPr="006B59C0" w:rsidRDefault="00211CF0" w:rsidP="00571937">
            <w:pPr>
              <w:spacing w:before="60" w:after="60" w:line="240" w:lineRule="auto"/>
              <w:jc w:val="center"/>
            </w:pPr>
            <w:r>
              <w:t>5</w:t>
            </w:r>
          </w:p>
        </w:tc>
        <w:tc>
          <w:tcPr>
            <w:tcW w:w="2358" w:type="dxa"/>
          </w:tcPr>
          <w:p w14:paraId="1E6117B8" w14:textId="06E48FB7" w:rsidR="00571937" w:rsidRPr="00571937" w:rsidRDefault="00571937" w:rsidP="00571937">
            <w:pPr>
              <w:spacing w:before="60" w:after="60" w:line="240" w:lineRule="auto"/>
              <w:jc w:val="center"/>
              <w:rPr>
                <w:color w:val="000000" w:themeColor="text1"/>
              </w:rPr>
            </w:pPr>
            <w:r w:rsidRPr="00571937">
              <w:rPr>
                <w:color w:val="000000" w:themeColor="text1"/>
              </w:rPr>
              <w:t>13</w:t>
            </w:r>
          </w:p>
        </w:tc>
      </w:tr>
      <w:tr w:rsidR="00571937" w:rsidRPr="00CF25B7" w14:paraId="3E9A4232" w14:textId="77777777" w:rsidTr="00F95996">
        <w:tc>
          <w:tcPr>
            <w:tcW w:w="4106" w:type="dxa"/>
            <w:vAlign w:val="bottom"/>
          </w:tcPr>
          <w:p w14:paraId="25DE66BF" w14:textId="4B568DC8" w:rsidR="00571937" w:rsidRPr="003F0CB3" w:rsidRDefault="00571937" w:rsidP="00571937">
            <w:pPr>
              <w:spacing w:before="60" w:after="60" w:line="240" w:lineRule="auto"/>
              <w:rPr>
                <w:color w:val="000000" w:themeColor="text1"/>
              </w:rPr>
            </w:pPr>
            <w:r w:rsidRPr="005E3DE5">
              <w:rPr>
                <w:bCs/>
                <w:color w:val="000000" w:themeColor="text1"/>
              </w:rPr>
              <w:t>Other senior management</w:t>
            </w:r>
          </w:p>
        </w:tc>
        <w:tc>
          <w:tcPr>
            <w:tcW w:w="2552" w:type="dxa"/>
          </w:tcPr>
          <w:p w14:paraId="60186B47" w14:textId="2CB34541" w:rsidR="00571937" w:rsidRPr="006B59C0" w:rsidRDefault="00211CF0" w:rsidP="00571937">
            <w:pPr>
              <w:spacing w:before="60" w:after="60" w:line="240" w:lineRule="auto"/>
              <w:jc w:val="center"/>
            </w:pPr>
            <w:r>
              <w:t>1</w:t>
            </w:r>
          </w:p>
        </w:tc>
        <w:tc>
          <w:tcPr>
            <w:tcW w:w="2358" w:type="dxa"/>
          </w:tcPr>
          <w:p w14:paraId="23D85DFC" w14:textId="096A235F" w:rsidR="00571937" w:rsidRPr="00571937" w:rsidRDefault="00571937" w:rsidP="00571937">
            <w:pPr>
              <w:spacing w:before="60" w:after="60" w:line="240" w:lineRule="auto"/>
              <w:jc w:val="center"/>
              <w:rPr>
                <w:color w:val="000000" w:themeColor="text1"/>
              </w:rPr>
            </w:pPr>
            <w:r w:rsidRPr="00571937">
              <w:rPr>
                <w:color w:val="000000" w:themeColor="text1"/>
              </w:rPr>
              <w:t>1</w:t>
            </w:r>
          </w:p>
        </w:tc>
      </w:tr>
      <w:tr w:rsidR="00571937" w:rsidRPr="00CF25B7" w14:paraId="102A7B0C" w14:textId="77777777" w:rsidTr="00F95996">
        <w:tc>
          <w:tcPr>
            <w:tcW w:w="4106" w:type="dxa"/>
            <w:vAlign w:val="bottom"/>
          </w:tcPr>
          <w:p w14:paraId="14E35DFB" w14:textId="528A1F6D" w:rsidR="00571937" w:rsidRPr="003F0CB3" w:rsidRDefault="00571937" w:rsidP="00571937">
            <w:pPr>
              <w:spacing w:before="60" w:after="60" w:line="240" w:lineRule="auto"/>
              <w:rPr>
                <w:color w:val="000000" w:themeColor="text1"/>
              </w:rPr>
            </w:pPr>
            <w:r w:rsidRPr="005E3DE5">
              <w:rPr>
                <w:bCs/>
                <w:color w:val="000000" w:themeColor="text1"/>
              </w:rPr>
              <w:t>Other clinical staff</w:t>
            </w:r>
          </w:p>
        </w:tc>
        <w:tc>
          <w:tcPr>
            <w:tcW w:w="2552" w:type="dxa"/>
          </w:tcPr>
          <w:p w14:paraId="7199341B" w14:textId="47264A08" w:rsidR="00571937" w:rsidRPr="006B59C0" w:rsidRDefault="00211CF0" w:rsidP="00571937">
            <w:pPr>
              <w:spacing w:before="60" w:after="60" w:line="240" w:lineRule="auto"/>
              <w:jc w:val="center"/>
            </w:pPr>
            <w:r>
              <w:t>0</w:t>
            </w:r>
          </w:p>
        </w:tc>
        <w:tc>
          <w:tcPr>
            <w:tcW w:w="2358" w:type="dxa"/>
          </w:tcPr>
          <w:p w14:paraId="1D70EC6B" w14:textId="47DB965A" w:rsidR="00571937" w:rsidRPr="00571937" w:rsidRDefault="00571937" w:rsidP="00571937">
            <w:pPr>
              <w:spacing w:before="60" w:after="60" w:line="240" w:lineRule="auto"/>
              <w:jc w:val="center"/>
              <w:rPr>
                <w:color w:val="000000" w:themeColor="text1"/>
              </w:rPr>
            </w:pPr>
            <w:r w:rsidRPr="00571937">
              <w:rPr>
                <w:color w:val="000000" w:themeColor="text1"/>
              </w:rPr>
              <w:t>1</w:t>
            </w:r>
          </w:p>
        </w:tc>
      </w:tr>
      <w:tr w:rsidR="00571937" w:rsidRPr="00CF25B7" w14:paraId="6AF2EEF8" w14:textId="77777777" w:rsidTr="00F95996">
        <w:tc>
          <w:tcPr>
            <w:tcW w:w="4106" w:type="dxa"/>
            <w:vAlign w:val="bottom"/>
          </w:tcPr>
          <w:p w14:paraId="6F9C5606" w14:textId="17E47669" w:rsidR="00571937" w:rsidRPr="003F0CB3" w:rsidRDefault="00571937" w:rsidP="00571937">
            <w:pPr>
              <w:spacing w:before="60" w:after="60" w:line="240" w:lineRule="auto"/>
              <w:rPr>
                <w:color w:val="000000" w:themeColor="text1"/>
              </w:rPr>
            </w:pPr>
            <w:r>
              <w:rPr>
                <w:bCs/>
                <w:color w:val="000000" w:themeColor="text1"/>
              </w:rPr>
              <w:t>Practice</w:t>
            </w:r>
            <w:r w:rsidRPr="005E3DE5">
              <w:rPr>
                <w:bCs/>
                <w:color w:val="000000" w:themeColor="text1"/>
              </w:rPr>
              <w:t xml:space="preserve"> administrative staff </w:t>
            </w:r>
          </w:p>
        </w:tc>
        <w:tc>
          <w:tcPr>
            <w:tcW w:w="2552" w:type="dxa"/>
          </w:tcPr>
          <w:p w14:paraId="5B9D2222" w14:textId="74749E42" w:rsidR="00571937" w:rsidRPr="006B59C0" w:rsidRDefault="00211CF0" w:rsidP="00571937">
            <w:pPr>
              <w:spacing w:before="60" w:after="60" w:line="240" w:lineRule="auto"/>
              <w:jc w:val="center"/>
            </w:pPr>
            <w:r>
              <w:t>3</w:t>
            </w:r>
          </w:p>
        </w:tc>
        <w:tc>
          <w:tcPr>
            <w:tcW w:w="2358" w:type="dxa"/>
          </w:tcPr>
          <w:p w14:paraId="3633593B" w14:textId="4E23E64B" w:rsidR="00571937" w:rsidRPr="00571937" w:rsidRDefault="00571937" w:rsidP="00571937">
            <w:pPr>
              <w:spacing w:before="60" w:after="60" w:line="240" w:lineRule="auto"/>
              <w:jc w:val="center"/>
              <w:rPr>
                <w:color w:val="000000" w:themeColor="text1"/>
              </w:rPr>
            </w:pPr>
            <w:r w:rsidRPr="00571937">
              <w:rPr>
                <w:color w:val="000000" w:themeColor="text1"/>
              </w:rPr>
              <w:t>4</w:t>
            </w:r>
          </w:p>
        </w:tc>
      </w:tr>
      <w:tr w:rsidR="00911E5C" w14:paraId="31AE2056" w14:textId="77777777" w:rsidTr="008051DB">
        <w:trPr>
          <w:trHeight w:val="608"/>
        </w:trPr>
        <w:tc>
          <w:tcPr>
            <w:tcW w:w="4106" w:type="dxa"/>
          </w:tcPr>
          <w:p w14:paraId="56D736D8" w14:textId="77777777" w:rsidR="00911E5C" w:rsidRPr="003F0CB3" w:rsidRDefault="00911E5C" w:rsidP="008051DB">
            <w:pPr>
              <w:spacing w:before="120" w:after="60" w:line="240" w:lineRule="auto"/>
              <w:rPr>
                <w:b/>
                <w:color w:val="000000" w:themeColor="text1"/>
              </w:rPr>
            </w:pPr>
            <w:r w:rsidRPr="003F0CB3">
              <w:rPr>
                <w:b/>
                <w:color w:val="000000" w:themeColor="text1"/>
              </w:rPr>
              <w:t xml:space="preserve">Number of participants </w:t>
            </w:r>
          </w:p>
        </w:tc>
        <w:tc>
          <w:tcPr>
            <w:tcW w:w="2552" w:type="dxa"/>
          </w:tcPr>
          <w:p w14:paraId="195FED50" w14:textId="047C1E86" w:rsidR="00911E5C" w:rsidRPr="006B59C0" w:rsidRDefault="00211CF0" w:rsidP="008051DB">
            <w:pPr>
              <w:spacing w:before="120" w:after="60" w:line="240" w:lineRule="auto"/>
              <w:jc w:val="center"/>
              <w:rPr>
                <w:b/>
              </w:rPr>
            </w:pPr>
            <w:r>
              <w:rPr>
                <w:b/>
              </w:rPr>
              <w:t>20</w:t>
            </w:r>
          </w:p>
        </w:tc>
        <w:tc>
          <w:tcPr>
            <w:tcW w:w="2358" w:type="dxa"/>
          </w:tcPr>
          <w:p w14:paraId="101FDEAC" w14:textId="7A469986" w:rsidR="00911E5C" w:rsidRPr="00571937" w:rsidRDefault="00571937" w:rsidP="008051DB">
            <w:pPr>
              <w:spacing w:before="120" w:after="60" w:line="240" w:lineRule="auto"/>
              <w:jc w:val="center"/>
              <w:rPr>
                <w:b/>
                <w:color w:val="000000" w:themeColor="text1"/>
              </w:rPr>
            </w:pPr>
            <w:r w:rsidRPr="00571937">
              <w:rPr>
                <w:b/>
                <w:color w:val="000000" w:themeColor="text1"/>
              </w:rPr>
              <w:t>57</w:t>
            </w:r>
          </w:p>
        </w:tc>
      </w:tr>
      <w:tr w:rsidR="00911E5C" w14:paraId="693CA3C3" w14:textId="77777777" w:rsidTr="008051DB">
        <w:trPr>
          <w:trHeight w:val="608"/>
        </w:trPr>
        <w:tc>
          <w:tcPr>
            <w:tcW w:w="4106" w:type="dxa"/>
          </w:tcPr>
          <w:p w14:paraId="001B5166" w14:textId="77777777" w:rsidR="00911E5C" w:rsidRPr="003F0CB3" w:rsidRDefault="00911E5C" w:rsidP="008051DB">
            <w:pPr>
              <w:spacing w:before="120" w:after="60" w:line="240" w:lineRule="auto"/>
              <w:rPr>
                <w:b/>
                <w:color w:val="000000" w:themeColor="text1"/>
              </w:rPr>
            </w:pPr>
            <w:r>
              <w:rPr>
                <w:b/>
                <w:color w:val="000000" w:themeColor="text1"/>
              </w:rPr>
              <w:t>Number of practices</w:t>
            </w:r>
          </w:p>
        </w:tc>
        <w:tc>
          <w:tcPr>
            <w:tcW w:w="2552" w:type="dxa"/>
          </w:tcPr>
          <w:p w14:paraId="330E547A" w14:textId="5C2E2D86" w:rsidR="00911E5C" w:rsidRPr="006B59C0" w:rsidRDefault="00211CF0" w:rsidP="008051DB">
            <w:pPr>
              <w:spacing w:before="120" w:after="60" w:line="240" w:lineRule="auto"/>
              <w:jc w:val="center"/>
              <w:rPr>
                <w:b/>
              </w:rPr>
            </w:pPr>
            <w:r>
              <w:rPr>
                <w:b/>
              </w:rPr>
              <w:t>10</w:t>
            </w:r>
          </w:p>
        </w:tc>
        <w:tc>
          <w:tcPr>
            <w:tcW w:w="2358" w:type="dxa"/>
          </w:tcPr>
          <w:p w14:paraId="47CB9C6C" w14:textId="214B2244" w:rsidR="00911E5C" w:rsidRPr="00CF25B7" w:rsidRDefault="00571937" w:rsidP="008051DB">
            <w:pPr>
              <w:spacing w:before="120" w:after="60" w:line="240" w:lineRule="auto"/>
              <w:jc w:val="center"/>
              <w:rPr>
                <w:b/>
                <w:color w:val="000000" w:themeColor="text1"/>
                <w:highlight w:val="yellow"/>
              </w:rPr>
            </w:pPr>
            <w:r w:rsidRPr="00571937">
              <w:rPr>
                <w:b/>
                <w:color w:val="000000" w:themeColor="text1"/>
              </w:rPr>
              <w:t>22</w:t>
            </w:r>
          </w:p>
        </w:tc>
      </w:tr>
    </w:tbl>
    <w:p w14:paraId="06AFDC22" w14:textId="45575824" w:rsidR="00211CF0" w:rsidRDefault="00211CF0" w:rsidP="00211CF0">
      <w:pPr>
        <w:spacing w:before="120" w:after="160" w:line="312" w:lineRule="auto"/>
      </w:pPr>
      <w:r w:rsidRPr="00CF29EE">
        <w:t xml:space="preserve">As described in Appendix A, not all interviews covered all topics and </w:t>
      </w:r>
      <w:r>
        <w:t>20</w:t>
      </w:r>
      <w:r w:rsidRPr="00CF29EE">
        <w:t xml:space="preserve"> participants from </w:t>
      </w:r>
      <w:r>
        <w:t>10</w:t>
      </w:r>
      <w:r w:rsidRPr="00CF29EE">
        <w:t xml:space="preserve"> of the 22 practices were asked questions about the </w:t>
      </w:r>
      <w:r>
        <w:t>weight management</w:t>
      </w:r>
      <w:r w:rsidRPr="00CF29EE">
        <w:t xml:space="preserve"> topic in their interviews.</w:t>
      </w:r>
    </w:p>
    <w:p w14:paraId="239CA998" w14:textId="104B7195" w:rsidR="00211CF0" w:rsidRPr="008732BB" w:rsidRDefault="00211CF0" w:rsidP="00211CF0">
      <w:pPr>
        <w:spacing w:before="120" w:after="160" w:line="312" w:lineRule="auto"/>
      </w:pPr>
      <w:r w:rsidRPr="008732BB">
        <w:t xml:space="preserve">Following the interviews, a small number of practices sent documents they had prepared in advance of the calls, which contained their thoughts on one or more topics, reflecting the preparation they had done. These views </w:t>
      </w:r>
      <w:r>
        <w:t>we</w:t>
      </w:r>
      <w:r w:rsidRPr="008732BB">
        <w:t xml:space="preserve">re incorporated as </w:t>
      </w:r>
      <w:r>
        <w:t>appropriate, building on the answers they had provided during the interviews. A practice manager at o</w:t>
      </w:r>
      <w:r w:rsidRPr="008732BB">
        <w:t xml:space="preserve">ne </w:t>
      </w:r>
      <w:r>
        <w:t xml:space="preserve">additional </w:t>
      </w:r>
      <w:r w:rsidRPr="008732BB">
        <w:t xml:space="preserve">practice </w:t>
      </w:r>
      <w:r>
        <w:t>(whose own interview did not cover the weight management topic) provided</w:t>
      </w:r>
      <w:r w:rsidRPr="008732BB">
        <w:t xml:space="preserve"> views via this route</w:t>
      </w:r>
      <w:r>
        <w:t xml:space="preserve">. This </w:t>
      </w:r>
      <w:r w:rsidR="002862BA">
        <w:t>practice manager</w:t>
      </w:r>
      <w:r>
        <w:t xml:space="preserve"> is not counted in the table above</w:t>
      </w:r>
      <w:r w:rsidRPr="002862BA">
        <w:t>.</w:t>
      </w:r>
    </w:p>
    <w:p w14:paraId="4C22EA42" w14:textId="7CDCF887" w:rsidR="00211CF0" w:rsidRPr="009939B1" w:rsidRDefault="00211CF0" w:rsidP="00211CF0">
      <w:pPr>
        <w:spacing w:before="120" w:after="160" w:line="312" w:lineRule="auto"/>
      </w:pPr>
      <w:r w:rsidRPr="001D7570">
        <w:t xml:space="preserve">Not all </w:t>
      </w:r>
      <w:r>
        <w:t xml:space="preserve">57 survey </w:t>
      </w:r>
      <w:r w:rsidRPr="001D7570">
        <w:t xml:space="preserve">respondents completed all of the </w:t>
      </w:r>
      <w:r>
        <w:t>weight management</w:t>
      </w:r>
      <w:r w:rsidRPr="001D7570">
        <w:t>-related indicator survey questions (see Appendix A)</w:t>
      </w:r>
      <w:r>
        <w:t xml:space="preserve"> </w:t>
      </w:r>
      <w:r>
        <w:rPr>
          <w:color w:val="000000" w:themeColor="text1"/>
        </w:rPr>
        <w:t>and therefore the denominator for each question is included throughout this report.</w:t>
      </w:r>
    </w:p>
    <w:p w14:paraId="7AA03E21" w14:textId="7995E645" w:rsidR="00911E5C" w:rsidRPr="009939B1" w:rsidRDefault="00911E5C" w:rsidP="006B59C0">
      <w:pPr>
        <w:spacing w:before="120" w:after="160" w:line="312" w:lineRule="auto"/>
      </w:pPr>
    </w:p>
    <w:p w14:paraId="6A1AD09D" w14:textId="77777777" w:rsidR="00DF5355" w:rsidRDefault="00DF5355" w:rsidP="00BA2699">
      <w:pPr>
        <w:spacing w:before="120" w:after="160" w:line="259" w:lineRule="auto"/>
      </w:pPr>
    </w:p>
    <w:p w14:paraId="3B711C67" w14:textId="32EDDBED" w:rsidR="00FA454F" w:rsidRPr="00B8476F" w:rsidRDefault="00FA454F" w:rsidP="00BA2699">
      <w:pPr>
        <w:spacing w:before="120" w:after="160" w:line="259" w:lineRule="auto"/>
      </w:pPr>
      <w:r w:rsidRPr="00B8476F">
        <w:br w:type="page"/>
      </w:r>
    </w:p>
    <w:p w14:paraId="1C23E650" w14:textId="56622754" w:rsidR="005E493C" w:rsidRDefault="002C6D43" w:rsidP="00BA7B25">
      <w:pPr>
        <w:pStyle w:val="Heading1"/>
      </w:pPr>
      <w:bookmarkStart w:id="10" w:name="_Toc198538511"/>
      <w:r w:rsidRPr="00B85CBB">
        <w:lastRenderedPageBreak/>
        <w:t xml:space="preserve">Assessment of </w:t>
      </w:r>
      <w:r w:rsidR="00013EC8">
        <w:t xml:space="preserve">clarity, </w:t>
      </w:r>
      <w:r w:rsidRPr="00B85CBB">
        <w:t xml:space="preserve">feasibility, reliability and </w:t>
      </w:r>
      <w:r w:rsidR="00451580" w:rsidRPr="00B85CBB">
        <w:t>acceptability</w:t>
      </w:r>
      <w:bookmarkEnd w:id="10"/>
      <w:r w:rsidR="000B159D" w:rsidRPr="00B8476F">
        <w:t xml:space="preserve"> </w:t>
      </w:r>
    </w:p>
    <w:p w14:paraId="0E8BA22D" w14:textId="4A687189" w:rsidR="00013EC8" w:rsidRPr="00AA0981" w:rsidRDefault="00013EC8" w:rsidP="00AA0981">
      <w:pPr>
        <w:pStyle w:val="Heading2"/>
      </w:pPr>
      <w:bookmarkStart w:id="11" w:name="_Toc198538512"/>
      <w:r w:rsidRPr="00AA0981">
        <w:t>Clarity</w:t>
      </w:r>
      <w:bookmarkEnd w:id="11"/>
    </w:p>
    <w:p w14:paraId="3A648F2C" w14:textId="4B6E78A3" w:rsidR="00047ED4" w:rsidRDefault="00137B08" w:rsidP="00583923">
      <w:r>
        <w:t>In general, the</w:t>
      </w:r>
      <w:r w:rsidR="00047ED4" w:rsidRPr="00CC7874">
        <w:t xml:space="preserve"> wording of th</w:t>
      </w:r>
      <w:r w:rsidR="00D30650">
        <w:t>e</w:t>
      </w:r>
      <w:r w:rsidR="00047ED4" w:rsidRPr="00047ED4">
        <w:t xml:space="preserve"> indicator</w:t>
      </w:r>
      <w:r w:rsidR="00D30650">
        <w:t>s on this topic</w:t>
      </w:r>
      <w:r w:rsidR="00047ED4" w:rsidRPr="00047ED4">
        <w:t xml:space="preserve"> was </w:t>
      </w:r>
      <w:r>
        <w:t xml:space="preserve">considered to be </w:t>
      </w:r>
      <w:r w:rsidR="00047ED4" w:rsidRPr="00047ED4">
        <w:t>clear</w:t>
      </w:r>
      <w:r w:rsidR="00DC671A">
        <w:t xml:space="preserve"> and there were no problems with ambiguity for any of the four indicators.</w:t>
      </w:r>
      <w:r w:rsidR="005B36A6">
        <w:t xml:space="preserve"> </w:t>
      </w:r>
      <w:r w:rsidR="002D1FAF">
        <w:t xml:space="preserve">While there were many responses to this question in the survey, </w:t>
      </w:r>
      <w:r w:rsidR="00934954">
        <w:t xml:space="preserve">some related specifically to the detail of the wording, for example the proposed timescales, however others addressed wider issues such as </w:t>
      </w:r>
      <w:r w:rsidR="00934954" w:rsidRPr="00EC7FBB">
        <w:t xml:space="preserve">availability of services. </w:t>
      </w:r>
      <w:r w:rsidR="00D72F9B" w:rsidRPr="00EC7FBB">
        <w:t xml:space="preserve">Details of the </w:t>
      </w:r>
      <w:r w:rsidR="00D30650" w:rsidRPr="00EC7FBB">
        <w:t>specific</w:t>
      </w:r>
      <w:r w:rsidR="00D72F9B" w:rsidRPr="00EC7FBB">
        <w:t xml:space="preserve"> feedback received </w:t>
      </w:r>
      <w:r w:rsidR="00D30650" w:rsidRPr="00EC7FBB">
        <w:t>on the indicators’ wording</w:t>
      </w:r>
      <w:r w:rsidR="00D72F9B" w:rsidRPr="00EC7FBB">
        <w:t xml:space="preserve"> is discussed</w:t>
      </w:r>
      <w:r w:rsidRPr="00EC7FBB">
        <w:t xml:space="preserve"> in section 5.1</w:t>
      </w:r>
      <w:r w:rsidR="00047ED4" w:rsidRPr="00EC7FBB">
        <w:t>.</w:t>
      </w:r>
      <w:r>
        <w:t xml:space="preserve"> </w:t>
      </w:r>
    </w:p>
    <w:p w14:paraId="5526C915" w14:textId="4A782A17" w:rsidR="008642CD" w:rsidRDefault="009063A1" w:rsidP="00AA0981">
      <w:pPr>
        <w:pStyle w:val="Heading2"/>
      </w:pPr>
      <w:bookmarkStart w:id="12" w:name="_Toc198538513"/>
      <w:r w:rsidRPr="00B8476F">
        <w:t>Feasibility and</w:t>
      </w:r>
      <w:r w:rsidR="008642CD" w:rsidRPr="00B8476F">
        <w:t xml:space="preserve"> reliability</w:t>
      </w:r>
      <w:bookmarkEnd w:id="12"/>
      <w:r w:rsidR="008642CD" w:rsidRPr="00B8476F">
        <w:t xml:space="preserve"> </w:t>
      </w:r>
    </w:p>
    <w:p w14:paraId="51C2F0C9" w14:textId="782DC2B6" w:rsidR="00352B8E" w:rsidRDefault="00352B8E" w:rsidP="00352B8E">
      <w:r>
        <w:t>The proposed construction of indicator 1 meant there were few comments about its feasibility, as it was based on opportunistic measuring of a patient’s BMI, with one interviewee stating:</w:t>
      </w:r>
    </w:p>
    <w:p w14:paraId="59AB1F26" w14:textId="2D01548B" w:rsidR="00352B8E" w:rsidRPr="00352B8E" w:rsidRDefault="00352B8E" w:rsidP="004769EB">
      <w:pPr>
        <w:spacing w:line="312" w:lineRule="auto"/>
        <w:rPr>
          <w:i/>
          <w:iCs/>
        </w:rPr>
      </w:pPr>
      <w:r>
        <w:rPr>
          <w:i/>
          <w:iCs/>
        </w:rPr>
        <w:t>“</w:t>
      </w:r>
      <w:r w:rsidRPr="00352B8E">
        <w:rPr>
          <w:i/>
          <w:iCs/>
        </w:rPr>
        <w:t>It would be pretty straightforward. I think that would be fine to set up and manage.</w:t>
      </w:r>
      <w:r>
        <w:rPr>
          <w:i/>
          <w:iCs/>
        </w:rPr>
        <w:t>”</w:t>
      </w:r>
      <w:r w:rsidR="002041D0">
        <w:rPr>
          <w:i/>
          <w:iCs/>
        </w:rPr>
        <w:t xml:space="preserve"> [</w:t>
      </w:r>
      <w:r w:rsidR="002041D0" w:rsidRPr="002041D0">
        <w:rPr>
          <w:i/>
          <w:iCs/>
        </w:rPr>
        <w:t>Other senior management, interview]</w:t>
      </w:r>
    </w:p>
    <w:p w14:paraId="6C152967" w14:textId="4A496B6D" w:rsidR="00352B8E" w:rsidRPr="00BE2F7F" w:rsidRDefault="00352B8E" w:rsidP="00352B8E">
      <w:pPr>
        <w:rPr>
          <w:color w:val="7030A0"/>
        </w:rPr>
      </w:pPr>
      <w:r>
        <w:t>However, one practice mentioned that staff outside the practice (for example a physiotherapist employed by the PCN) could also record a patient’s BMI in the practice clinical system.</w:t>
      </w:r>
      <w:r w:rsidR="0005308B">
        <w:t xml:space="preserve"> The </w:t>
      </w:r>
      <w:hyperlink r:id="rId10" w:history="1">
        <w:r w:rsidR="0005308B">
          <w:rPr>
            <w:rStyle w:val="Hyperlink"/>
          </w:rPr>
          <w:t>guide to brief interventions in weight management for adults</w:t>
        </w:r>
      </w:hyperlink>
      <w:r w:rsidR="0005308B">
        <w:t xml:space="preserve"> (2017) applies to health professionals in general, but </w:t>
      </w:r>
      <w:r w:rsidR="005C7494">
        <w:t>if this indicator were to be broadened out to other primary care staff, consideration as to</w:t>
      </w:r>
      <w:r w:rsidR="00AF0CD9">
        <w:t xml:space="preserve"> whether the indicator would be more appropriate at</w:t>
      </w:r>
      <w:r w:rsidR="005C7494">
        <w:t xml:space="preserve"> </w:t>
      </w:r>
      <w:r w:rsidR="00AF0CD9">
        <w:t>a network- or system-level</w:t>
      </w:r>
      <w:r w:rsidR="005C7494">
        <w:t xml:space="preserve"> may be required.</w:t>
      </w:r>
    </w:p>
    <w:p w14:paraId="33C1D7D9" w14:textId="730BE5AB" w:rsidR="003D3A4F" w:rsidRDefault="00A14A26" w:rsidP="00AA0981">
      <w:r>
        <w:t>Many</w:t>
      </w:r>
      <w:r w:rsidR="003D3A4F">
        <w:t xml:space="preserve"> issues were raised with the feasibility of </w:t>
      </w:r>
      <w:r w:rsidR="003F1487">
        <w:t>indicators</w:t>
      </w:r>
      <w:r w:rsidR="00566B13">
        <w:t xml:space="preserve"> 2, 3 and 4</w:t>
      </w:r>
      <w:r>
        <w:t>,</w:t>
      </w:r>
      <w:r w:rsidR="003F1487">
        <w:t xml:space="preserve"> particularly around availability of services, identification of cohorts and whether GPs (a</w:t>
      </w:r>
      <w:r w:rsidR="00DC671A">
        <w:t>n</w:t>
      </w:r>
      <w:r w:rsidR="003F1487">
        <w:t xml:space="preserve">d/or </w:t>
      </w:r>
      <w:r w:rsidR="003F1487" w:rsidRPr="00EC7FBB">
        <w:t>primary care) were</w:t>
      </w:r>
      <w:r w:rsidR="003F1487">
        <w:t xml:space="preserve"> the appropriate staff to deliver post-surgical follo</w:t>
      </w:r>
      <w:r w:rsidR="003F1487" w:rsidRPr="00E70AF6">
        <w:t xml:space="preserve">w-up </w:t>
      </w:r>
      <w:r w:rsidR="00E70AF6" w:rsidRPr="00E70AF6">
        <w:t>(</w:t>
      </w:r>
      <w:bookmarkStart w:id="13" w:name="_Hlk166588835"/>
      <w:r w:rsidR="00E70AF6" w:rsidRPr="00E70AF6">
        <w:t>see report section 4.3 for detail).</w:t>
      </w:r>
      <w:bookmarkEnd w:id="13"/>
    </w:p>
    <w:p w14:paraId="402198F9" w14:textId="5EA4E27D" w:rsidR="00985F0C" w:rsidRDefault="004E0E76" w:rsidP="002041D0">
      <w:pPr>
        <w:pStyle w:val="Heading2"/>
      </w:pPr>
      <w:bookmarkStart w:id="14" w:name="_Toc198538514"/>
      <w:r w:rsidRPr="00B8476F">
        <w:t>Acceptability</w:t>
      </w:r>
      <w:bookmarkEnd w:id="14"/>
    </w:p>
    <w:p w14:paraId="1C7850CB" w14:textId="5785080E" w:rsidR="00D52A33" w:rsidRDefault="00D52A33" w:rsidP="00D52A33">
      <w:r w:rsidRPr="00D52A33">
        <w:t xml:space="preserve">This section summarises practice views from the </w:t>
      </w:r>
      <w:r w:rsidR="00D151FE">
        <w:t>interviews</w:t>
      </w:r>
      <w:r w:rsidRPr="00D52A33">
        <w:t xml:space="preserve"> and the survey o</w:t>
      </w:r>
      <w:r w:rsidR="00EE26B0">
        <w:t>n the acceptability of the topic</w:t>
      </w:r>
      <w:r w:rsidRPr="00D52A33">
        <w:t xml:space="preserve">; the potential impact on quality of care; the importance of the issue </w:t>
      </w:r>
      <w:r w:rsidR="00926696">
        <w:t xml:space="preserve">covered by the indicators </w:t>
      </w:r>
      <w:r w:rsidRPr="00D52A33">
        <w:t>for patients and families; the role of financial incentivisation</w:t>
      </w:r>
      <w:r w:rsidR="00554C70">
        <w:t xml:space="preserve"> </w:t>
      </w:r>
      <w:r w:rsidR="00554C70" w:rsidRPr="00554C70">
        <w:t>and</w:t>
      </w:r>
      <w:r w:rsidR="00842538">
        <w:t>, separately for each indicator,</w:t>
      </w:r>
      <w:r w:rsidR="00554C70" w:rsidRPr="00554C70">
        <w:t xml:space="preserve"> any acceptability issues identified</w:t>
      </w:r>
      <w:r w:rsidR="00554C70">
        <w:t>.</w:t>
      </w:r>
      <w:r w:rsidR="00B45EE6">
        <w:t xml:space="preserve"> </w:t>
      </w:r>
    </w:p>
    <w:p w14:paraId="6D4B2D87" w14:textId="77777777" w:rsidR="00361D93" w:rsidRPr="00D35F5D" w:rsidRDefault="00361D93" w:rsidP="00361D93">
      <w:pPr>
        <w:pStyle w:val="Heading3"/>
        <w:numPr>
          <w:ilvl w:val="0"/>
          <w:numId w:val="0"/>
        </w:numPr>
      </w:pPr>
      <w:r w:rsidRPr="00D35F5D">
        <w:lastRenderedPageBreak/>
        <w:t>Topic feedback</w:t>
      </w:r>
    </w:p>
    <w:p w14:paraId="14457E25" w14:textId="3DE1747B" w:rsidR="00D35F5D" w:rsidRDefault="00A14A26" w:rsidP="00D35F5D">
      <w:r>
        <w:t>While there was general agreement that the topic is important</w:t>
      </w:r>
      <w:r w:rsidR="0039254A">
        <w:t>, general views on the value of the indicators and how they aligned with current practice was very mixed.</w:t>
      </w:r>
    </w:p>
    <w:p w14:paraId="3F186313" w14:textId="77777777" w:rsidR="00B10F56" w:rsidRPr="009829E5" w:rsidRDefault="00B10F56" w:rsidP="00B10F56">
      <w:pPr>
        <w:pStyle w:val="Heading4"/>
      </w:pPr>
      <w:r w:rsidRPr="00911385">
        <w:t>Indicator 1: Weight management: weight management advice (18-39 years)</w:t>
      </w:r>
    </w:p>
    <w:p w14:paraId="2BDDAA20" w14:textId="1B6BC26C" w:rsidR="0039254A" w:rsidRDefault="00F3360E" w:rsidP="008572EA">
      <w:pPr>
        <w:pStyle w:val="Heading6"/>
        <w:spacing w:line="360" w:lineRule="auto"/>
        <w:rPr>
          <w:i w:val="0"/>
          <w:iCs w:val="0"/>
        </w:rPr>
      </w:pPr>
      <w:r>
        <w:rPr>
          <w:i w:val="0"/>
          <w:iCs w:val="0"/>
        </w:rPr>
        <w:t>The overall view of the value of indicator 1 was mixed, with many comments received from interviewees and survey respondents</w:t>
      </w:r>
      <w:r w:rsidR="0082649E">
        <w:rPr>
          <w:i w:val="0"/>
          <w:iCs w:val="0"/>
        </w:rPr>
        <w:t>.</w:t>
      </w:r>
    </w:p>
    <w:p w14:paraId="6F7D6624" w14:textId="03339A88" w:rsidR="0039254A" w:rsidRDefault="0039254A" w:rsidP="0039254A">
      <w:pPr>
        <w:pStyle w:val="Heading6"/>
      </w:pPr>
      <w:r w:rsidRPr="0039254A">
        <w:t xml:space="preserve">“We were really happy with this one, I think it follows on really from what we these days do with smoking […] if they say </w:t>
      </w:r>
      <w:r w:rsidR="003B7AC3">
        <w:t>“</w:t>
      </w:r>
      <w:r w:rsidRPr="0039254A">
        <w:t>yes</w:t>
      </w:r>
      <w:r w:rsidR="003B7AC3">
        <w:t>”</w:t>
      </w:r>
      <w:r w:rsidRPr="0039254A">
        <w:t>, you say, “Actually, we’ve got a stop smoke service.” So, I think you would just follow along. If you’ve got someone that’s overweight, to follow on by, “Have you considered losing weight to improve your health?” It would become a phrase that is just dropped in and patients would presumably get used to hearing that after a while as well, same as the smokers do.</w:t>
      </w:r>
      <w:r w:rsidRPr="000D023B">
        <w:t>” [GP</w:t>
      </w:r>
      <w:r>
        <w:t>, interview]</w:t>
      </w:r>
    </w:p>
    <w:p w14:paraId="46BE9451" w14:textId="45CBBCE2" w:rsidR="005B697D" w:rsidRDefault="005B697D" w:rsidP="002041D0">
      <w:pPr>
        <w:spacing w:line="312" w:lineRule="auto"/>
        <w:rPr>
          <w:i/>
          <w:iCs/>
        </w:rPr>
      </w:pPr>
      <w:r>
        <w:rPr>
          <w:i/>
          <w:iCs/>
        </w:rPr>
        <w:t>“</w:t>
      </w:r>
      <w:r w:rsidRPr="005B697D">
        <w:rPr>
          <w:i/>
          <w:iCs/>
        </w:rPr>
        <w:t xml:space="preserve">It's a fantastic indicator. You just have to be very careful […] it'll be great in theory […] (but) does it work? Is there any evidence that me telling the patient that you are overweight? And people say, </w:t>
      </w:r>
      <w:r>
        <w:rPr>
          <w:i/>
          <w:iCs/>
        </w:rPr>
        <w:t>‘</w:t>
      </w:r>
      <w:r w:rsidRPr="005B697D">
        <w:rPr>
          <w:i/>
          <w:iCs/>
        </w:rPr>
        <w:t>Okay, then I will... I didn't know for 39 years, and now you told me, finally I can see that.</w:t>
      </w:r>
      <w:r>
        <w:rPr>
          <w:i/>
          <w:iCs/>
        </w:rPr>
        <w:t>’”</w:t>
      </w:r>
      <w:r w:rsidRPr="004C4645">
        <w:rPr>
          <w:i/>
          <w:iCs/>
        </w:rPr>
        <w:t xml:space="preserve"> [GP, interview]</w:t>
      </w:r>
    </w:p>
    <w:p w14:paraId="35BF3A58" w14:textId="042E148B" w:rsidR="001D24C8" w:rsidRDefault="005B697D" w:rsidP="002041D0">
      <w:pPr>
        <w:spacing w:line="312" w:lineRule="auto"/>
        <w:rPr>
          <w:i/>
          <w:iCs/>
        </w:rPr>
      </w:pPr>
      <w:r w:rsidRPr="005B697D">
        <w:rPr>
          <w:i/>
          <w:iCs/>
        </w:rPr>
        <w:t>“</w:t>
      </w:r>
      <w:r w:rsidR="004C4645" w:rsidRPr="005B697D">
        <w:rPr>
          <w:i/>
          <w:iCs/>
        </w:rPr>
        <w:t xml:space="preserve">It’s slightly vague. It feels like ticking a box and giving advice. My sense is from a QOF and a measurement point of view, it can look good and everyone will tick the box. In terms of outcomes, I don’t think </w:t>
      </w:r>
      <w:r>
        <w:rPr>
          <w:i/>
          <w:iCs/>
        </w:rPr>
        <w:t>(it will make)</w:t>
      </w:r>
      <w:r w:rsidR="004C4645" w:rsidRPr="005B697D">
        <w:rPr>
          <w:i/>
          <w:iCs/>
        </w:rPr>
        <w:t xml:space="preserve"> any difference</w:t>
      </w:r>
      <w:r>
        <w:rPr>
          <w:i/>
          <w:iCs/>
        </w:rPr>
        <w:t>.</w:t>
      </w:r>
      <w:r w:rsidRPr="004C4645">
        <w:rPr>
          <w:i/>
          <w:iCs/>
        </w:rPr>
        <w:t>” [GP, interview]</w:t>
      </w:r>
    </w:p>
    <w:p w14:paraId="16295433" w14:textId="1891E587" w:rsidR="00F3360E" w:rsidRPr="00F3360E" w:rsidRDefault="00F3360E" w:rsidP="008572EA">
      <w:r>
        <w:t>Many concerns were raised about the practicalities of delivering the intervention, the potential impact on the relationship with the patient and the role primary care does (or should</w:t>
      </w:r>
      <w:r w:rsidRPr="00EC7FBB">
        <w:t xml:space="preserve">) play in wider primary prevention efforts. </w:t>
      </w:r>
      <w:r w:rsidR="00E70AF6">
        <w:t>See report sections</w:t>
      </w:r>
      <w:r w:rsidRPr="00EC7FBB">
        <w:t xml:space="preserve"> 4.3.5 and 6.3</w:t>
      </w:r>
      <w:r w:rsidR="00E70AF6">
        <w:t xml:space="preserve"> for detail</w:t>
      </w:r>
      <w:r w:rsidRPr="00EC7FBB">
        <w:t>.</w:t>
      </w:r>
    </w:p>
    <w:p w14:paraId="308D62A6" w14:textId="77777777" w:rsidR="00B10F56" w:rsidRPr="00AE0D43" w:rsidRDefault="00B10F56" w:rsidP="00B10F56">
      <w:pPr>
        <w:pStyle w:val="Heading4"/>
      </w:pPr>
      <w:r w:rsidRPr="00B36A25">
        <w:t>Indicator 2: Weight management: referral for bariatric surgery</w:t>
      </w:r>
    </w:p>
    <w:p w14:paraId="33F81C5D" w14:textId="72456C47" w:rsidR="00D10739" w:rsidRDefault="005B697D" w:rsidP="00F3360E">
      <w:pPr>
        <w:pStyle w:val="Heading6"/>
        <w:spacing w:line="360" w:lineRule="auto"/>
        <w:rPr>
          <w:i w:val="0"/>
          <w:iCs w:val="0"/>
        </w:rPr>
      </w:pPr>
      <w:r>
        <w:rPr>
          <w:i w:val="0"/>
          <w:iCs w:val="0"/>
        </w:rPr>
        <w:t xml:space="preserve">For </w:t>
      </w:r>
      <w:r w:rsidR="00C27E0D">
        <w:rPr>
          <w:i w:val="0"/>
          <w:iCs w:val="0"/>
        </w:rPr>
        <w:t>this indicator, which had been</w:t>
      </w:r>
      <w:r>
        <w:rPr>
          <w:i w:val="0"/>
          <w:iCs w:val="0"/>
        </w:rPr>
        <w:t xml:space="preserve"> proposed at either a network- or a system-level, initial feedback was predominantly negative, and focussed on lack of services</w:t>
      </w:r>
      <w:r w:rsidR="002041D0">
        <w:rPr>
          <w:i w:val="0"/>
          <w:iCs w:val="0"/>
        </w:rPr>
        <w:t xml:space="preserve"> in local areas,</w:t>
      </w:r>
      <w:r w:rsidR="00475BC7">
        <w:rPr>
          <w:i w:val="0"/>
          <w:iCs w:val="0"/>
        </w:rPr>
        <w:t xml:space="preserve"> restrictions in </w:t>
      </w:r>
      <w:r w:rsidR="00475BC7" w:rsidRPr="00EC7FBB">
        <w:rPr>
          <w:i w:val="0"/>
          <w:iCs w:val="0"/>
        </w:rPr>
        <w:t xml:space="preserve">accessing any services that were available (see </w:t>
      </w:r>
      <w:r w:rsidR="00E70AF6">
        <w:rPr>
          <w:i w:val="0"/>
          <w:iCs w:val="0"/>
        </w:rPr>
        <w:t xml:space="preserve">report </w:t>
      </w:r>
      <w:r w:rsidR="00475BC7" w:rsidRPr="00EC7FBB">
        <w:rPr>
          <w:i w:val="0"/>
          <w:iCs w:val="0"/>
        </w:rPr>
        <w:t>section 6.3.2 for detail),</w:t>
      </w:r>
      <w:r w:rsidR="002041D0" w:rsidRPr="00EC7FBB">
        <w:rPr>
          <w:i w:val="0"/>
          <w:iCs w:val="0"/>
        </w:rPr>
        <w:t xml:space="preserve"> as well as a</w:t>
      </w:r>
      <w:r w:rsidR="002041D0">
        <w:rPr>
          <w:i w:val="0"/>
          <w:iCs w:val="0"/>
        </w:rPr>
        <w:t xml:space="preserve"> perception that access to services varies across the country. </w:t>
      </w:r>
    </w:p>
    <w:p w14:paraId="0FB65A80" w14:textId="26B2A245" w:rsidR="00AC2A58" w:rsidRDefault="00AC2A58" w:rsidP="00AC2A58">
      <w:pPr>
        <w:spacing w:after="0"/>
      </w:pPr>
      <w:r w:rsidRPr="00AC2A58">
        <w:t xml:space="preserve">One </w:t>
      </w:r>
      <w:r>
        <w:t xml:space="preserve">GP </w:t>
      </w:r>
      <w:r w:rsidR="002C41ED">
        <w:t>had ethical concerns about the intervention:</w:t>
      </w:r>
    </w:p>
    <w:p w14:paraId="13C69A9E" w14:textId="2E07EF1C" w:rsidR="00AC2A58" w:rsidRPr="00AC2A58" w:rsidRDefault="00BA1D66" w:rsidP="00BA1D66">
      <w:pPr>
        <w:spacing w:line="312" w:lineRule="auto"/>
        <w:rPr>
          <w:i/>
          <w:iCs/>
        </w:rPr>
      </w:pPr>
      <w:r>
        <w:rPr>
          <w:i/>
          <w:iCs/>
        </w:rPr>
        <w:lastRenderedPageBreak/>
        <w:t>“</w:t>
      </w:r>
      <w:r w:rsidR="00AC2A58" w:rsidRPr="00AC2A58">
        <w:rPr>
          <w:i/>
          <w:iCs/>
        </w:rPr>
        <w:t xml:space="preserve">I am actually slightly horrified at the concept that a 19-year-old who's morbidly obese that that's an immediate conclusion. That person should be looking at bariatric surgery, […] that's the answer […] you're 19, you're this obese. Well, off you go. You're looking at surgery. That's what should happen to you next. That's really difficult.” </w:t>
      </w:r>
      <w:r w:rsidR="00AC2A58" w:rsidRPr="004C4645">
        <w:rPr>
          <w:i/>
          <w:iCs/>
        </w:rPr>
        <w:t>[GP, interview]</w:t>
      </w:r>
      <w:r w:rsidR="002C41ED">
        <w:rPr>
          <w:i/>
          <w:iCs/>
        </w:rPr>
        <w:br/>
      </w:r>
    </w:p>
    <w:p w14:paraId="06DCED08" w14:textId="77777777" w:rsidR="00B10F56" w:rsidRPr="00EA6625" w:rsidRDefault="00B10F56" w:rsidP="00B10F56">
      <w:pPr>
        <w:pStyle w:val="Heading4"/>
      </w:pPr>
      <w:r w:rsidRPr="00EA6625">
        <w:t>Indicators 3 and 4: Weight management: nutritional status monitoring in primary care after bariatric surgery</w:t>
      </w:r>
    </w:p>
    <w:p w14:paraId="007D91A6" w14:textId="45EA13A8" w:rsidR="003F1487" w:rsidRDefault="00C27E0D" w:rsidP="003F1487">
      <w:pPr>
        <w:spacing w:after="0"/>
      </w:pPr>
      <w:r>
        <w:t>I</w:t>
      </w:r>
      <w:r w:rsidR="00D10739">
        <w:t xml:space="preserve">nitial feedback </w:t>
      </w:r>
      <w:r>
        <w:t>for these</w:t>
      </w:r>
      <w:r w:rsidR="00B10F56">
        <w:t xml:space="preserve"> indicators</w:t>
      </w:r>
      <w:r>
        <w:t xml:space="preserve"> </w:t>
      </w:r>
      <w:r w:rsidR="00D10739">
        <w:t xml:space="preserve">was also predominantly negative, with </w:t>
      </w:r>
      <w:r w:rsidR="000A7056">
        <w:t>four</w:t>
      </w:r>
      <w:r w:rsidR="00D10739">
        <w:t xml:space="preserve"> practices suggesting they do this work already (although later feedback suggested </w:t>
      </w:r>
      <w:r w:rsidR="000A7056">
        <w:t>some</w:t>
      </w:r>
      <w:r w:rsidR="00D10739">
        <w:t xml:space="preserve"> focused only on blood tests for these patients rather than a more comprehensive review), and others suggesting that GPs (and/or primary care) are not best placed to deliver this work</w:t>
      </w:r>
      <w:r w:rsidR="009829E5">
        <w:t xml:space="preserve"> (see 4.3.5</w:t>
      </w:r>
      <w:r w:rsidR="00BA1D66">
        <w:t xml:space="preserve"> for more detail</w:t>
      </w:r>
      <w:r w:rsidR="009829E5">
        <w:t>)</w:t>
      </w:r>
      <w:r w:rsidR="008572EA">
        <w:t>.</w:t>
      </w:r>
    </w:p>
    <w:p w14:paraId="0324326B" w14:textId="77777777" w:rsidR="00361D93" w:rsidRDefault="00361D93" w:rsidP="008572EA">
      <w:pPr>
        <w:pStyle w:val="Heading3"/>
        <w:numPr>
          <w:ilvl w:val="0"/>
          <w:numId w:val="0"/>
        </w:numPr>
        <w:spacing w:before="480" w:after="0"/>
      </w:pPr>
      <w:r>
        <w:t>Indicator-level feedback</w:t>
      </w:r>
    </w:p>
    <w:p w14:paraId="567345A8" w14:textId="2F276446" w:rsidR="0083531C" w:rsidRDefault="0083531C" w:rsidP="00AA0981">
      <w:pPr>
        <w:pStyle w:val="Heading3"/>
      </w:pPr>
      <w:r w:rsidRPr="0083531C">
        <w:t>Quality of care</w:t>
      </w:r>
      <w:r w:rsidR="001556F6">
        <w:t xml:space="preserve"> </w:t>
      </w:r>
    </w:p>
    <w:p w14:paraId="63E13CCA" w14:textId="5F8D0423" w:rsidR="006525AE" w:rsidRDefault="006525AE" w:rsidP="006525AE">
      <w:r>
        <w:t>There were mixed views on the potential impact of these indicators on the quality of care for patients</w:t>
      </w:r>
      <w:r w:rsidR="00BA1D66">
        <w:t xml:space="preserve"> (Table 1)</w:t>
      </w:r>
      <w:r>
        <w:t>, with 45.6% (26/57)</w:t>
      </w:r>
      <w:r w:rsidR="00BA1D66">
        <w:t xml:space="preserve"> of survey respondents</w:t>
      </w:r>
      <w:r>
        <w:t xml:space="preserve"> believing </w:t>
      </w:r>
      <w:r w:rsidR="00274DB9">
        <w:t>indicator 1</w:t>
      </w:r>
      <w:r>
        <w:t xml:space="preserve"> relating to </w:t>
      </w:r>
      <w:r w:rsidR="000D25AA">
        <w:t>the provision of advice to</w:t>
      </w:r>
      <w:r>
        <w:t xml:space="preserve"> adults who are overweight would improve quality of care</w:t>
      </w:r>
      <w:r w:rsidR="00492816">
        <w:t>, and t</w:t>
      </w:r>
      <w:r>
        <w:t xml:space="preserve">he same </w:t>
      </w:r>
      <w:r w:rsidR="00BA1D66">
        <w:t>proportion</w:t>
      </w:r>
      <w:r>
        <w:t xml:space="preserve"> </w:t>
      </w:r>
      <w:r w:rsidR="00492816">
        <w:t>suggesting</w:t>
      </w:r>
      <w:r>
        <w:t xml:space="preserve"> there would be no change. More than six in ten (61.4%, 35/57) felt </w:t>
      </w:r>
      <w:r w:rsidR="00274DB9">
        <w:t>indicator 2,</w:t>
      </w:r>
      <w:r>
        <w:t xml:space="preserve"> relating to the offer of a referral for bariatric surgery assessment for patients with severe obesity</w:t>
      </w:r>
      <w:r w:rsidR="00274DB9">
        <w:t>,</w:t>
      </w:r>
      <w:r>
        <w:t xml:space="preserve"> would improve quality of care</w:t>
      </w:r>
      <w:r w:rsidR="00492816">
        <w:t>.</w:t>
      </w:r>
    </w:p>
    <w:p w14:paraId="22839676" w14:textId="22719D12" w:rsidR="001F41ED" w:rsidRDefault="00274DB9" w:rsidP="00492816">
      <w:r>
        <w:t>I</w:t>
      </w:r>
      <w:r w:rsidR="006525AE">
        <w:t xml:space="preserve">ndicators </w:t>
      </w:r>
      <w:r>
        <w:t xml:space="preserve">3 and 4 </w:t>
      </w:r>
      <w:r w:rsidR="00BA1D66">
        <w:t>focused on m</w:t>
      </w:r>
      <w:r w:rsidR="006525AE">
        <w:t xml:space="preserve">onitoring </w:t>
      </w:r>
      <w:r w:rsidR="001F41ED">
        <w:t>of patients after bariatric surgery in primary care</w:t>
      </w:r>
      <w:r w:rsidR="00492816">
        <w:t xml:space="preserve">, with indicator 3 relating to ongoing monitoring for all patients and indicator 4 </w:t>
      </w:r>
      <w:r w:rsidR="00BA1D66">
        <w:t xml:space="preserve">specifically </w:t>
      </w:r>
      <w:r w:rsidR="00492816">
        <w:t>relating to the initial monitoring appointment</w:t>
      </w:r>
      <w:r w:rsidR="00BA1D66">
        <w:t xml:space="preserve"> in primary care, following discharge from the bariatric surgery service</w:t>
      </w:r>
      <w:r w:rsidR="00492816">
        <w:t xml:space="preserve">. </w:t>
      </w:r>
      <w:r w:rsidR="0082649E">
        <w:t>Slightly m</w:t>
      </w:r>
      <w:r w:rsidR="000A7056" w:rsidRPr="000A7056">
        <w:t xml:space="preserve">ore than half of respondents thought these indicators would </w:t>
      </w:r>
      <w:r w:rsidR="000A7056">
        <w:t>improve quality of care.</w:t>
      </w:r>
      <w:r w:rsidR="000A7056" w:rsidRPr="000A7056">
        <w:t xml:space="preserve"> (56.1%, 35/57 for indicator </w:t>
      </w:r>
      <w:r w:rsidR="008572EA">
        <w:t>3</w:t>
      </w:r>
      <w:r w:rsidR="000A7056" w:rsidRPr="000A7056">
        <w:t xml:space="preserve"> and 50.9%, 29/57 for indicator </w:t>
      </w:r>
      <w:r w:rsidR="008572EA">
        <w:t>4</w:t>
      </w:r>
      <w:r w:rsidR="000A7056" w:rsidRPr="000A7056">
        <w:t>).</w:t>
      </w:r>
    </w:p>
    <w:p w14:paraId="626E0CF3" w14:textId="77777777" w:rsidR="00F023A7" w:rsidRDefault="00F023A7" w:rsidP="00492816"/>
    <w:p w14:paraId="4AC208FF" w14:textId="77777777" w:rsidR="00F023A7" w:rsidRDefault="00F023A7" w:rsidP="00492816"/>
    <w:p w14:paraId="5A613180" w14:textId="14F5BEBC" w:rsidR="006525AE" w:rsidRDefault="006525AE" w:rsidP="006525AE">
      <w:pPr>
        <w:spacing w:line="240" w:lineRule="auto"/>
        <w:rPr>
          <w:u w:val="single"/>
        </w:rPr>
      </w:pPr>
      <w:r w:rsidRPr="007B0CB4">
        <w:rPr>
          <w:u w:val="single"/>
        </w:rPr>
        <w:lastRenderedPageBreak/>
        <w:t xml:space="preserve">Table 1: Views on the impact of quality of </w:t>
      </w:r>
      <w:r w:rsidR="000D25AA">
        <w:rPr>
          <w:u w:val="single"/>
        </w:rPr>
        <w:t>weight management</w:t>
      </w:r>
      <w:r w:rsidRPr="007B0CB4">
        <w:rPr>
          <w:u w:val="single"/>
        </w:rPr>
        <w:t>-related indicators (survey)</w:t>
      </w:r>
    </w:p>
    <w:p w14:paraId="5DF6ECCA" w14:textId="64E6F585" w:rsidR="00780FA2" w:rsidRPr="007B0CB4" w:rsidRDefault="00780FA2" w:rsidP="006525AE">
      <w:pPr>
        <w:spacing w:line="240" w:lineRule="auto"/>
        <w:rPr>
          <w:u w:val="single"/>
        </w:rPr>
      </w:pPr>
      <w:r w:rsidRPr="008C7154">
        <w:rPr>
          <w:b/>
          <w:sz w:val="22"/>
          <w:szCs w:val="20"/>
        </w:rPr>
        <w:t>What impact do you think the following indicators could have on the quality of care for patients?</w:t>
      </w:r>
    </w:p>
    <w:tbl>
      <w:tblPr>
        <w:tblStyle w:val="TableGrid"/>
        <w:tblW w:w="9209" w:type="dxa"/>
        <w:tblLook w:val="04A0" w:firstRow="1" w:lastRow="0" w:firstColumn="1" w:lastColumn="0" w:noHBand="0" w:noVBand="1"/>
      </w:tblPr>
      <w:tblGrid>
        <w:gridCol w:w="4815"/>
        <w:gridCol w:w="1241"/>
        <w:gridCol w:w="1169"/>
        <w:gridCol w:w="1234"/>
        <w:gridCol w:w="750"/>
      </w:tblGrid>
      <w:tr w:rsidR="006525AE" w:rsidRPr="00527BAA" w14:paraId="07519C93" w14:textId="77777777" w:rsidTr="003F740E">
        <w:tc>
          <w:tcPr>
            <w:tcW w:w="4815" w:type="dxa"/>
            <w:tcBorders>
              <w:top w:val="single" w:sz="4" w:space="0" w:color="auto"/>
              <w:left w:val="single" w:sz="4" w:space="0" w:color="auto"/>
              <w:bottom w:val="single" w:sz="4" w:space="0" w:color="auto"/>
              <w:right w:val="single" w:sz="4" w:space="0" w:color="auto"/>
            </w:tcBorders>
          </w:tcPr>
          <w:p w14:paraId="6C6F3B2F" w14:textId="77777777" w:rsidR="006525AE" w:rsidRPr="00527BAA" w:rsidRDefault="006525AE" w:rsidP="003F740E">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023E7855" w14:textId="77777777" w:rsidR="006525AE" w:rsidRPr="00527BAA" w:rsidRDefault="006525AE" w:rsidP="003F740E">
            <w:pPr>
              <w:spacing w:before="60" w:after="60" w:line="240" w:lineRule="auto"/>
              <w:jc w:val="center"/>
              <w:rPr>
                <w:sz w:val="22"/>
              </w:rPr>
            </w:pPr>
            <w:r w:rsidRPr="00527BAA">
              <w:rPr>
                <w:sz w:val="22"/>
              </w:rPr>
              <w:t>Improve</w:t>
            </w:r>
          </w:p>
        </w:tc>
        <w:tc>
          <w:tcPr>
            <w:tcW w:w="1169" w:type="dxa"/>
            <w:tcBorders>
              <w:top w:val="single" w:sz="4" w:space="0" w:color="auto"/>
              <w:left w:val="single" w:sz="4" w:space="0" w:color="auto"/>
              <w:bottom w:val="single" w:sz="4" w:space="0" w:color="auto"/>
              <w:right w:val="single" w:sz="4" w:space="0" w:color="auto"/>
            </w:tcBorders>
            <w:hideMark/>
          </w:tcPr>
          <w:p w14:paraId="319B0AE7" w14:textId="77777777" w:rsidR="006525AE" w:rsidRPr="00527BAA" w:rsidRDefault="006525AE" w:rsidP="003F740E">
            <w:pPr>
              <w:spacing w:before="60" w:after="60" w:line="240" w:lineRule="auto"/>
              <w:jc w:val="center"/>
              <w:rPr>
                <w:sz w:val="22"/>
              </w:rPr>
            </w:pPr>
            <w:r w:rsidRPr="00527BAA">
              <w:rPr>
                <w:sz w:val="22"/>
              </w:rPr>
              <w:t>No change</w:t>
            </w:r>
          </w:p>
        </w:tc>
        <w:tc>
          <w:tcPr>
            <w:tcW w:w="1234" w:type="dxa"/>
            <w:tcBorders>
              <w:top w:val="single" w:sz="4" w:space="0" w:color="auto"/>
              <w:left w:val="single" w:sz="4" w:space="0" w:color="auto"/>
              <w:bottom w:val="single" w:sz="4" w:space="0" w:color="auto"/>
              <w:right w:val="single" w:sz="4" w:space="0" w:color="auto"/>
            </w:tcBorders>
            <w:hideMark/>
          </w:tcPr>
          <w:p w14:paraId="23FE1856" w14:textId="77777777" w:rsidR="006525AE" w:rsidRPr="00527BAA" w:rsidRDefault="006525AE" w:rsidP="003F740E">
            <w:pPr>
              <w:spacing w:before="60" w:after="60" w:line="240" w:lineRule="auto"/>
              <w:jc w:val="center"/>
              <w:rPr>
                <w:sz w:val="22"/>
              </w:rPr>
            </w:pPr>
            <w:r w:rsidRPr="00527BAA">
              <w:rPr>
                <w:sz w:val="22"/>
              </w:rPr>
              <w:t>Worsen</w:t>
            </w:r>
          </w:p>
        </w:tc>
        <w:tc>
          <w:tcPr>
            <w:tcW w:w="750" w:type="dxa"/>
            <w:tcBorders>
              <w:top w:val="single" w:sz="4" w:space="0" w:color="auto"/>
              <w:left w:val="single" w:sz="4" w:space="0" w:color="auto"/>
              <w:bottom w:val="single" w:sz="4" w:space="0" w:color="auto"/>
              <w:right w:val="single" w:sz="4" w:space="0" w:color="auto"/>
            </w:tcBorders>
            <w:hideMark/>
          </w:tcPr>
          <w:p w14:paraId="65F8729B" w14:textId="77777777" w:rsidR="006525AE" w:rsidRPr="00527BAA" w:rsidRDefault="006525AE" w:rsidP="003F740E">
            <w:pPr>
              <w:spacing w:before="60" w:after="60" w:line="240" w:lineRule="auto"/>
              <w:jc w:val="center"/>
              <w:rPr>
                <w:sz w:val="22"/>
              </w:rPr>
            </w:pPr>
            <w:r w:rsidRPr="00527BAA">
              <w:rPr>
                <w:sz w:val="22"/>
              </w:rPr>
              <w:t>Total</w:t>
            </w:r>
          </w:p>
        </w:tc>
      </w:tr>
      <w:tr w:rsidR="000D25AA" w:rsidRPr="00527BAA" w14:paraId="70874AFA" w14:textId="77777777" w:rsidTr="003F740E">
        <w:tc>
          <w:tcPr>
            <w:tcW w:w="4815" w:type="dxa"/>
            <w:tcBorders>
              <w:top w:val="single" w:sz="4" w:space="0" w:color="auto"/>
              <w:left w:val="single" w:sz="4" w:space="0" w:color="auto"/>
              <w:bottom w:val="single" w:sz="4" w:space="0" w:color="auto"/>
              <w:right w:val="single" w:sz="4" w:space="0" w:color="auto"/>
            </w:tcBorders>
            <w:hideMark/>
          </w:tcPr>
          <w:p w14:paraId="60F054F8" w14:textId="2809B164" w:rsidR="000D25AA" w:rsidRPr="00527BAA" w:rsidRDefault="000D25AA" w:rsidP="000D25AA">
            <w:pPr>
              <w:spacing w:before="60" w:after="60" w:line="240" w:lineRule="auto"/>
              <w:rPr>
                <w:sz w:val="22"/>
              </w:rPr>
            </w:pPr>
            <w:r w:rsidRPr="00527BAA">
              <w:rPr>
                <w:sz w:val="22"/>
              </w:rPr>
              <w:t>Indicator 1: Weight management advice</w:t>
            </w:r>
          </w:p>
        </w:tc>
        <w:tc>
          <w:tcPr>
            <w:tcW w:w="1241" w:type="dxa"/>
            <w:tcBorders>
              <w:top w:val="single" w:sz="4" w:space="0" w:color="auto"/>
              <w:left w:val="single" w:sz="4" w:space="0" w:color="auto"/>
              <w:bottom w:val="single" w:sz="4" w:space="0" w:color="auto"/>
              <w:right w:val="single" w:sz="4" w:space="0" w:color="auto"/>
            </w:tcBorders>
            <w:hideMark/>
          </w:tcPr>
          <w:p w14:paraId="6DCEED6C" w14:textId="77777777" w:rsidR="000D25AA" w:rsidRPr="00527BAA" w:rsidRDefault="000D25AA" w:rsidP="000D25AA">
            <w:pPr>
              <w:spacing w:before="60" w:after="60" w:line="240" w:lineRule="auto"/>
              <w:jc w:val="center"/>
              <w:rPr>
                <w:sz w:val="22"/>
              </w:rPr>
            </w:pPr>
            <w:r w:rsidRPr="00527BAA">
              <w:rPr>
                <w:sz w:val="22"/>
              </w:rPr>
              <w:t>26</w:t>
            </w:r>
          </w:p>
          <w:p w14:paraId="7EF89651" w14:textId="296A560C" w:rsidR="000D25AA" w:rsidRPr="00527BAA" w:rsidRDefault="000D25AA" w:rsidP="000D25AA">
            <w:pPr>
              <w:spacing w:before="60" w:after="60" w:line="240" w:lineRule="auto"/>
              <w:jc w:val="center"/>
              <w:rPr>
                <w:sz w:val="22"/>
              </w:rPr>
            </w:pPr>
            <w:r w:rsidRPr="00527BAA">
              <w:rPr>
                <w:sz w:val="22"/>
              </w:rPr>
              <w:t>(</w:t>
            </w:r>
            <w:r w:rsidR="00915ED9" w:rsidRPr="00527BAA">
              <w:rPr>
                <w:sz w:val="22"/>
              </w:rPr>
              <w:t>45.6</w:t>
            </w:r>
            <w:r w:rsidRPr="00527BAA">
              <w:rPr>
                <w:sz w:val="22"/>
              </w:rPr>
              <w:t>%)</w:t>
            </w:r>
          </w:p>
        </w:tc>
        <w:tc>
          <w:tcPr>
            <w:tcW w:w="1169" w:type="dxa"/>
            <w:tcBorders>
              <w:top w:val="single" w:sz="4" w:space="0" w:color="auto"/>
              <w:left w:val="single" w:sz="4" w:space="0" w:color="auto"/>
              <w:bottom w:val="single" w:sz="4" w:space="0" w:color="auto"/>
              <w:right w:val="single" w:sz="4" w:space="0" w:color="auto"/>
            </w:tcBorders>
            <w:hideMark/>
          </w:tcPr>
          <w:p w14:paraId="527FEB5A" w14:textId="77777777" w:rsidR="000D25AA" w:rsidRPr="00527BAA" w:rsidRDefault="000D25AA" w:rsidP="000D25AA">
            <w:pPr>
              <w:spacing w:before="60" w:after="60" w:line="240" w:lineRule="auto"/>
              <w:jc w:val="center"/>
              <w:rPr>
                <w:sz w:val="22"/>
              </w:rPr>
            </w:pPr>
            <w:r w:rsidRPr="00527BAA">
              <w:rPr>
                <w:sz w:val="22"/>
              </w:rPr>
              <w:t>26</w:t>
            </w:r>
          </w:p>
          <w:p w14:paraId="4E7325AF" w14:textId="172CC255" w:rsidR="000D25AA" w:rsidRPr="00527BAA" w:rsidRDefault="000D25AA" w:rsidP="000D25AA">
            <w:pPr>
              <w:spacing w:before="60" w:after="60" w:line="240" w:lineRule="auto"/>
              <w:jc w:val="center"/>
              <w:rPr>
                <w:sz w:val="22"/>
              </w:rPr>
            </w:pPr>
            <w:r w:rsidRPr="00527BAA">
              <w:rPr>
                <w:sz w:val="22"/>
              </w:rPr>
              <w:t>(</w:t>
            </w:r>
            <w:r w:rsidR="00915ED9" w:rsidRPr="00527BAA">
              <w:rPr>
                <w:sz w:val="22"/>
              </w:rPr>
              <w:t>45.6</w:t>
            </w:r>
            <w:r w:rsidRPr="00527BAA">
              <w:rPr>
                <w:sz w:val="22"/>
              </w:rPr>
              <w:t>%)</w:t>
            </w:r>
          </w:p>
        </w:tc>
        <w:tc>
          <w:tcPr>
            <w:tcW w:w="1234" w:type="dxa"/>
            <w:tcBorders>
              <w:top w:val="single" w:sz="4" w:space="0" w:color="auto"/>
              <w:left w:val="single" w:sz="4" w:space="0" w:color="auto"/>
              <w:bottom w:val="single" w:sz="4" w:space="0" w:color="auto"/>
              <w:right w:val="single" w:sz="4" w:space="0" w:color="auto"/>
            </w:tcBorders>
            <w:hideMark/>
          </w:tcPr>
          <w:p w14:paraId="693CB0BD" w14:textId="77777777" w:rsidR="000D25AA" w:rsidRPr="00527BAA" w:rsidRDefault="000D25AA" w:rsidP="000D25AA">
            <w:pPr>
              <w:spacing w:before="60" w:after="60" w:line="240" w:lineRule="auto"/>
              <w:jc w:val="center"/>
              <w:rPr>
                <w:sz w:val="22"/>
              </w:rPr>
            </w:pPr>
            <w:r w:rsidRPr="00527BAA">
              <w:rPr>
                <w:sz w:val="22"/>
              </w:rPr>
              <w:t>5</w:t>
            </w:r>
          </w:p>
          <w:p w14:paraId="7A7ACC72" w14:textId="12092F5C" w:rsidR="000D25AA" w:rsidRPr="00527BAA" w:rsidRDefault="000D25AA" w:rsidP="000D25AA">
            <w:pPr>
              <w:spacing w:before="60" w:after="60" w:line="240" w:lineRule="auto"/>
              <w:jc w:val="center"/>
              <w:rPr>
                <w:sz w:val="22"/>
              </w:rPr>
            </w:pPr>
            <w:r w:rsidRPr="00527BAA">
              <w:rPr>
                <w:sz w:val="22"/>
              </w:rPr>
              <w:t>(</w:t>
            </w:r>
            <w:r w:rsidR="00915ED9" w:rsidRPr="00527BAA">
              <w:rPr>
                <w:sz w:val="22"/>
              </w:rPr>
              <w:t>8.8</w:t>
            </w:r>
            <w:r w:rsidRPr="00527BAA">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54021FB5" w14:textId="2262741D" w:rsidR="000D25AA" w:rsidRPr="00527BAA" w:rsidRDefault="00915ED9" w:rsidP="000D25AA">
            <w:pPr>
              <w:spacing w:before="60" w:after="60" w:line="240" w:lineRule="auto"/>
              <w:jc w:val="center"/>
              <w:rPr>
                <w:sz w:val="22"/>
              </w:rPr>
            </w:pPr>
            <w:r w:rsidRPr="00527BAA">
              <w:rPr>
                <w:sz w:val="22"/>
              </w:rPr>
              <w:t>57</w:t>
            </w:r>
          </w:p>
        </w:tc>
      </w:tr>
      <w:tr w:rsidR="00915ED9" w:rsidRPr="00527BAA" w14:paraId="514944FF" w14:textId="77777777" w:rsidTr="003F740E">
        <w:tc>
          <w:tcPr>
            <w:tcW w:w="4815" w:type="dxa"/>
            <w:tcBorders>
              <w:top w:val="single" w:sz="4" w:space="0" w:color="auto"/>
              <w:left w:val="single" w:sz="4" w:space="0" w:color="auto"/>
              <w:bottom w:val="single" w:sz="4" w:space="0" w:color="auto"/>
              <w:right w:val="single" w:sz="4" w:space="0" w:color="auto"/>
            </w:tcBorders>
            <w:hideMark/>
          </w:tcPr>
          <w:p w14:paraId="11544C10" w14:textId="3A0D8DA1" w:rsidR="00915ED9" w:rsidRPr="00527BAA" w:rsidRDefault="00915ED9" w:rsidP="00915ED9">
            <w:pPr>
              <w:spacing w:before="60" w:after="60" w:line="240" w:lineRule="auto"/>
              <w:rPr>
                <w:sz w:val="22"/>
              </w:rPr>
            </w:pPr>
            <w:r w:rsidRPr="00527BAA">
              <w:rPr>
                <w:sz w:val="22"/>
              </w:rPr>
              <w:t>Indicator 2: Referral for bariatric surgery</w:t>
            </w:r>
          </w:p>
        </w:tc>
        <w:tc>
          <w:tcPr>
            <w:tcW w:w="1241" w:type="dxa"/>
            <w:tcBorders>
              <w:top w:val="single" w:sz="4" w:space="0" w:color="auto"/>
              <w:left w:val="single" w:sz="4" w:space="0" w:color="auto"/>
              <w:bottom w:val="single" w:sz="4" w:space="0" w:color="auto"/>
              <w:right w:val="single" w:sz="4" w:space="0" w:color="auto"/>
            </w:tcBorders>
            <w:hideMark/>
          </w:tcPr>
          <w:p w14:paraId="598E4E7B" w14:textId="77777777" w:rsidR="00915ED9" w:rsidRPr="00527BAA" w:rsidRDefault="00915ED9" w:rsidP="00915ED9">
            <w:pPr>
              <w:spacing w:before="60" w:after="60" w:line="240" w:lineRule="auto"/>
              <w:jc w:val="center"/>
              <w:rPr>
                <w:sz w:val="22"/>
              </w:rPr>
            </w:pPr>
            <w:r w:rsidRPr="00527BAA">
              <w:rPr>
                <w:sz w:val="22"/>
              </w:rPr>
              <w:t>35</w:t>
            </w:r>
          </w:p>
          <w:p w14:paraId="69F6C35F" w14:textId="750D1803" w:rsidR="00915ED9" w:rsidRPr="00527BAA" w:rsidRDefault="00915ED9" w:rsidP="00915ED9">
            <w:pPr>
              <w:spacing w:before="60" w:after="60" w:line="240" w:lineRule="auto"/>
              <w:jc w:val="center"/>
              <w:rPr>
                <w:sz w:val="22"/>
              </w:rPr>
            </w:pPr>
            <w:r w:rsidRPr="00527BAA">
              <w:rPr>
                <w:sz w:val="22"/>
              </w:rPr>
              <w:t>(61.4%)</w:t>
            </w:r>
          </w:p>
        </w:tc>
        <w:tc>
          <w:tcPr>
            <w:tcW w:w="1169" w:type="dxa"/>
            <w:tcBorders>
              <w:top w:val="single" w:sz="4" w:space="0" w:color="auto"/>
              <w:left w:val="single" w:sz="4" w:space="0" w:color="auto"/>
              <w:bottom w:val="single" w:sz="4" w:space="0" w:color="auto"/>
              <w:right w:val="single" w:sz="4" w:space="0" w:color="auto"/>
            </w:tcBorders>
            <w:hideMark/>
          </w:tcPr>
          <w:p w14:paraId="78EC3839" w14:textId="77777777" w:rsidR="00915ED9" w:rsidRPr="00527BAA" w:rsidRDefault="00915ED9" w:rsidP="00915ED9">
            <w:pPr>
              <w:spacing w:before="60" w:after="60" w:line="240" w:lineRule="auto"/>
              <w:jc w:val="center"/>
              <w:rPr>
                <w:sz w:val="22"/>
              </w:rPr>
            </w:pPr>
            <w:r w:rsidRPr="00527BAA">
              <w:rPr>
                <w:sz w:val="22"/>
              </w:rPr>
              <w:t>20</w:t>
            </w:r>
          </w:p>
          <w:p w14:paraId="3AB2113E" w14:textId="4F2A3D14" w:rsidR="00915ED9" w:rsidRPr="00527BAA" w:rsidRDefault="00915ED9" w:rsidP="00915ED9">
            <w:pPr>
              <w:spacing w:before="60" w:after="60" w:line="240" w:lineRule="auto"/>
              <w:jc w:val="center"/>
              <w:rPr>
                <w:sz w:val="22"/>
              </w:rPr>
            </w:pPr>
            <w:r w:rsidRPr="00527BAA">
              <w:rPr>
                <w:sz w:val="22"/>
              </w:rPr>
              <w:t>(35.1%)</w:t>
            </w:r>
          </w:p>
        </w:tc>
        <w:tc>
          <w:tcPr>
            <w:tcW w:w="1234" w:type="dxa"/>
            <w:tcBorders>
              <w:top w:val="single" w:sz="4" w:space="0" w:color="auto"/>
              <w:left w:val="single" w:sz="4" w:space="0" w:color="auto"/>
              <w:bottom w:val="single" w:sz="4" w:space="0" w:color="auto"/>
              <w:right w:val="single" w:sz="4" w:space="0" w:color="auto"/>
            </w:tcBorders>
            <w:hideMark/>
          </w:tcPr>
          <w:p w14:paraId="42A53DF2" w14:textId="77777777" w:rsidR="00915ED9" w:rsidRPr="00527BAA" w:rsidRDefault="00915ED9" w:rsidP="00915ED9">
            <w:pPr>
              <w:spacing w:before="60" w:after="60" w:line="240" w:lineRule="auto"/>
              <w:jc w:val="center"/>
              <w:rPr>
                <w:sz w:val="22"/>
              </w:rPr>
            </w:pPr>
            <w:r w:rsidRPr="00527BAA">
              <w:rPr>
                <w:sz w:val="22"/>
              </w:rPr>
              <w:t>2</w:t>
            </w:r>
          </w:p>
          <w:p w14:paraId="75A97C2A" w14:textId="61F05D3B" w:rsidR="00915ED9" w:rsidRPr="00527BAA" w:rsidRDefault="00915ED9" w:rsidP="00915ED9">
            <w:pPr>
              <w:spacing w:before="60" w:after="60" w:line="240" w:lineRule="auto"/>
              <w:jc w:val="center"/>
              <w:rPr>
                <w:sz w:val="22"/>
              </w:rPr>
            </w:pPr>
            <w:r w:rsidRPr="00527BAA">
              <w:rPr>
                <w:sz w:val="22"/>
              </w:rPr>
              <w:t>(3.5%)</w:t>
            </w:r>
          </w:p>
        </w:tc>
        <w:tc>
          <w:tcPr>
            <w:tcW w:w="750" w:type="dxa"/>
            <w:tcBorders>
              <w:top w:val="single" w:sz="4" w:space="0" w:color="auto"/>
              <w:left w:val="single" w:sz="4" w:space="0" w:color="auto"/>
              <w:bottom w:val="single" w:sz="4" w:space="0" w:color="auto"/>
              <w:right w:val="single" w:sz="4" w:space="0" w:color="auto"/>
            </w:tcBorders>
            <w:hideMark/>
          </w:tcPr>
          <w:p w14:paraId="020D3F7D" w14:textId="19DF1EA3" w:rsidR="00915ED9" w:rsidRPr="00527BAA" w:rsidRDefault="00915ED9" w:rsidP="00915ED9">
            <w:pPr>
              <w:spacing w:before="60" w:after="60" w:line="240" w:lineRule="auto"/>
              <w:jc w:val="center"/>
              <w:rPr>
                <w:sz w:val="22"/>
              </w:rPr>
            </w:pPr>
            <w:r w:rsidRPr="00527BAA">
              <w:rPr>
                <w:sz w:val="22"/>
              </w:rPr>
              <w:t>57</w:t>
            </w:r>
          </w:p>
        </w:tc>
      </w:tr>
      <w:tr w:rsidR="00915ED9" w:rsidRPr="00527BAA" w14:paraId="4A572DC8" w14:textId="77777777" w:rsidTr="003F740E">
        <w:tc>
          <w:tcPr>
            <w:tcW w:w="4815" w:type="dxa"/>
            <w:tcBorders>
              <w:top w:val="single" w:sz="4" w:space="0" w:color="auto"/>
              <w:left w:val="single" w:sz="4" w:space="0" w:color="auto"/>
              <w:bottom w:val="single" w:sz="4" w:space="0" w:color="auto"/>
              <w:right w:val="single" w:sz="4" w:space="0" w:color="auto"/>
            </w:tcBorders>
            <w:hideMark/>
          </w:tcPr>
          <w:p w14:paraId="02E8D963" w14:textId="31EBBBFE" w:rsidR="00915ED9" w:rsidRPr="00527BAA" w:rsidRDefault="00915ED9" w:rsidP="00915ED9">
            <w:pPr>
              <w:spacing w:before="60" w:after="60" w:line="240" w:lineRule="auto"/>
              <w:rPr>
                <w:sz w:val="22"/>
              </w:rPr>
            </w:pPr>
            <w:r w:rsidRPr="00527BAA">
              <w:rPr>
                <w:sz w:val="22"/>
              </w:rPr>
              <w:t>Indicator 3: Nutritional status monitoring in primary care after bariatric surgery (all patients)</w:t>
            </w:r>
          </w:p>
        </w:tc>
        <w:tc>
          <w:tcPr>
            <w:tcW w:w="1241" w:type="dxa"/>
            <w:tcBorders>
              <w:top w:val="single" w:sz="4" w:space="0" w:color="auto"/>
              <w:left w:val="single" w:sz="4" w:space="0" w:color="auto"/>
              <w:bottom w:val="single" w:sz="4" w:space="0" w:color="auto"/>
              <w:right w:val="single" w:sz="4" w:space="0" w:color="auto"/>
            </w:tcBorders>
            <w:hideMark/>
          </w:tcPr>
          <w:p w14:paraId="30CC3AD2" w14:textId="77777777" w:rsidR="00915ED9" w:rsidRPr="00527BAA" w:rsidRDefault="00915ED9" w:rsidP="00915ED9">
            <w:pPr>
              <w:spacing w:before="60" w:after="60" w:line="240" w:lineRule="auto"/>
              <w:jc w:val="center"/>
              <w:rPr>
                <w:sz w:val="22"/>
              </w:rPr>
            </w:pPr>
            <w:r w:rsidRPr="00527BAA">
              <w:rPr>
                <w:sz w:val="22"/>
              </w:rPr>
              <w:t>32</w:t>
            </w:r>
          </w:p>
          <w:p w14:paraId="39E860EA" w14:textId="4C61BAC8" w:rsidR="00915ED9" w:rsidRPr="00527BAA" w:rsidRDefault="00915ED9" w:rsidP="00915ED9">
            <w:pPr>
              <w:spacing w:before="60" w:after="60" w:line="240" w:lineRule="auto"/>
              <w:jc w:val="center"/>
              <w:rPr>
                <w:sz w:val="22"/>
              </w:rPr>
            </w:pPr>
            <w:r w:rsidRPr="00527BAA">
              <w:rPr>
                <w:sz w:val="22"/>
              </w:rPr>
              <w:t>(56.1%)</w:t>
            </w:r>
          </w:p>
        </w:tc>
        <w:tc>
          <w:tcPr>
            <w:tcW w:w="1169" w:type="dxa"/>
            <w:tcBorders>
              <w:top w:val="single" w:sz="4" w:space="0" w:color="auto"/>
              <w:left w:val="single" w:sz="4" w:space="0" w:color="auto"/>
              <w:bottom w:val="single" w:sz="4" w:space="0" w:color="auto"/>
              <w:right w:val="single" w:sz="4" w:space="0" w:color="auto"/>
            </w:tcBorders>
            <w:hideMark/>
          </w:tcPr>
          <w:p w14:paraId="1CF53631" w14:textId="77777777" w:rsidR="00915ED9" w:rsidRPr="00527BAA" w:rsidRDefault="00915ED9" w:rsidP="00915ED9">
            <w:pPr>
              <w:spacing w:before="60" w:after="60" w:line="240" w:lineRule="auto"/>
              <w:jc w:val="center"/>
              <w:rPr>
                <w:sz w:val="22"/>
              </w:rPr>
            </w:pPr>
            <w:r w:rsidRPr="00527BAA">
              <w:rPr>
                <w:sz w:val="22"/>
              </w:rPr>
              <w:t>20</w:t>
            </w:r>
          </w:p>
          <w:p w14:paraId="22DAC276" w14:textId="581F1376" w:rsidR="00915ED9" w:rsidRPr="00527BAA" w:rsidRDefault="00915ED9" w:rsidP="00915ED9">
            <w:pPr>
              <w:spacing w:before="60" w:after="60" w:line="240" w:lineRule="auto"/>
              <w:jc w:val="center"/>
              <w:rPr>
                <w:sz w:val="22"/>
              </w:rPr>
            </w:pPr>
            <w:r w:rsidRPr="00527BAA">
              <w:rPr>
                <w:sz w:val="22"/>
              </w:rPr>
              <w:t>(35.1%)</w:t>
            </w:r>
          </w:p>
        </w:tc>
        <w:tc>
          <w:tcPr>
            <w:tcW w:w="1234" w:type="dxa"/>
            <w:tcBorders>
              <w:top w:val="single" w:sz="4" w:space="0" w:color="auto"/>
              <w:left w:val="single" w:sz="4" w:space="0" w:color="auto"/>
              <w:bottom w:val="single" w:sz="4" w:space="0" w:color="auto"/>
              <w:right w:val="single" w:sz="4" w:space="0" w:color="auto"/>
            </w:tcBorders>
            <w:hideMark/>
          </w:tcPr>
          <w:p w14:paraId="7AAEB73A" w14:textId="77777777" w:rsidR="00915ED9" w:rsidRPr="00527BAA" w:rsidRDefault="00915ED9" w:rsidP="00915ED9">
            <w:pPr>
              <w:spacing w:before="60" w:after="60" w:line="240" w:lineRule="auto"/>
              <w:jc w:val="center"/>
              <w:rPr>
                <w:sz w:val="22"/>
              </w:rPr>
            </w:pPr>
            <w:r w:rsidRPr="00527BAA">
              <w:rPr>
                <w:sz w:val="22"/>
              </w:rPr>
              <w:t>5</w:t>
            </w:r>
          </w:p>
          <w:p w14:paraId="14EB2ACC" w14:textId="290BF505" w:rsidR="00915ED9" w:rsidRPr="00527BAA" w:rsidRDefault="00915ED9" w:rsidP="00915ED9">
            <w:pPr>
              <w:spacing w:before="60" w:after="60" w:line="240" w:lineRule="auto"/>
              <w:jc w:val="center"/>
              <w:rPr>
                <w:sz w:val="22"/>
              </w:rPr>
            </w:pPr>
            <w:r w:rsidRPr="00527BAA">
              <w:rPr>
                <w:sz w:val="22"/>
              </w:rPr>
              <w:t>(</w:t>
            </w:r>
            <w:r w:rsidR="006F5F3C">
              <w:rPr>
                <w:sz w:val="22"/>
              </w:rPr>
              <w:t>8.8</w:t>
            </w:r>
            <w:r w:rsidRPr="00527BAA">
              <w:rPr>
                <w:sz w:val="22"/>
              </w:rPr>
              <w:t>%)</w:t>
            </w:r>
          </w:p>
        </w:tc>
        <w:tc>
          <w:tcPr>
            <w:tcW w:w="750" w:type="dxa"/>
            <w:tcBorders>
              <w:top w:val="single" w:sz="4" w:space="0" w:color="auto"/>
              <w:left w:val="single" w:sz="4" w:space="0" w:color="auto"/>
              <w:bottom w:val="single" w:sz="4" w:space="0" w:color="auto"/>
              <w:right w:val="single" w:sz="4" w:space="0" w:color="auto"/>
            </w:tcBorders>
            <w:hideMark/>
          </w:tcPr>
          <w:p w14:paraId="1CD59F91" w14:textId="31209224" w:rsidR="00915ED9" w:rsidRPr="00527BAA" w:rsidRDefault="00915ED9" w:rsidP="00915ED9">
            <w:pPr>
              <w:spacing w:before="60" w:after="60" w:line="240" w:lineRule="auto"/>
              <w:jc w:val="center"/>
              <w:rPr>
                <w:sz w:val="22"/>
              </w:rPr>
            </w:pPr>
            <w:r w:rsidRPr="00527BAA">
              <w:rPr>
                <w:sz w:val="22"/>
              </w:rPr>
              <w:t>57</w:t>
            </w:r>
          </w:p>
        </w:tc>
      </w:tr>
      <w:tr w:rsidR="00915ED9" w:rsidRPr="00527BAA" w14:paraId="7C00D910" w14:textId="77777777" w:rsidTr="003F740E">
        <w:tc>
          <w:tcPr>
            <w:tcW w:w="4815" w:type="dxa"/>
            <w:tcBorders>
              <w:top w:val="single" w:sz="4" w:space="0" w:color="auto"/>
              <w:left w:val="single" w:sz="4" w:space="0" w:color="auto"/>
              <w:bottom w:val="single" w:sz="4" w:space="0" w:color="auto"/>
              <w:right w:val="single" w:sz="4" w:space="0" w:color="auto"/>
            </w:tcBorders>
            <w:hideMark/>
          </w:tcPr>
          <w:p w14:paraId="0D841CAA" w14:textId="7EFF11A5" w:rsidR="00915ED9" w:rsidRPr="00527BAA" w:rsidRDefault="00915ED9" w:rsidP="00915ED9">
            <w:pPr>
              <w:spacing w:before="60" w:after="60" w:line="240" w:lineRule="auto"/>
              <w:rPr>
                <w:sz w:val="22"/>
              </w:rPr>
            </w:pPr>
            <w:r w:rsidRPr="00527BAA">
              <w:rPr>
                <w:sz w:val="22"/>
              </w:rPr>
              <w:t>Indicator 4: Nutritional status monitoring in primary care after bariatric surgery (new patients)</w:t>
            </w:r>
          </w:p>
        </w:tc>
        <w:tc>
          <w:tcPr>
            <w:tcW w:w="1241" w:type="dxa"/>
            <w:tcBorders>
              <w:top w:val="single" w:sz="4" w:space="0" w:color="auto"/>
              <w:left w:val="single" w:sz="4" w:space="0" w:color="auto"/>
              <w:bottom w:val="single" w:sz="4" w:space="0" w:color="auto"/>
              <w:right w:val="single" w:sz="4" w:space="0" w:color="auto"/>
            </w:tcBorders>
            <w:hideMark/>
          </w:tcPr>
          <w:p w14:paraId="6AA001E0" w14:textId="77777777" w:rsidR="00915ED9" w:rsidRPr="00527BAA" w:rsidRDefault="00915ED9" w:rsidP="00915ED9">
            <w:pPr>
              <w:spacing w:before="60" w:after="60" w:line="240" w:lineRule="auto"/>
              <w:jc w:val="center"/>
              <w:rPr>
                <w:sz w:val="22"/>
              </w:rPr>
            </w:pPr>
            <w:r w:rsidRPr="00527BAA">
              <w:rPr>
                <w:sz w:val="22"/>
              </w:rPr>
              <w:t>29</w:t>
            </w:r>
          </w:p>
          <w:p w14:paraId="204C526B" w14:textId="447B74BD" w:rsidR="00915ED9" w:rsidRPr="00527BAA" w:rsidRDefault="00915ED9" w:rsidP="00915ED9">
            <w:pPr>
              <w:spacing w:before="60" w:after="60" w:line="240" w:lineRule="auto"/>
              <w:jc w:val="center"/>
              <w:rPr>
                <w:sz w:val="22"/>
              </w:rPr>
            </w:pPr>
            <w:r w:rsidRPr="00527BAA">
              <w:rPr>
                <w:sz w:val="22"/>
              </w:rPr>
              <w:t>(50.9%)</w:t>
            </w:r>
          </w:p>
        </w:tc>
        <w:tc>
          <w:tcPr>
            <w:tcW w:w="1169" w:type="dxa"/>
            <w:tcBorders>
              <w:top w:val="single" w:sz="4" w:space="0" w:color="auto"/>
              <w:left w:val="single" w:sz="4" w:space="0" w:color="auto"/>
              <w:bottom w:val="single" w:sz="4" w:space="0" w:color="auto"/>
              <w:right w:val="single" w:sz="4" w:space="0" w:color="auto"/>
            </w:tcBorders>
            <w:hideMark/>
          </w:tcPr>
          <w:p w14:paraId="0544D736" w14:textId="77777777" w:rsidR="00915ED9" w:rsidRPr="00527BAA" w:rsidRDefault="00915ED9" w:rsidP="00915ED9">
            <w:pPr>
              <w:spacing w:before="60" w:after="60" w:line="240" w:lineRule="auto"/>
              <w:jc w:val="center"/>
              <w:rPr>
                <w:sz w:val="22"/>
              </w:rPr>
            </w:pPr>
            <w:r w:rsidRPr="00527BAA">
              <w:rPr>
                <w:sz w:val="22"/>
              </w:rPr>
              <w:t>24</w:t>
            </w:r>
          </w:p>
          <w:p w14:paraId="2B02903D" w14:textId="28EE3B81" w:rsidR="00915ED9" w:rsidRPr="00527BAA" w:rsidRDefault="00915ED9" w:rsidP="00915ED9">
            <w:pPr>
              <w:spacing w:before="60" w:after="60" w:line="240" w:lineRule="auto"/>
              <w:jc w:val="center"/>
              <w:rPr>
                <w:sz w:val="22"/>
              </w:rPr>
            </w:pPr>
            <w:r w:rsidRPr="00527BAA">
              <w:rPr>
                <w:sz w:val="22"/>
              </w:rPr>
              <w:t>(42.1%)</w:t>
            </w:r>
          </w:p>
        </w:tc>
        <w:tc>
          <w:tcPr>
            <w:tcW w:w="1234" w:type="dxa"/>
            <w:tcBorders>
              <w:top w:val="single" w:sz="4" w:space="0" w:color="auto"/>
              <w:left w:val="single" w:sz="4" w:space="0" w:color="auto"/>
              <w:bottom w:val="single" w:sz="4" w:space="0" w:color="auto"/>
              <w:right w:val="single" w:sz="4" w:space="0" w:color="auto"/>
            </w:tcBorders>
            <w:hideMark/>
          </w:tcPr>
          <w:p w14:paraId="64D02C2D" w14:textId="77777777" w:rsidR="00915ED9" w:rsidRPr="00527BAA" w:rsidRDefault="00915ED9" w:rsidP="00915ED9">
            <w:pPr>
              <w:spacing w:before="60" w:after="60" w:line="240" w:lineRule="auto"/>
              <w:jc w:val="center"/>
              <w:rPr>
                <w:sz w:val="22"/>
              </w:rPr>
            </w:pPr>
            <w:r w:rsidRPr="00527BAA">
              <w:rPr>
                <w:sz w:val="22"/>
              </w:rPr>
              <w:t>4</w:t>
            </w:r>
          </w:p>
          <w:p w14:paraId="4DB55752" w14:textId="532DBB24" w:rsidR="00915ED9" w:rsidRPr="00527BAA" w:rsidRDefault="00915ED9" w:rsidP="00915ED9">
            <w:pPr>
              <w:spacing w:before="60" w:after="60" w:line="240" w:lineRule="auto"/>
              <w:jc w:val="center"/>
              <w:rPr>
                <w:sz w:val="22"/>
              </w:rPr>
            </w:pPr>
            <w:r w:rsidRPr="00527BAA">
              <w:rPr>
                <w:sz w:val="22"/>
              </w:rPr>
              <w:t>(7.0%)</w:t>
            </w:r>
          </w:p>
        </w:tc>
        <w:tc>
          <w:tcPr>
            <w:tcW w:w="750" w:type="dxa"/>
            <w:tcBorders>
              <w:top w:val="single" w:sz="4" w:space="0" w:color="auto"/>
              <w:left w:val="single" w:sz="4" w:space="0" w:color="auto"/>
              <w:bottom w:val="single" w:sz="4" w:space="0" w:color="auto"/>
              <w:right w:val="single" w:sz="4" w:space="0" w:color="auto"/>
            </w:tcBorders>
            <w:hideMark/>
          </w:tcPr>
          <w:p w14:paraId="40E3BE1B" w14:textId="31E6D302" w:rsidR="00915ED9" w:rsidRPr="00527BAA" w:rsidRDefault="00915ED9" w:rsidP="00915ED9">
            <w:pPr>
              <w:spacing w:before="60" w:after="60" w:line="240" w:lineRule="auto"/>
              <w:jc w:val="center"/>
              <w:rPr>
                <w:sz w:val="22"/>
              </w:rPr>
            </w:pPr>
            <w:r w:rsidRPr="00527BAA">
              <w:rPr>
                <w:sz w:val="22"/>
              </w:rPr>
              <w:t>57</w:t>
            </w:r>
          </w:p>
        </w:tc>
      </w:tr>
    </w:tbl>
    <w:p w14:paraId="687E9A9D" w14:textId="472B6822" w:rsidR="00915ED9" w:rsidRDefault="00915ED9" w:rsidP="006525AE">
      <w:pPr>
        <w:rPr>
          <w:u w:val="single"/>
        </w:rPr>
      </w:pPr>
    </w:p>
    <w:p w14:paraId="0F5E6184" w14:textId="682849C8" w:rsidR="0048643E" w:rsidRPr="001556F6" w:rsidRDefault="005A1034" w:rsidP="00AA0981">
      <w:pPr>
        <w:pStyle w:val="Heading3"/>
      </w:pPr>
      <w:r w:rsidRPr="001556F6">
        <w:t>Value to patients</w:t>
      </w:r>
    </w:p>
    <w:p w14:paraId="6CD15777" w14:textId="043AC81A" w:rsidR="000A7056" w:rsidRDefault="006A0E9A" w:rsidP="006A0E9A">
      <w:r>
        <w:t>There were also mixed views on whether the indicators represented issues that are important to patients, families, and carers</w:t>
      </w:r>
      <w:r w:rsidR="00BA1D66">
        <w:t xml:space="preserve"> (Table 2)</w:t>
      </w:r>
      <w:r>
        <w:t>, with</w:t>
      </w:r>
      <w:r w:rsidR="000A7056">
        <w:t xml:space="preserve"> similar proportions feeling that indicator 1 does represent an issue that is important to patients, families, and carers compared with those who think it does not (36.8%, 21/57 responding that it did and 38.6%, 22/57</w:t>
      </w:r>
      <w:r w:rsidR="000A7056" w:rsidRPr="000A7056">
        <w:t xml:space="preserve"> </w:t>
      </w:r>
      <w:r w:rsidR="000A7056">
        <w:t>responding that it did not). 14 respondents (24.6%) were unsure.</w:t>
      </w:r>
    </w:p>
    <w:p w14:paraId="20858512" w14:textId="1C8D413A" w:rsidR="00460EEB" w:rsidRDefault="006A2E0A" w:rsidP="006A0E9A">
      <w:r>
        <w:t xml:space="preserve">For indicator 2, </w:t>
      </w:r>
      <w:r w:rsidR="00BA1D66">
        <w:t>over half of respondents (</w:t>
      </w:r>
      <w:r>
        <w:t>56.1%</w:t>
      </w:r>
      <w:r w:rsidR="00BA1D66">
        <w:t xml:space="preserve">, </w:t>
      </w:r>
      <w:r>
        <w:t xml:space="preserve">32/57) of survey respondents </w:t>
      </w:r>
      <w:r w:rsidR="00BA1D66">
        <w:t>thought that the indicator</w:t>
      </w:r>
      <w:r>
        <w:t xml:space="preserve"> represented issues that are important to patients, families, and carers, with 21.1% (12/57) saying it did not, and 22.8% (13/57) unsure. </w:t>
      </w:r>
      <w:r w:rsidR="00460EEB">
        <w:t xml:space="preserve">For indicators 3 and 4, </w:t>
      </w:r>
      <w:r>
        <w:t xml:space="preserve">49.1% (17/57) felt </w:t>
      </w:r>
      <w:r w:rsidR="00460EEB">
        <w:t>they</w:t>
      </w:r>
      <w:r>
        <w:t xml:space="preserve"> represented issues that are important to patients, families, and carers,</w:t>
      </w:r>
      <w:r w:rsidR="00460EEB">
        <w:t xml:space="preserve"> 29.8% (17/57) saying they did not, and 21.1% (12/57) </w:t>
      </w:r>
      <w:r w:rsidR="00BA1D66">
        <w:t xml:space="preserve">who were </w:t>
      </w:r>
      <w:r w:rsidR="00460EEB">
        <w:t>unsure. While the proportions in each category were the same for indicators 3 and 4 for this question, the same answers were not given for both by each respondent; there were slight differences.</w:t>
      </w:r>
    </w:p>
    <w:p w14:paraId="7C5CA4CB" w14:textId="77777777" w:rsidR="00F023A7" w:rsidRDefault="00F023A7" w:rsidP="006A0E9A"/>
    <w:p w14:paraId="4F5643E6" w14:textId="77777777" w:rsidR="00C25F7D" w:rsidRDefault="00C25F7D" w:rsidP="00E569EA">
      <w:pPr>
        <w:spacing w:before="240" w:line="240" w:lineRule="auto"/>
        <w:rPr>
          <w:u w:val="single"/>
        </w:rPr>
      </w:pPr>
    </w:p>
    <w:p w14:paraId="5A83D682" w14:textId="182144BA" w:rsidR="005A1034" w:rsidRDefault="005A1034" w:rsidP="00E569EA">
      <w:pPr>
        <w:spacing w:before="240" w:line="240" w:lineRule="auto"/>
        <w:rPr>
          <w:u w:val="single"/>
        </w:rPr>
      </w:pPr>
      <w:r w:rsidRPr="007B0CB4">
        <w:rPr>
          <w:u w:val="single"/>
        </w:rPr>
        <w:lastRenderedPageBreak/>
        <w:t xml:space="preserve">Table </w:t>
      </w:r>
      <w:r w:rsidR="00754CA6" w:rsidRPr="007B0CB4">
        <w:rPr>
          <w:u w:val="single"/>
        </w:rPr>
        <w:t>2</w:t>
      </w:r>
      <w:r w:rsidRPr="007B0CB4">
        <w:rPr>
          <w:u w:val="single"/>
        </w:rPr>
        <w:t xml:space="preserve">: </w:t>
      </w:r>
      <w:bookmarkStart w:id="15" w:name="_Hlk98859570"/>
      <w:r w:rsidRPr="007B0CB4">
        <w:rPr>
          <w:u w:val="single"/>
        </w:rPr>
        <w:t xml:space="preserve">Views on the importance of the </w:t>
      </w:r>
      <w:bookmarkEnd w:id="15"/>
      <w:r w:rsidR="00FB4C47">
        <w:rPr>
          <w:u w:val="single"/>
        </w:rPr>
        <w:t>weight management</w:t>
      </w:r>
      <w:r w:rsidR="00FB4C47" w:rsidRPr="007B0CB4">
        <w:rPr>
          <w:u w:val="single"/>
        </w:rPr>
        <w:t xml:space="preserve">-related indicators </w:t>
      </w:r>
      <w:r w:rsidRPr="007B0CB4">
        <w:rPr>
          <w:u w:val="single"/>
        </w:rPr>
        <w:t>to patients, families</w:t>
      </w:r>
      <w:r w:rsidR="00F45DA4">
        <w:rPr>
          <w:u w:val="single"/>
        </w:rPr>
        <w:t>,</w:t>
      </w:r>
      <w:r w:rsidRPr="007B0CB4">
        <w:rPr>
          <w:u w:val="single"/>
        </w:rPr>
        <w:t xml:space="preserve"> and carers (survey)</w:t>
      </w:r>
    </w:p>
    <w:p w14:paraId="7CF82C54" w14:textId="57C997A9" w:rsidR="00780FA2" w:rsidRPr="007B0CB4" w:rsidRDefault="00780FA2" w:rsidP="00780FA2">
      <w:pPr>
        <w:spacing w:line="240" w:lineRule="auto"/>
        <w:rPr>
          <w:u w:val="single"/>
        </w:rPr>
      </w:pPr>
      <w:r w:rsidRPr="008C7154">
        <w:rPr>
          <w:b/>
          <w:sz w:val="22"/>
          <w:szCs w:val="20"/>
        </w:rPr>
        <w:t>Do you think the following indicators represent an issue that is important for patients, families</w:t>
      </w:r>
      <w:r>
        <w:rPr>
          <w:b/>
          <w:sz w:val="22"/>
          <w:szCs w:val="20"/>
        </w:rPr>
        <w:t>,</w:t>
      </w:r>
      <w:r w:rsidRPr="008C7154">
        <w:rPr>
          <w:b/>
          <w:sz w:val="22"/>
          <w:szCs w:val="20"/>
        </w:rPr>
        <w:t xml:space="preserve"> and carers?</w:t>
      </w:r>
    </w:p>
    <w:tbl>
      <w:tblPr>
        <w:tblStyle w:val="TableGrid"/>
        <w:tblW w:w="9209" w:type="dxa"/>
        <w:tblLook w:val="04A0" w:firstRow="1" w:lastRow="0" w:firstColumn="1" w:lastColumn="0" w:noHBand="0" w:noVBand="1"/>
      </w:tblPr>
      <w:tblGrid>
        <w:gridCol w:w="4815"/>
        <w:gridCol w:w="1241"/>
        <w:gridCol w:w="1169"/>
        <w:gridCol w:w="1234"/>
        <w:gridCol w:w="750"/>
      </w:tblGrid>
      <w:tr w:rsidR="005A1034" w:rsidRPr="00527BAA" w14:paraId="76129A89" w14:textId="77777777" w:rsidTr="00DD28EC">
        <w:tc>
          <w:tcPr>
            <w:tcW w:w="4815" w:type="dxa"/>
            <w:tcBorders>
              <w:top w:val="single" w:sz="4" w:space="0" w:color="auto"/>
              <w:left w:val="single" w:sz="4" w:space="0" w:color="auto"/>
              <w:bottom w:val="single" w:sz="4" w:space="0" w:color="auto"/>
              <w:right w:val="single" w:sz="4" w:space="0" w:color="auto"/>
            </w:tcBorders>
          </w:tcPr>
          <w:p w14:paraId="45C6C30B" w14:textId="77777777" w:rsidR="005A1034" w:rsidRPr="00527BAA" w:rsidRDefault="005A1034" w:rsidP="00DD28EC">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75354DEA" w14:textId="77777777" w:rsidR="005A1034" w:rsidRPr="00527BAA" w:rsidRDefault="005A1034" w:rsidP="00DD28EC">
            <w:pPr>
              <w:spacing w:before="60" w:after="60" w:line="240" w:lineRule="auto"/>
              <w:jc w:val="center"/>
              <w:rPr>
                <w:sz w:val="22"/>
              </w:rPr>
            </w:pPr>
            <w:r w:rsidRPr="00527BAA">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18FB10CE" w14:textId="77777777" w:rsidR="005A1034" w:rsidRPr="00527BAA" w:rsidRDefault="005A1034" w:rsidP="00DD28EC">
            <w:pPr>
              <w:spacing w:before="60" w:after="60" w:line="240" w:lineRule="auto"/>
              <w:jc w:val="center"/>
              <w:rPr>
                <w:sz w:val="22"/>
              </w:rPr>
            </w:pPr>
            <w:r w:rsidRPr="00527BAA">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72C07FFB" w14:textId="77777777" w:rsidR="005A1034" w:rsidRPr="00527BAA" w:rsidRDefault="005A1034" w:rsidP="00DD28EC">
            <w:pPr>
              <w:spacing w:before="60" w:after="60" w:line="240" w:lineRule="auto"/>
              <w:jc w:val="center"/>
              <w:rPr>
                <w:sz w:val="22"/>
              </w:rPr>
            </w:pPr>
            <w:r w:rsidRPr="00527BAA">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5DFAB585" w14:textId="77777777" w:rsidR="005A1034" w:rsidRPr="00527BAA" w:rsidRDefault="005A1034" w:rsidP="00DD28EC">
            <w:pPr>
              <w:spacing w:before="60" w:after="60" w:line="240" w:lineRule="auto"/>
              <w:jc w:val="center"/>
              <w:rPr>
                <w:sz w:val="22"/>
              </w:rPr>
            </w:pPr>
            <w:r w:rsidRPr="00527BAA">
              <w:rPr>
                <w:sz w:val="22"/>
              </w:rPr>
              <w:t>Total</w:t>
            </w:r>
          </w:p>
        </w:tc>
      </w:tr>
      <w:tr w:rsidR="00FB4C47" w:rsidRPr="00527BAA" w14:paraId="7CEABFB8" w14:textId="77777777" w:rsidTr="000B779D">
        <w:tc>
          <w:tcPr>
            <w:tcW w:w="4815" w:type="dxa"/>
            <w:tcBorders>
              <w:top w:val="single" w:sz="4" w:space="0" w:color="auto"/>
              <w:left w:val="single" w:sz="4" w:space="0" w:color="auto"/>
              <w:bottom w:val="single" w:sz="4" w:space="0" w:color="auto"/>
              <w:right w:val="single" w:sz="4" w:space="0" w:color="auto"/>
            </w:tcBorders>
            <w:hideMark/>
          </w:tcPr>
          <w:p w14:paraId="42BF7733" w14:textId="59208872" w:rsidR="00FB4C47" w:rsidRPr="00527BAA" w:rsidRDefault="00FB4C47" w:rsidP="00FB4C47">
            <w:pPr>
              <w:spacing w:before="60" w:after="60" w:line="240" w:lineRule="auto"/>
              <w:rPr>
                <w:sz w:val="22"/>
              </w:rPr>
            </w:pPr>
            <w:r w:rsidRPr="00527BAA">
              <w:rPr>
                <w:sz w:val="22"/>
              </w:rPr>
              <w:t>Indicator 1: Weight management advice</w:t>
            </w:r>
          </w:p>
        </w:tc>
        <w:tc>
          <w:tcPr>
            <w:tcW w:w="1241" w:type="dxa"/>
            <w:tcBorders>
              <w:top w:val="single" w:sz="4" w:space="0" w:color="auto"/>
              <w:left w:val="single" w:sz="4" w:space="0" w:color="auto"/>
              <w:bottom w:val="single" w:sz="4" w:space="0" w:color="auto"/>
              <w:right w:val="single" w:sz="4" w:space="0" w:color="auto"/>
            </w:tcBorders>
            <w:vAlign w:val="bottom"/>
          </w:tcPr>
          <w:p w14:paraId="4C234D43" w14:textId="77777777" w:rsidR="00FB4C47" w:rsidRPr="00527BAA" w:rsidRDefault="00FB4C47" w:rsidP="00FB4C47">
            <w:pPr>
              <w:spacing w:before="60" w:after="60" w:line="240" w:lineRule="auto"/>
              <w:jc w:val="center"/>
              <w:rPr>
                <w:sz w:val="22"/>
              </w:rPr>
            </w:pPr>
            <w:r w:rsidRPr="00527BAA">
              <w:rPr>
                <w:sz w:val="22"/>
              </w:rPr>
              <w:t>21</w:t>
            </w:r>
          </w:p>
          <w:p w14:paraId="464CBC10" w14:textId="33BBCA69" w:rsidR="00FB4C47" w:rsidRPr="00527BAA" w:rsidRDefault="00FB4C47" w:rsidP="00FB4C47">
            <w:pPr>
              <w:spacing w:before="60" w:after="60" w:line="240" w:lineRule="auto"/>
              <w:jc w:val="center"/>
              <w:rPr>
                <w:sz w:val="22"/>
              </w:rPr>
            </w:pPr>
            <w:r w:rsidRPr="00527BAA">
              <w:rPr>
                <w:sz w:val="22"/>
              </w:rPr>
              <w:t>(36.8%)</w:t>
            </w:r>
          </w:p>
        </w:tc>
        <w:tc>
          <w:tcPr>
            <w:tcW w:w="1169" w:type="dxa"/>
            <w:tcBorders>
              <w:top w:val="single" w:sz="4" w:space="0" w:color="auto"/>
              <w:left w:val="single" w:sz="4" w:space="0" w:color="auto"/>
              <w:bottom w:val="single" w:sz="4" w:space="0" w:color="auto"/>
              <w:right w:val="single" w:sz="4" w:space="0" w:color="auto"/>
            </w:tcBorders>
            <w:vAlign w:val="bottom"/>
          </w:tcPr>
          <w:p w14:paraId="04B2BDD8" w14:textId="77777777" w:rsidR="00FB4C47" w:rsidRPr="00527BAA" w:rsidRDefault="00FB4C47" w:rsidP="00FB4C47">
            <w:pPr>
              <w:spacing w:before="60" w:after="60" w:line="240" w:lineRule="auto"/>
              <w:jc w:val="center"/>
              <w:rPr>
                <w:sz w:val="22"/>
              </w:rPr>
            </w:pPr>
            <w:r w:rsidRPr="00527BAA">
              <w:rPr>
                <w:sz w:val="22"/>
              </w:rPr>
              <w:t>22</w:t>
            </w:r>
          </w:p>
          <w:p w14:paraId="08D7982B" w14:textId="25615BB3" w:rsidR="00FB4C47" w:rsidRPr="00527BAA" w:rsidRDefault="00FB4C47" w:rsidP="00FB4C47">
            <w:pPr>
              <w:spacing w:before="60" w:after="60" w:line="240" w:lineRule="auto"/>
              <w:jc w:val="center"/>
              <w:rPr>
                <w:sz w:val="22"/>
              </w:rPr>
            </w:pPr>
            <w:r w:rsidRPr="00527BAA">
              <w:rPr>
                <w:sz w:val="22"/>
              </w:rPr>
              <w:t>(38.6%)</w:t>
            </w:r>
          </w:p>
        </w:tc>
        <w:tc>
          <w:tcPr>
            <w:tcW w:w="1234" w:type="dxa"/>
            <w:tcBorders>
              <w:top w:val="single" w:sz="4" w:space="0" w:color="auto"/>
              <w:left w:val="single" w:sz="4" w:space="0" w:color="auto"/>
              <w:bottom w:val="single" w:sz="4" w:space="0" w:color="auto"/>
              <w:right w:val="single" w:sz="4" w:space="0" w:color="auto"/>
            </w:tcBorders>
            <w:vAlign w:val="bottom"/>
          </w:tcPr>
          <w:p w14:paraId="56684B64" w14:textId="77777777" w:rsidR="00FB4C47" w:rsidRPr="00527BAA" w:rsidRDefault="00FB4C47" w:rsidP="00FB4C47">
            <w:pPr>
              <w:spacing w:before="60" w:after="60" w:line="240" w:lineRule="auto"/>
              <w:jc w:val="center"/>
              <w:rPr>
                <w:sz w:val="22"/>
              </w:rPr>
            </w:pPr>
            <w:r w:rsidRPr="00527BAA">
              <w:rPr>
                <w:sz w:val="22"/>
              </w:rPr>
              <w:t>14</w:t>
            </w:r>
          </w:p>
          <w:p w14:paraId="51F561BE" w14:textId="66B4892F" w:rsidR="00FB4C47" w:rsidRPr="00527BAA" w:rsidRDefault="00FB4C47" w:rsidP="00FB4C47">
            <w:pPr>
              <w:spacing w:before="60" w:after="60" w:line="240" w:lineRule="auto"/>
              <w:jc w:val="center"/>
              <w:rPr>
                <w:sz w:val="22"/>
              </w:rPr>
            </w:pPr>
            <w:r w:rsidRPr="00527BAA">
              <w:rPr>
                <w:sz w:val="22"/>
              </w:rPr>
              <w:t>(24.6%)</w:t>
            </w:r>
          </w:p>
        </w:tc>
        <w:tc>
          <w:tcPr>
            <w:tcW w:w="750" w:type="dxa"/>
            <w:tcBorders>
              <w:top w:val="single" w:sz="4" w:space="0" w:color="auto"/>
              <w:left w:val="single" w:sz="4" w:space="0" w:color="auto"/>
              <w:bottom w:val="single" w:sz="4" w:space="0" w:color="auto"/>
              <w:right w:val="single" w:sz="4" w:space="0" w:color="auto"/>
            </w:tcBorders>
            <w:vAlign w:val="bottom"/>
          </w:tcPr>
          <w:p w14:paraId="24CF05AD" w14:textId="77777777" w:rsidR="00FB4C47" w:rsidRPr="00527BAA" w:rsidRDefault="00FB4C47" w:rsidP="00FB4C47">
            <w:pPr>
              <w:spacing w:before="60" w:after="60" w:line="240" w:lineRule="auto"/>
              <w:jc w:val="center"/>
              <w:rPr>
                <w:sz w:val="22"/>
              </w:rPr>
            </w:pPr>
            <w:r w:rsidRPr="00527BAA">
              <w:rPr>
                <w:sz w:val="22"/>
              </w:rPr>
              <w:t>57</w:t>
            </w:r>
          </w:p>
          <w:p w14:paraId="4DB391BC" w14:textId="1CAF4034" w:rsidR="00FB4C47" w:rsidRPr="00527BAA" w:rsidRDefault="00FB4C47" w:rsidP="00FB4C47">
            <w:pPr>
              <w:spacing w:before="60" w:after="60" w:line="240" w:lineRule="auto"/>
              <w:jc w:val="center"/>
              <w:rPr>
                <w:sz w:val="22"/>
              </w:rPr>
            </w:pPr>
          </w:p>
        </w:tc>
      </w:tr>
      <w:tr w:rsidR="00FB4C47" w:rsidRPr="00527BAA" w14:paraId="0A846FEA" w14:textId="77777777" w:rsidTr="000B779D">
        <w:tc>
          <w:tcPr>
            <w:tcW w:w="4815" w:type="dxa"/>
            <w:tcBorders>
              <w:top w:val="single" w:sz="4" w:space="0" w:color="auto"/>
              <w:left w:val="single" w:sz="4" w:space="0" w:color="auto"/>
              <w:bottom w:val="single" w:sz="4" w:space="0" w:color="auto"/>
              <w:right w:val="single" w:sz="4" w:space="0" w:color="auto"/>
            </w:tcBorders>
          </w:tcPr>
          <w:p w14:paraId="02D2107A" w14:textId="501F68A3" w:rsidR="00FB4C47" w:rsidRPr="00527BAA" w:rsidRDefault="00FB4C47" w:rsidP="00FB4C47">
            <w:pPr>
              <w:spacing w:before="60" w:after="60" w:line="240" w:lineRule="auto"/>
              <w:rPr>
                <w:sz w:val="22"/>
              </w:rPr>
            </w:pPr>
            <w:r w:rsidRPr="00527BAA">
              <w:rPr>
                <w:sz w:val="22"/>
              </w:rPr>
              <w:t>Indicator 2: Referral for bariatric surgery</w:t>
            </w:r>
          </w:p>
        </w:tc>
        <w:tc>
          <w:tcPr>
            <w:tcW w:w="1241" w:type="dxa"/>
            <w:tcBorders>
              <w:top w:val="single" w:sz="4" w:space="0" w:color="auto"/>
              <w:left w:val="single" w:sz="4" w:space="0" w:color="auto"/>
              <w:bottom w:val="single" w:sz="4" w:space="0" w:color="auto"/>
              <w:right w:val="single" w:sz="4" w:space="0" w:color="auto"/>
            </w:tcBorders>
            <w:vAlign w:val="bottom"/>
          </w:tcPr>
          <w:p w14:paraId="657D3E87" w14:textId="77777777" w:rsidR="00FB4C47" w:rsidRPr="00527BAA" w:rsidRDefault="00FB4C47" w:rsidP="00FB4C47">
            <w:pPr>
              <w:spacing w:before="60" w:after="60" w:line="240" w:lineRule="auto"/>
              <w:jc w:val="center"/>
              <w:rPr>
                <w:sz w:val="22"/>
              </w:rPr>
            </w:pPr>
            <w:r w:rsidRPr="00527BAA">
              <w:rPr>
                <w:sz w:val="22"/>
              </w:rPr>
              <w:t>32</w:t>
            </w:r>
          </w:p>
          <w:p w14:paraId="4FCED563" w14:textId="5C56475D" w:rsidR="00FB4C47" w:rsidRPr="00527BAA" w:rsidRDefault="00FB4C47" w:rsidP="00FB4C47">
            <w:pPr>
              <w:spacing w:before="60" w:after="60" w:line="240" w:lineRule="auto"/>
              <w:jc w:val="center"/>
              <w:rPr>
                <w:sz w:val="22"/>
              </w:rPr>
            </w:pPr>
            <w:r w:rsidRPr="00527BAA">
              <w:rPr>
                <w:sz w:val="22"/>
              </w:rPr>
              <w:t>(56.1%)</w:t>
            </w:r>
          </w:p>
        </w:tc>
        <w:tc>
          <w:tcPr>
            <w:tcW w:w="1169" w:type="dxa"/>
            <w:tcBorders>
              <w:top w:val="single" w:sz="4" w:space="0" w:color="auto"/>
              <w:left w:val="single" w:sz="4" w:space="0" w:color="auto"/>
              <w:bottom w:val="single" w:sz="4" w:space="0" w:color="auto"/>
              <w:right w:val="single" w:sz="4" w:space="0" w:color="auto"/>
            </w:tcBorders>
            <w:vAlign w:val="bottom"/>
          </w:tcPr>
          <w:p w14:paraId="4ADE7864" w14:textId="77777777" w:rsidR="00FB4C47" w:rsidRPr="00527BAA" w:rsidRDefault="00FB4C47" w:rsidP="00FB4C47">
            <w:pPr>
              <w:spacing w:before="60" w:after="60" w:line="240" w:lineRule="auto"/>
              <w:jc w:val="center"/>
              <w:rPr>
                <w:sz w:val="22"/>
              </w:rPr>
            </w:pPr>
            <w:r w:rsidRPr="00527BAA">
              <w:rPr>
                <w:sz w:val="22"/>
              </w:rPr>
              <w:t>12</w:t>
            </w:r>
          </w:p>
          <w:p w14:paraId="4CDD123B" w14:textId="57EE1067" w:rsidR="00FB4C47" w:rsidRPr="00527BAA" w:rsidRDefault="00FB4C47" w:rsidP="00FB4C47">
            <w:pPr>
              <w:spacing w:before="60" w:after="60" w:line="240" w:lineRule="auto"/>
              <w:jc w:val="center"/>
              <w:rPr>
                <w:sz w:val="22"/>
              </w:rPr>
            </w:pPr>
            <w:r w:rsidRPr="00527BAA">
              <w:rPr>
                <w:sz w:val="22"/>
              </w:rPr>
              <w:t>(21.1%)</w:t>
            </w:r>
          </w:p>
        </w:tc>
        <w:tc>
          <w:tcPr>
            <w:tcW w:w="1234" w:type="dxa"/>
            <w:tcBorders>
              <w:top w:val="single" w:sz="4" w:space="0" w:color="auto"/>
              <w:left w:val="single" w:sz="4" w:space="0" w:color="auto"/>
              <w:bottom w:val="single" w:sz="4" w:space="0" w:color="auto"/>
              <w:right w:val="single" w:sz="4" w:space="0" w:color="auto"/>
            </w:tcBorders>
            <w:vAlign w:val="bottom"/>
          </w:tcPr>
          <w:p w14:paraId="22FF12E7" w14:textId="77777777" w:rsidR="00FB4C47" w:rsidRPr="00527BAA" w:rsidRDefault="00FB4C47" w:rsidP="00FB4C47">
            <w:pPr>
              <w:spacing w:before="60" w:after="60" w:line="240" w:lineRule="auto"/>
              <w:jc w:val="center"/>
              <w:rPr>
                <w:sz w:val="22"/>
              </w:rPr>
            </w:pPr>
            <w:r w:rsidRPr="00527BAA">
              <w:rPr>
                <w:sz w:val="22"/>
              </w:rPr>
              <w:t>13</w:t>
            </w:r>
          </w:p>
          <w:p w14:paraId="5811350D" w14:textId="22D7FD9D" w:rsidR="00FB4C47" w:rsidRPr="00527BAA" w:rsidRDefault="00FB4C47" w:rsidP="00FB4C47">
            <w:pPr>
              <w:spacing w:before="60" w:after="60" w:line="240" w:lineRule="auto"/>
              <w:jc w:val="center"/>
              <w:rPr>
                <w:sz w:val="22"/>
              </w:rPr>
            </w:pPr>
            <w:r w:rsidRPr="00527BAA">
              <w:rPr>
                <w:sz w:val="22"/>
              </w:rPr>
              <w:t>(22.8%)</w:t>
            </w:r>
          </w:p>
        </w:tc>
        <w:tc>
          <w:tcPr>
            <w:tcW w:w="750" w:type="dxa"/>
            <w:tcBorders>
              <w:top w:val="single" w:sz="4" w:space="0" w:color="auto"/>
              <w:left w:val="single" w:sz="4" w:space="0" w:color="auto"/>
              <w:bottom w:val="single" w:sz="4" w:space="0" w:color="auto"/>
              <w:right w:val="single" w:sz="4" w:space="0" w:color="auto"/>
            </w:tcBorders>
            <w:vAlign w:val="bottom"/>
          </w:tcPr>
          <w:p w14:paraId="20B1803D" w14:textId="77777777" w:rsidR="00FB4C47" w:rsidRPr="00527BAA" w:rsidRDefault="00FB4C47" w:rsidP="00FB4C47">
            <w:pPr>
              <w:spacing w:before="60" w:after="60" w:line="240" w:lineRule="auto"/>
              <w:jc w:val="center"/>
              <w:rPr>
                <w:sz w:val="22"/>
              </w:rPr>
            </w:pPr>
            <w:r w:rsidRPr="00527BAA">
              <w:rPr>
                <w:sz w:val="22"/>
              </w:rPr>
              <w:t>57</w:t>
            </w:r>
          </w:p>
          <w:p w14:paraId="272D28D6" w14:textId="2F385F6C" w:rsidR="00FB4C47" w:rsidRPr="00527BAA" w:rsidRDefault="00FB4C47" w:rsidP="00FB4C47">
            <w:pPr>
              <w:spacing w:before="60" w:after="60" w:line="240" w:lineRule="auto"/>
              <w:jc w:val="center"/>
              <w:rPr>
                <w:sz w:val="22"/>
              </w:rPr>
            </w:pPr>
          </w:p>
        </w:tc>
      </w:tr>
      <w:tr w:rsidR="00FB4C47" w:rsidRPr="00527BAA" w14:paraId="69A0497B" w14:textId="77777777" w:rsidTr="000B779D">
        <w:tc>
          <w:tcPr>
            <w:tcW w:w="4815" w:type="dxa"/>
            <w:tcBorders>
              <w:top w:val="single" w:sz="4" w:space="0" w:color="auto"/>
              <w:left w:val="single" w:sz="4" w:space="0" w:color="auto"/>
              <w:bottom w:val="single" w:sz="4" w:space="0" w:color="auto"/>
              <w:right w:val="single" w:sz="4" w:space="0" w:color="auto"/>
            </w:tcBorders>
          </w:tcPr>
          <w:p w14:paraId="78620444" w14:textId="5FFE0C48" w:rsidR="00FB4C47" w:rsidRPr="00527BAA" w:rsidRDefault="00FB4C47" w:rsidP="00FB4C47">
            <w:pPr>
              <w:spacing w:before="60" w:after="60" w:line="240" w:lineRule="auto"/>
              <w:rPr>
                <w:sz w:val="22"/>
              </w:rPr>
            </w:pPr>
            <w:r w:rsidRPr="00527BAA">
              <w:rPr>
                <w:sz w:val="22"/>
              </w:rPr>
              <w:t>Indicator 3: Nutritional status monitoring in primary care after bariatric surgery (all patients)</w:t>
            </w:r>
          </w:p>
        </w:tc>
        <w:tc>
          <w:tcPr>
            <w:tcW w:w="1241" w:type="dxa"/>
            <w:tcBorders>
              <w:top w:val="single" w:sz="4" w:space="0" w:color="auto"/>
              <w:left w:val="single" w:sz="4" w:space="0" w:color="auto"/>
              <w:bottom w:val="single" w:sz="4" w:space="0" w:color="auto"/>
              <w:right w:val="single" w:sz="4" w:space="0" w:color="auto"/>
            </w:tcBorders>
            <w:vAlign w:val="bottom"/>
          </w:tcPr>
          <w:p w14:paraId="3B5CF24B" w14:textId="77777777" w:rsidR="00FB4C47" w:rsidRPr="00527BAA" w:rsidRDefault="00FB4C47" w:rsidP="00FB4C47">
            <w:pPr>
              <w:spacing w:before="60" w:after="60" w:line="240" w:lineRule="auto"/>
              <w:jc w:val="center"/>
              <w:rPr>
                <w:sz w:val="22"/>
              </w:rPr>
            </w:pPr>
            <w:r w:rsidRPr="00527BAA">
              <w:rPr>
                <w:sz w:val="22"/>
              </w:rPr>
              <w:t>28</w:t>
            </w:r>
          </w:p>
          <w:p w14:paraId="634A9A57" w14:textId="4754A195" w:rsidR="00FB4C47" w:rsidRPr="00527BAA" w:rsidRDefault="00FB4C47" w:rsidP="00FB4C47">
            <w:pPr>
              <w:spacing w:before="60" w:after="60" w:line="240" w:lineRule="auto"/>
              <w:jc w:val="center"/>
              <w:rPr>
                <w:sz w:val="22"/>
              </w:rPr>
            </w:pPr>
            <w:r w:rsidRPr="00527BAA">
              <w:rPr>
                <w:sz w:val="22"/>
              </w:rPr>
              <w:t>(49.1%)</w:t>
            </w:r>
          </w:p>
        </w:tc>
        <w:tc>
          <w:tcPr>
            <w:tcW w:w="1169" w:type="dxa"/>
            <w:tcBorders>
              <w:top w:val="single" w:sz="4" w:space="0" w:color="auto"/>
              <w:left w:val="single" w:sz="4" w:space="0" w:color="auto"/>
              <w:bottom w:val="single" w:sz="4" w:space="0" w:color="auto"/>
              <w:right w:val="single" w:sz="4" w:space="0" w:color="auto"/>
            </w:tcBorders>
            <w:vAlign w:val="bottom"/>
          </w:tcPr>
          <w:p w14:paraId="4DC4C756" w14:textId="77777777" w:rsidR="00FB4C47" w:rsidRPr="00527BAA" w:rsidRDefault="00FB4C47" w:rsidP="00FB4C47">
            <w:pPr>
              <w:spacing w:before="60" w:after="60" w:line="240" w:lineRule="auto"/>
              <w:jc w:val="center"/>
              <w:rPr>
                <w:sz w:val="22"/>
              </w:rPr>
            </w:pPr>
            <w:r w:rsidRPr="00527BAA">
              <w:rPr>
                <w:sz w:val="22"/>
              </w:rPr>
              <w:t>17</w:t>
            </w:r>
          </w:p>
          <w:p w14:paraId="400FDC57" w14:textId="5A4C32E7" w:rsidR="00FB4C47" w:rsidRPr="00527BAA" w:rsidRDefault="00FB4C47" w:rsidP="00FB4C47">
            <w:pPr>
              <w:spacing w:before="60" w:after="60" w:line="240" w:lineRule="auto"/>
              <w:jc w:val="center"/>
              <w:rPr>
                <w:sz w:val="22"/>
              </w:rPr>
            </w:pPr>
            <w:r w:rsidRPr="00527BAA">
              <w:rPr>
                <w:sz w:val="22"/>
              </w:rPr>
              <w:t>(29.8%)</w:t>
            </w:r>
          </w:p>
        </w:tc>
        <w:tc>
          <w:tcPr>
            <w:tcW w:w="1234" w:type="dxa"/>
            <w:tcBorders>
              <w:top w:val="single" w:sz="4" w:space="0" w:color="auto"/>
              <w:left w:val="single" w:sz="4" w:space="0" w:color="auto"/>
              <w:bottom w:val="single" w:sz="4" w:space="0" w:color="auto"/>
              <w:right w:val="single" w:sz="4" w:space="0" w:color="auto"/>
            </w:tcBorders>
            <w:vAlign w:val="bottom"/>
          </w:tcPr>
          <w:p w14:paraId="17D9BD29" w14:textId="77777777" w:rsidR="00FB4C47" w:rsidRPr="00527BAA" w:rsidRDefault="00FB4C47" w:rsidP="00FB4C47">
            <w:pPr>
              <w:spacing w:before="60" w:after="60" w:line="240" w:lineRule="auto"/>
              <w:jc w:val="center"/>
              <w:rPr>
                <w:sz w:val="22"/>
              </w:rPr>
            </w:pPr>
            <w:r w:rsidRPr="00527BAA">
              <w:rPr>
                <w:sz w:val="22"/>
              </w:rPr>
              <w:t>12</w:t>
            </w:r>
          </w:p>
          <w:p w14:paraId="3B84BC30" w14:textId="73B62C5E" w:rsidR="00FB4C47" w:rsidRPr="00527BAA" w:rsidRDefault="00FB4C47" w:rsidP="00FB4C47">
            <w:pPr>
              <w:spacing w:before="60" w:after="60" w:line="240" w:lineRule="auto"/>
              <w:jc w:val="center"/>
              <w:rPr>
                <w:sz w:val="22"/>
              </w:rPr>
            </w:pPr>
            <w:r w:rsidRPr="00527BAA">
              <w:rPr>
                <w:sz w:val="22"/>
              </w:rPr>
              <w:t>(21.1%)</w:t>
            </w:r>
          </w:p>
        </w:tc>
        <w:tc>
          <w:tcPr>
            <w:tcW w:w="750" w:type="dxa"/>
            <w:tcBorders>
              <w:top w:val="single" w:sz="4" w:space="0" w:color="auto"/>
              <w:left w:val="single" w:sz="4" w:space="0" w:color="auto"/>
              <w:bottom w:val="single" w:sz="4" w:space="0" w:color="auto"/>
              <w:right w:val="single" w:sz="4" w:space="0" w:color="auto"/>
            </w:tcBorders>
            <w:vAlign w:val="bottom"/>
          </w:tcPr>
          <w:p w14:paraId="675D3411" w14:textId="77777777" w:rsidR="00FB4C47" w:rsidRPr="00527BAA" w:rsidRDefault="00FB4C47" w:rsidP="00FB4C47">
            <w:pPr>
              <w:spacing w:before="60" w:after="60" w:line="240" w:lineRule="auto"/>
              <w:jc w:val="center"/>
              <w:rPr>
                <w:sz w:val="22"/>
              </w:rPr>
            </w:pPr>
            <w:r w:rsidRPr="00527BAA">
              <w:rPr>
                <w:sz w:val="22"/>
              </w:rPr>
              <w:t>57</w:t>
            </w:r>
          </w:p>
          <w:p w14:paraId="6E345B52" w14:textId="54915B02" w:rsidR="00FB4C47" w:rsidRPr="00527BAA" w:rsidRDefault="00FB4C47" w:rsidP="00FB4C47">
            <w:pPr>
              <w:spacing w:before="60" w:after="60" w:line="240" w:lineRule="auto"/>
              <w:jc w:val="center"/>
              <w:rPr>
                <w:sz w:val="22"/>
              </w:rPr>
            </w:pPr>
          </w:p>
        </w:tc>
      </w:tr>
      <w:tr w:rsidR="00FB4C47" w:rsidRPr="00527BAA" w14:paraId="58D2D62F" w14:textId="77777777" w:rsidTr="000B779D">
        <w:tc>
          <w:tcPr>
            <w:tcW w:w="4815" w:type="dxa"/>
            <w:tcBorders>
              <w:top w:val="single" w:sz="4" w:space="0" w:color="auto"/>
              <w:left w:val="single" w:sz="4" w:space="0" w:color="auto"/>
              <w:bottom w:val="single" w:sz="4" w:space="0" w:color="auto"/>
              <w:right w:val="single" w:sz="4" w:space="0" w:color="auto"/>
            </w:tcBorders>
          </w:tcPr>
          <w:p w14:paraId="62F8B927" w14:textId="302A028B" w:rsidR="00FB4C47" w:rsidRPr="00527BAA" w:rsidRDefault="00FB4C47" w:rsidP="00FB4C47">
            <w:pPr>
              <w:spacing w:before="60" w:after="60" w:line="240" w:lineRule="auto"/>
              <w:rPr>
                <w:sz w:val="22"/>
              </w:rPr>
            </w:pPr>
            <w:r w:rsidRPr="00527BAA">
              <w:rPr>
                <w:sz w:val="22"/>
              </w:rPr>
              <w:t>Indicator 4: Nutritional status monitoring in primary care after bariatric surgery (new patients)</w:t>
            </w:r>
          </w:p>
        </w:tc>
        <w:tc>
          <w:tcPr>
            <w:tcW w:w="1241" w:type="dxa"/>
            <w:tcBorders>
              <w:top w:val="single" w:sz="4" w:space="0" w:color="auto"/>
              <w:left w:val="single" w:sz="4" w:space="0" w:color="auto"/>
              <w:bottom w:val="single" w:sz="4" w:space="0" w:color="auto"/>
              <w:right w:val="single" w:sz="4" w:space="0" w:color="auto"/>
            </w:tcBorders>
            <w:vAlign w:val="bottom"/>
          </w:tcPr>
          <w:p w14:paraId="5EF69ECD" w14:textId="77777777" w:rsidR="00FB4C47" w:rsidRPr="00527BAA" w:rsidRDefault="00FB4C47" w:rsidP="00FB4C47">
            <w:pPr>
              <w:spacing w:before="60" w:after="60" w:line="240" w:lineRule="auto"/>
              <w:jc w:val="center"/>
              <w:rPr>
                <w:sz w:val="22"/>
              </w:rPr>
            </w:pPr>
            <w:r w:rsidRPr="00527BAA">
              <w:rPr>
                <w:sz w:val="22"/>
              </w:rPr>
              <w:t>28</w:t>
            </w:r>
          </w:p>
          <w:p w14:paraId="7AE3E907" w14:textId="36371802" w:rsidR="00FB4C47" w:rsidRPr="00527BAA" w:rsidRDefault="00FB4C47" w:rsidP="00FB4C47">
            <w:pPr>
              <w:spacing w:before="60" w:after="60" w:line="240" w:lineRule="auto"/>
              <w:jc w:val="center"/>
              <w:rPr>
                <w:sz w:val="22"/>
              </w:rPr>
            </w:pPr>
            <w:r w:rsidRPr="00527BAA">
              <w:rPr>
                <w:sz w:val="22"/>
              </w:rPr>
              <w:t>(49.1%)</w:t>
            </w:r>
          </w:p>
        </w:tc>
        <w:tc>
          <w:tcPr>
            <w:tcW w:w="1169" w:type="dxa"/>
            <w:tcBorders>
              <w:top w:val="single" w:sz="4" w:space="0" w:color="auto"/>
              <w:left w:val="single" w:sz="4" w:space="0" w:color="auto"/>
              <w:bottom w:val="single" w:sz="4" w:space="0" w:color="auto"/>
              <w:right w:val="single" w:sz="4" w:space="0" w:color="auto"/>
            </w:tcBorders>
            <w:vAlign w:val="bottom"/>
          </w:tcPr>
          <w:p w14:paraId="06598B71" w14:textId="77777777" w:rsidR="00FB4C47" w:rsidRPr="00527BAA" w:rsidRDefault="00FB4C47" w:rsidP="00FB4C47">
            <w:pPr>
              <w:spacing w:before="60" w:after="60" w:line="240" w:lineRule="auto"/>
              <w:jc w:val="center"/>
              <w:rPr>
                <w:sz w:val="22"/>
              </w:rPr>
            </w:pPr>
            <w:r w:rsidRPr="00527BAA">
              <w:rPr>
                <w:sz w:val="22"/>
              </w:rPr>
              <w:t>17</w:t>
            </w:r>
          </w:p>
          <w:p w14:paraId="146FA5E9" w14:textId="34471AEF" w:rsidR="00FB4C47" w:rsidRPr="00527BAA" w:rsidRDefault="00FB4C47" w:rsidP="00FB4C47">
            <w:pPr>
              <w:spacing w:before="60" w:after="60" w:line="240" w:lineRule="auto"/>
              <w:jc w:val="center"/>
              <w:rPr>
                <w:sz w:val="22"/>
              </w:rPr>
            </w:pPr>
            <w:r w:rsidRPr="00527BAA">
              <w:rPr>
                <w:sz w:val="22"/>
              </w:rPr>
              <w:t>(29.8%)</w:t>
            </w:r>
          </w:p>
        </w:tc>
        <w:tc>
          <w:tcPr>
            <w:tcW w:w="1234" w:type="dxa"/>
            <w:tcBorders>
              <w:top w:val="single" w:sz="4" w:space="0" w:color="auto"/>
              <w:left w:val="single" w:sz="4" w:space="0" w:color="auto"/>
              <w:bottom w:val="single" w:sz="4" w:space="0" w:color="auto"/>
              <w:right w:val="single" w:sz="4" w:space="0" w:color="auto"/>
            </w:tcBorders>
            <w:vAlign w:val="bottom"/>
          </w:tcPr>
          <w:p w14:paraId="23F3247E" w14:textId="77777777" w:rsidR="00FB4C47" w:rsidRPr="00527BAA" w:rsidRDefault="00FB4C47" w:rsidP="00FB4C47">
            <w:pPr>
              <w:spacing w:before="60" w:after="60" w:line="240" w:lineRule="auto"/>
              <w:jc w:val="center"/>
              <w:rPr>
                <w:sz w:val="22"/>
              </w:rPr>
            </w:pPr>
            <w:r w:rsidRPr="00527BAA">
              <w:rPr>
                <w:sz w:val="22"/>
              </w:rPr>
              <w:t>12</w:t>
            </w:r>
          </w:p>
          <w:p w14:paraId="1A3C9292" w14:textId="41CBC965" w:rsidR="00FB4C47" w:rsidRPr="00527BAA" w:rsidRDefault="00FB4C47" w:rsidP="00FB4C47">
            <w:pPr>
              <w:spacing w:before="60" w:after="60" w:line="240" w:lineRule="auto"/>
              <w:jc w:val="center"/>
              <w:rPr>
                <w:sz w:val="22"/>
              </w:rPr>
            </w:pPr>
            <w:r w:rsidRPr="00527BAA">
              <w:rPr>
                <w:sz w:val="22"/>
              </w:rPr>
              <w:t>(21.1%)</w:t>
            </w:r>
          </w:p>
        </w:tc>
        <w:tc>
          <w:tcPr>
            <w:tcW w:w="750" w:type="dxa"/>
            <w:tcBorders>
              <w:top w:val="single" w:sz="4" w:space="0" w:color="auto"/>
              <w:left w:val="single" w:sz="4" w:space="0" w:color="auto"/>
              <w:bottom w:val="single" w:sz="4" w:space="0" w:color="auto"/>
              <w:right w:val="single" w:sz="4" w:space="0" w:color="auto"/>
            </w:tcBorders>
            <w:vAlign w:val="bottom"/>
          </w:tcPr>
          <w:p w14:paraId="7D3E62E8" w14:textId="77777777" w:rsidR="00FB4C47" w:rsidRPr="00527BAA" w:rsidRDefault="00FB4C47" w:rsidP="00FB4C47">
            <w:pPr>
              <w:spacing w:before="60" w:after="60" w:line="240" w:lineRule="auto"/>
              <w:jc w:val="center"/>
              <w:rPr>
                <w:sz w:val="22"/>
              </w:rPr>
            </w:pPr>
            <w:r w:rsidRPr="00527BAA">
              <w:rPr>
                <w:sz w:val="22"/>
              </w:rPr>
              <w:t>57</w:t>
            </w:r>
          </w:p>
          <w:p w14:paraId="20CFA3FD" w14:textId="7DA34FEE" w:rsidR="00FB4C47" w:rsidRPr="00527BAA" w:rsidRDefault="00FB4C47" w:rsidP="00FB4C47">
            <w:pPr>
              <w:spacing w:before="60" w:after="60" w:line="240" w:lineRule="auto"/>
              <w:jc w:val="center"/>
              <w:rPr>
                <w:sz w:val="22"/>
              </w:rPr>
            </w:pPr>
          </w:p>
        </w:tc>
      </w:tr>
    </w:tbl>
    <w:p w14:paraId="2AADC8F2" w14:textId="77777777" w:rsidR="00CE464C" w:rsidRDefault="00CE464C" w:rsidP="00CE464C">
      <w:pPr>
        <w:pStyle w:val="Heading6"/>
      </w:pPr>
    </w:p>
    <w:p w14:paraId="1FF87407" w14:textId="714F2AE5" w:rsidR="00E33370" w:rsidRDefault="00822C7B" w:rsidP="007A34A9">
      <w:pPr>
        <w:rPr>
          <w:i/>
          <w:iCs/>
        </w:rPr>
      </w:pPr>
      <w:r w:rsidRPr="00E33370">
        <w:t>For indicator 1, while one interviewee suggested</w:t>
      </w:r>
      <w:r w:rsidR="00BA1D66">
        <w:t xml:space="preserve"> that</w:t>
      </w:r>
      <w:r w:rsidRPr="00E33370">
        <w:t xml:space="preserve"> a conversation about weight could become routine</w:t>
      </w:r>
      <w:r w:rsidR="00BA1D66">
        <w:t xml:space="preserve"> practice</w:t>
      </w:r>
      <w:r w:rsidRPr="00E33370">
        <w:t xml:space="preserve"> and accepted by patients (see topic feedback), other </w:t>
      </w:r>
      <w:r w:rsidRPr="00EC7FBB">
        <w:t>interviewees and survey respondents felt the approach could be met negatively by patients</w:t>
      </w:r>
      <w:r w:rsidR="007A34A9" w:rsidRPr="00EC7FBB">
        <w:t xml:space="preserve"> (</w:t>
      </w:r>
      <w:r w:rsidR="00DA6F89" w:rsidRPr="00EC7FBB">
        <w:t xml:space="preserve">see </w:t>
      </w:r>
      <w:r w:rsidR="00E70AF6">
        <w:t xml:space="preserve">report </w:t>
      </w:r>
      <w:r w:rsidR="007A34A9" w:rsidRPr="00EC7FBB">
        <w:t>section 6.3</w:t>
      </w:r>
      <w:r w:rsidR="00327A02" w:rsidRPr="00EC7FBB">
        <w:t>.1</w:t>
      </w:r>
      <w:r w:rsidR="00DA6F89" w:rsidRPr="00EC7FBB">
        <w:t xml:space="preserve"> for detail</w:t>
      </w:r>
      <w:r w:rsidR="007A34A9">
        <w:t>)</w:t>
      </w:r>
      <w:r w:rsidR="00E33370" w:rsidRPr="00E33370">
        <w:t xml:space="preserve">. </w:t>
      </w:r>
    </w:p>
    <w:p w14:paraId="398772C2" w14:textId="4184B76B" w:rsidR="00AE4F12" w:rsidRPr="003B77A1" w:rsidRDefault="00E33370" w:rsidP="002E4151">
      <w:bookmarkStart w:id="16" w:name="_Hlk165291035"/>
      <w:r w:rsidRPr="00E33370">
        <w:t>For indicator 2, relating to referrals for bariatric surgery assessment for those with a BMI of 40</w:t>
      </w:r>
      <w:r w:rsidR="00DC671A">
        <w:t xml:space="preserve"> and over</w:t>
      </w:r>
      <w:r w:rsidRPr="00E33370">
        <w:t xml:space="preserve">, </w:t>
      </w:r>
      <w:r w:rsidR="00AC2A58">
        <w:t>while</w:t>
      </w:r>
      <w:bookmarkEnd w:id="16"/>
      <w:r w:rsidR="00AC2A58">
        <w:t xml:space="preserve"> many practices stated that under local arrangements their patients had to go through tiers of weight management before they could be referred for surgery </w:t>
      </w:r>
      <w:r w:rsidR="00AC2A58" w:rsidRPr="00EC7FBB">
        <w:t xml:space="preserve">(see </w:t>
      </w:r>
      <w:r w:rsidR="00E70AF6">
        <w:t xml:space="preserve">report </w:t>
      </w:r>
      <w:r w:rsidR="00AC2A58" w:rsidRPr="00EC7FBB">
        <w:t xml:space="preserve">section </w:t>
      </w:r>
      <w:r w:rsidR="006D7E1F" w:rsidRPr="00EC7FBB">
        <w:t>6.3.2</w:t>
      </w:r>
      <w:r w:rsidR="00E70AF6">
        <w:t xml:space="preserve"> for detail</w:t>
      </w:r>
      <w:r w:rsidR="00AC2A58" w:rsidRPr="00EC7FBB">
        <w:t>) another GP stated their</w:t>
      </w:r>
      <w:r w:rsidR="00AC2A58">
        <w:t xml:space="preserve"> view that it was </w:t>
      </w:r>
      <w:r w:rsidR="008302F6">
        <w:t>inappropriate</w:t>
      </w:r>
      <w:r w:rsidR="00AC2A58">
        <w:t xml:space="preserve"> for surgery to be the first option for those with a BMI of 40</w:t>
      </w:r>
      <w:r w:rsidR="001A284B">
        <w:t xml:space="preserve"> and above</w:t>
      </w:r>
      <w:r w:rsidR="00AC2A58">
        <w:t xml:space="preserve">, particularly </w:t>
      </w:r>
      <w:r w:rsidR="00AC2A58" w:rsidRPr="003B77A1">
        <w:t>young people</w:t>
      </w:r>
      <w:r w:rsidR="001A284B" w:rsidRPr="003B77A1">
        <w:t xml:space="preserve"> (</w:t>
      </w:r>
      <w:r w:rsidR="003B77A1" w:rsidRPr="003B77A1">
        <w:t>see topic feedback, above</w:t>
      </w:r>
      <w:r w:rsidR="001A284B" w:rsidRPr="003B77A1">
        <w:t>)</w:t>
      </w:r>
      <w:r w:rsidR="003B77A1" w:rsidRPr="003B77A1">
        <w:t>.</w:t>
      </w:r>
    </w:p>
    <w:p w14:paraId="4ECB3C17" w14:textId="6C9C4B6C" w:rsidR="008302F6" w:rsidRDefault="008302F6" w:rsidP="008302F6">
      <w:pPr>
        <w:spacing w:after="0"/>
      </w:pPr>
      <w:r>
        <w:t xml:space="preserve">Three practices mentioned that the topic in general, and in particular </w:t>
      </w:r>
      <w:r w:rsidR="00080436">
        <w:t>indicator 2 may</w:t>
      </w:r>
      <w:r>
        <w:t xml:space="preserve"> be superseded by the availability of new weight-loss drugs</w:t>
      </w:r>
      <w:r w:rsidR="009829E5">
        <w:t xml:space="preserve"> (see </w:t>
      </w:r>
      <w:r w:rsidR="00E70AF6">
        <w:t xml:space="preserve">report </w:t>
      </w:r>
      <w:r w:rsidR="00EC7FBB">
        <w:t xml:space="preserve">section </w:t>
      </w:r>
      <w:r w:rsidR="009829E5">
        <w:t>4.3.5</w:t>
      </w:r>
      <w:r w:rsidR="00E70AF6">
        <w:t xml:space="preserve"> for detail</w:t>
      </w:r>
      <w:r w:rsidR="009829E5">
        <w:t>)</w:t>
      </w:r>
      <w:r>
        <w:t>.</w:t>
      </w:r>
    </w:p>
    <w:p w14:paraId="7465EAB4" w14:textId="33B0952F" w:rsidR="008302F6" w:rsidRDefault="008302F6" w:rsidP="002E4151">
      <w:r>
        <w:t xml:space="preserve">For indicators 3 and 4, when asked about </w:t>
      </w:r>
      <w:r w:rsidRPr="00EC7FBB">
        <w:t xml:space="preserve">the ease of cohort identification (see </w:t>
      </w:r>
      <w:r w:rsidR="00E70AF6">
        <w:t xml:space="preserve">report </w:t>
      </w:r>
      <w:r w:rsidRPr="00EC7FBB">
        <w:t xml:space="preserve">section </w:t>
      </w:r>
      <w:r w:rsidR="009829E5" w:rsidRPr="00EC7FBB">
        <w:t>4.3.5</w:t>
      </w:r>
      <w:r w:rsidR="00E70AF6">
        <w:t xml:space="preserve"> for detail</w:t>
      </w:r>
      <w:r w:rsidRPr="00EC7FBB">
        <w:t>), one practice felt that most patients who</w:t>
      </w:r>
      <w:r>
        <w:t xml:space="preserve"> had had bariatric surgery abroad valued the change they had made to improve their health and were therefore engaged in their ongoing healthcare:</w:t>
      </w:r>
    </w:p>
    <w:p w14:paraId="49C91B4D" w14:textId="034E7EAB" w:rsidR="00CF1F02" w:rsidRDefault="008302F6" w:rsidP="00CF1F02">
      <w:pPr>
        <w:spacing w:after="0" w:line="312" w:lineRule="auto"/>
        <w:rPr>
          <w:i/>
          <w:iCs/>
        </w:rPr>
      </w:pPr>
      <w:r w:rsidRPr="00CF1F02">
        <w:rPr>
          <w:i/>
          <w:iCs/>
        </w:rPr>
        <w:t xml:space="preserve"> “</w:t>
      </w:r>
      <w:r w:rsidR="00911385">
        <w:rPr>
          <w:i/>
          <w:iCs/>
        </w:rPr>
        <w:t>M</w:t>
      </w:r>
      <w:r w:rsidRPr="00CF1F02">
        <w:rPr>
          <w:i/>
          <w:iCs/>
        </w:rPr>
        <w:t>ost of them are very keen to come back and tell us that they’ve had the surgery abroad and now I need to do their blood tests, etc</w:t>
      </w:r>
      <w:r w:rsidR="00CF1F02" w:rsidRPr="00CF1F02">
        <w:rPr>
          <w:i/>
          <w:iCs/>
        </w:rPr>
        <w:t xml:space="preserve"> […] </w:t>
      </w:r>
      <w:r w:rsidRPr="00CF1F02">
        <w:rPr>
          <w:i/>
          <w:iCs/>
        </w:rPr>
        <w:t xml:space="preserve">these are patients who are </w:t>
      </w:r>
      <w:r w:rsidRPr="00CF1F02">
        <w:rPr>
          <w:i/>
          <w:iCs/>
        </w:rPr>
        <w:lastRenderedPageBreak/>
        <w:t>usually very motivated having gone through that process</w:t>
      </w:r>
      <w:r w:rsidR="00CF1F02" w:rsidRPr="00CF1F02">
        <w:rPr>
          <w:i/>
          <w:iCs/>
        </w:rPr>
        <w:t xml:space="preserve"> […] </w:t>
      </w:r>
      <w:r w:rsidRPr="00CF1F02">
        <w:rPr>
          <w:i/>
          <w:iCs/>
        </w:rPr>
        <w:t>I've never had any of these patients not take their meds, and they're keen to come for follow-up 'cause they're aware that they can become anaemic, and they're quite proud of the fact that they've kind of achieved a status where they're getting on with things.</w:t>
      </w:r>
      <w:r w:rsidR="00CF1F02">
        <w:rPr>
          <w:i/>
          <w:iCs/>
        </w:rPr>
        <w:t>”</w:t>
      </w:r>
      <w:r w:rsidR="00CF1F02" w:rsidRPr="003F1487">
        <w:rPr>
          <w:i/>
          <w:iCs/>
        </w:rPr>
        <w:t xml:space="preserve"> </w:t>
      </w:r>
      <w:r w:rsidR="00CF1F02" w:rsidRPr="004C4645">
        <w:rPr>
          <w:i/>
          <w:iCs/>
        </w:rPr>
        <w:t>[GP, interview]</w:t>
      </w:r>
    </w:p>
    <w:p w14:paraId="78382B47" w14:textId="77777777" w:rsidR="00CF1F02" w:rsidRDefault="00CF1F02" w:rsidP="00CF1F02">
      <w:pPr>
        <w:spacing w:after="0" w:line="312" w:lineRule="auto"/>
        <w:rPr>
          <w:i/>
          <w:iCs/>
        </w:rPr>
      </w:pPr>
    </w:p>
    <w:p w14:paraId="40D25BA0" w14:textId="7B5E1625" w:rsidR="008302F6" w:rsidRPr="00CF1F02" w:rsidRDefault="00C1579B" w:rsidP="00CF1F02">
      <w:pPr>
        <w:spacing w:after="0" w:line="312" w:lineRule="auto"/>
      </w:pPr>
      <w:r>
        <w:t>However,</w:t>
      </w:r>
      <w:r w:rsidR="00CF1F02">
        <w:t xml:space="preserve"> the same GP suggested that</w:t>
      </w:r>
      <w:r w:rsidR="00CF1F02">
        <w:rPr>
          <w:i/>
          <w:iCs/>
        </w:rPr>
        <w:t xml:space="preserve"> </w:t>
      </w:r>
      <w:r w:rsidR="00CF1F02">
        <w:t xml:space="preserve">the requirement to attend routinely for this purpose may seem punitive to patients with a current </w:t>
      </w:r>
      <w:r w:rsidR="00CF1F02" w:rsidRPr="00CF1F02">
        <w:t>psychiatric diagnosis</w:t>
      </w:r>
      <w:r w:rsidR="00CF1F02">
        <w:t xml:space="preserve">, who </w:t>
      </w:r>
      <w:r w:rsidR="00080436">
        <w:t xml:space="preserve">already </w:t>
      </w:r>
      <w:r w:rsidR="00CF1F02">
        <w:t>have to engage</w:t>
      </w:r>
      <w:r w:rsidR="00AF0CD9">
        <w:t xml:space="preserve"> regularly with healthcare services</w:t>
      </w:r>
      <w:r w:rsidR="00CF1F02">
        <w:t xml:space="preserve"> about a range of issues.</w:t>
      </w:r>
    </w:p>
    <w:p w14:paraId="5B1FDB89" w14:textId="73423DCA" w:rsidR="00E016E0" w:rsidRPr="001556F6" w:rsidRDefault="00E016E0" w:rsidP="00C1579B">
      <w:pPr>
        <w:pStyle w:val="Heading3"/>
        <w:spacing w:before="360"/>
        <w:ind w:left="1225" w:hanging="505"/>
      </w:pPr>
      <w:r w:rsidRPr="001556F6">
        <w:t>Financial incentivisation</w:t>
      </w:r>
    </w:p>
    <w:p w14:paraId="2167F920" w14:textId="2A6DD460" w:rsidR="00B47A2A" w:rsidRPr="00E016E0" w:rsidRDefault="00B47A2A" w:rsidP="00B47A2A">
      <w:r w:rsidRPr="00F33C0E">
        <w:t xml:space="preserve">There was overall support from over half of all survey respondents for the financial incentivisation of the four indicators. This was particularly the case for </w:t>
      </w:r>
      <w:r w:rsidR="00F33C0E" w:rsidRPr="00F33C0E">
        <w:t>referral for bariatric surgery</w:t>
      </w:r>
      <w:r w:rsidRPr="00F33C0E">
        <w:t xml:space="preserve"> (indicator </w:t>
      </w:r>
      <w:r w:rsidR="00F33C0E" w:rsidRPr="00F33C0E">
        <w:t>2</w:t>
      </w:r>
      <w:r w:rsidRPr="00F33C0E">
        <w:t xml:space="preserve">) with </w:t>
      </w:r>
      <w:r w:rsidR="00F33C0E" w:rsidRPr="00F33C0E">
        <w:t>61.4</w:t>
      </w:r>
      <w:r w:rsidRPr="00F33C0E">
        <w:t>% (</w:t>
      </w:r>
      <w:r w:rsidR="00F33C0E" w:rsidRPr="00F33C0E">
        <w:t>35/57</w:t>
      </w:r>
      <w:r w:rsidRPr="00F33C0E">
        <w:t>) of respondents agreeing th</w:t>
      </w:r>
      <w:r w:rsidR="00C1579B">
        <w:t>is</w:t>
      </w:r>
      <w:r w:rsidRPr="00F33C0E">
        <w:t xml:space="preserve"> indicator should be financially incentivised (Table 3).</w:t>
      </w:r>
      <w:r>
        <w:t xml:space="preserve"> </w:t>
      </w:r>
    </w:p>
    <w:p w14:paraId="7035ED29" w14:textId="740898C7" w:rsidR="00E016E0" w:rsidRDefault="00E016E0" w:rsidP="007B0CB4">
      <w:pPr>
        <w:spacing w:line="240" w:lineRule="auto"/>
        <w:rPr>
          <w:u w:val="single"/>
        </w:rPr>
      </w:pPr>
      <w:r w:rsidRPr="007B0CB4">
        <w:rPr>
          <w:u w:val="single"/>
        </w:rPr>
        <w:t xml:space="preserve">Table </w:t>
      </w:r>
      <w:r w:rsidR="0021283F" w:rsidRPr="007B0CB4">
        <w:rPr>
          <w:u w:val="single"/>
        </w:rPr>
        <w:t>3</w:t>
      </w:r>
      <w:r w:rsidRPr="007B0CB4">
        <w:rPr>
          <w:u w:val="single"/>
        </w:rPr>
        <w:t xml:space="preserve">: Views on financial incentivisation of </w:t>
      </w:r>
      <w:r w:rsidR="00AE4F12">
        <w:rPr>
          <w:u w:val="single"/>
        </w:rPr>
        <w:t>weight management</w:t>
      </w:r>
      <w:r w:rsidR="00AE4F12" w:rsidRPr="007B0CB4">
        <w:rPr>
          <w:u w:val="single"/>
        </w:rPr>
        <w:t xml:space="preserve">-related indicators </w:t>
      </w:r>
      <w:r w:rsidRPr="007B0CB4">
        <w:rPr>
          <w:u w:val="single"/>
        </w:rPr>
        <w:t>(survey)</w:t>
      </w:r>
    </w:p>
    <w:p w14:paraId="11B0F57A" w14:textId="4CC6008B" w:rsidR="00780FA2" w:rsidRPr="007B0CB4" w:rsidRDefault="00780FA2" w:rsidP="007B0CB4">
      <w:pPr>
        <w:spacing w:line="240" w:lineRule="auto"/>
        <w:rPr>
          <w:u w:val="single"/>
        </w:rPr>
      </w:pPr>
      <w:r w:rsidRPr="008C7154">
        <w:rPr>
          <w:b/>
          <w:sz w:val="22"/>
          <w:szCs w:val="20"/>
        </w:rPr>
        <w:t>Do you think the following indicators should be financially incentivised?</w:t>
      </w:r>
    </w:p>
    <w:tbl>
      <w:tblPr>
        <w:tblStyle w:val="TableGrid"/>
        <w:tblW w:w="9209" w:type="dxa"/>
        <w:tblLook w:val="04A0" w:firstRow="1" w:lastRow="0" w:firstColumn="1" w:lastColumn="0" w:noHBand="0" w:noVBand="1"/>
      </w:tblPr>
      <w:tblGrid>
        <w:gridCol w:w="4815"/>
        <w:gridCol w:w="1241"/>
        <w:gridCol w:w="1169"/>
        <w:gridCol w:w="1234"/>
        <w:gridCol w:w="750"/>
      </w:tblGrid>
      <w:tr w:rsidR="009F2BA7" w:rsidRPr="00527BAA" w14:paraId="210F59D4" w14:textId="77777777" w:rsidTr="00AE4F12">
        <w:tc>
          <w:tcPr>
            <w:tcW w:w="4815" w:type="dxa"/>
            <w:tcBorders>
              <w:top w:val="single" w:sz="4" w:space="0" w:color="auto"/>
              <w:left w:val="single" w:sz="4" w:space="0" w:color="auto"/>
              <w:bottom w:val="single" w:sz="4" w:space="0" w:color="auto"/>
              <w:right w:val="single" w:sz="4" w:space="0" w:color="auto"/>
            </w:tcBorders>
          </w:tcPr>
          <w:p w14:paraId="34126552" w14:textId="77777777" w:rsidR="009F2BA7" w:rsidRPr="00527BAA" w:rsidRDefault="009F2BA7" w:rsidP="009F2BA7">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40C5CF16" w14:textId="77777777" w:rsidR="009F2BA7" w:rsidRPr="00527BAA" w:rsidRDefault="009F2BA7" w:rsidP="009F2BA7">
            <w:pPr>
              <w:spacing w:before="60" w:after="60" w:line="240" w:lineRule="auto"/>
              <w:jc w:val="center"/>
              <w:rPr>
                <w:sz w:val="22"/>
              </w:rPr>
            </w:pPr>
            <w:r w:rsidRPr="00527BAA">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7FA656BB" w14:textId="73A13D51" w:rsidR="009F2BA7" w:rsidRPr="00527BAA" w:rsidRDefault="009F2BA7" w:rsidP="009F2BA7">
            <w:pPr>
              <w:spacing w:before="60" w:after="60" w:line="240" w:lineRule="auto"/>
              <w:jc w:val="center"/>
              <w:rPr>
                <w:sz w:val="22"/>
              </w:rPr>
            </w:pPr>
            <w:r w:rsidRPr="00527BAA">
              <w:rPr>
                <w:sz w:val="22"/>
              </w:rPr>
              <w:t>No</w:t>
            </w:r>
          </w:p>
        </w:tc>
        <w:tc>
          <w:tcPr>
            <w:tcW w:w="1234" w:type="dxa"/>
            <w:tcBorders>
              <w:top w:val="single" w:sz="4" w:space="0" w:color="auto"/>
              <w:left w:val="single" w:sz="4" w:space="0" w:color="auto"/>
              <w:bottom w:val="single" w:sz="4" w:space="0" w:color="auto"/>
              <w:right w:val="single" w:sz="4" w:space="0" w:color="auto"/>
            </w:tcBorders>
            <w:hideMark/>
          </w:tcPr>
          <w:p w14:paraId="2B5A38AC" w14:textId="793D82F0" w:rsidR="009F2BA7" w:rsidRPr="00527BAA" w:rsidRDefault="009F2BA7" w:rsidP="009F2BA7">
            <w:pPr>
              <w:spacing w:before="60" w:after="60" w:line="240" w:lineRule="auto"/>
              <w:jc w:val="center"/>
              <w:rPr>
                <w:sz w:val="22"/>
              </w:rPr>
            </w:pPr>
            <w:r w:rsidRPr="00527BAA">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3F3CF853" w14:textId="77777777" w:rsidR="009F2BA7" w:rsidRPr="00527BAA" w:rsidRDefault="009F2BA7" w:rsidP="009F2BA7">
            <w:pPr>
              <w:spacing w:before="60" w:after="60" w:line="240" w:lineRule="auto"/>
              <w:jc w:val="center"/>
              <w:rPr>
                <w:sz w:val="22"/>
              </w:rPr>
            </w:pPr>
            <w:r w:rsidRPr="00527BAA">
              <w:rPr>
                <w:sz w:val="22"/>
              </w:rPr>
              <w:t>Total</w:t>
            </w:r>
          </w:p>
        </w:tc>
      </w:tr>
      <w:tr w:rsidR="00B47A2A" w:rsidRPr="00527BAA" w14:paraId="00EF4E48" w14:textId="77777777" w:rsidTr="009761C9">
        <w:tc>
          <w:tcPr>
            <w:tcW w:w="4815" w:type="dxa"/>
            <w:tcBorders>
              <w:top w:val="single" w:sz="4" w:space="0" w:color="auto"/>
              <w:left w:val="single" w:sz="4" w:space="0" w:color="auto"/>
              <w:bottom w:val="single" w:sz="4" w:space="0" w:color="auto"/>
              <w:right w:val="single" w:sz="4" w:space="0" w:color="auto"/>
            </w:tcBorders>
            <w:hideMark/>
          </w:tcPr>
          <w:p w14:paraId="004162C7" w14:textId="77777777" w:rsidR="00B47A2A" w:rsidRPr="00527BAA" w:rsidRDefault="00B47A2A" w:rsidP="00B47A2A">
            <w:pPr>
              <w:spacing w:before="60" w:after="60" w:line="240" w:lineRule="auto"/>
              <w:rPr>
                <w:sz w:val="22"/>
              </w:rPr>
            </w:pPr>
            <w:r w:rsidRPr="00527BAA">
              <w:rPr>
                <w:sz w:val="22"/>
              </w:rPr>
              <w:t>Indicator 1: Weight management advice</w:t>
            </w:r>
          </w:p>
        </w:tc>
        <w:tc>
          <w:tcPr>
            <w:tcW w:w="1241" w:type="dxa"/>
            <w:tcBorders>
              <w:top w:val="single" w:sz="4" w:space="0" w:color="auto"/>
              <w:left w:val="single" w:sz="4" w:space="0" w:color="auto"/>
              <w:bottom w:val="single" w:sz="4" w:space="0" w:color="auto"/>
              <w:right w:val="single" w:sz="4" w:space="0" w:color="auto"/>
            </w:tcBorders>
          </w:tcPr>
          <w:p w14:paraId="200955B1" w14:textId="77777777" w:rsidR="00B47A2A" w:rsidRPr="00527BAA" w:rsidRDefault="00B47A2A" w:rsidP="00B47A2A">
            <w:pPr>
              <w:spacing w:before="60" w:after="60" w:line="240" w:lineRule="auto"/>
              <w:jc w:val="center"/>
              <w:rPr>
                <w:sz w:val="22"/>
              </w:rPr>
            </w:pPr>
            <w:r w:rsidRPr="00527BAA">
              <w:rPr>
                <w:sz w:val="22"/>
              </w:rPr>
              <w:t>34</w:t>
            </w:r>
          </w:p>
          <w:p w14:paraId="5DEDD691" w14:textId="7A6DACBD" w:rsidR="00B47A2A" w:rsidRPr="00527BAA" w:rsidRDefault="00B47A2A" w:rsidP="00B47A2A">
            <w:pPr>
              <w:spacing w:before="60" w:after="60" w:line="240" w:lineRule="auto"/>
              <w:jc w:val="center"/>
              <w:rPr>
                <w:sz w:val="22"/>
              </w:rPr>
            </w:pPr>
            <w:r w:rsidRPr="00527BAA">
              <w:rPr>
                <w:sz w:val="22"/>
              </w:rPr>
              <w:t>(59.6%)</w:t>
            </w:r>
          </w:p>
        </w:tc>
        <w:tc>
          <w:tcPr>
            <w:tcW w:w="1169" w:type="dxa"/>
            <w:tcBorders>
              <w:top w:val="single" w:sz="4" w:space="0" w:color="auto"/>
              <w:left w:val="single" w:sz="4" w:space="0" w:color="auto"/>
              <w:bottom w:val="single" w:sz="4" w:space="0" w:color="auto"/>
              <w:right w:val="single" w:sz="4" w:space="0" w:color="auto"/>
            </w:tcBorders>
          </w:tcPr>
          <w:p w14:paraId="55483373" w14:textId="77777777" w:rsidR="00B47A2A" w:rsidRPr="00527BAA" w:rsidRDefault="00B47A2A" w:rsidP="00B47A2A">
            <w:pPr>
              <w:spacing w:before="60" w:after="60" w:line="240" w:lineRule="auto"/>
              <w:jc w:val="center"/>
              <w:rPr>
                <w:sz w:val="22"/>
              </w:rPr>
            </w:pPr>
            <w:r w:rsidRPr="00527BAA">
              <w:rPr>
                <w:sz w:val="22"/>
              </w:rPr>
              <w:t>15</w:t>
            </w:r>
          </w:p>
          <w:p w14:paraId="1D659575" w14:textId="244DD61D" w:rsidR="00B47A2A" w:rsidRPr="00527BAA" w:rsidRDefault="00B47A2A" w:rsidP="00B47A2A">
            <w:pPr>
              <w:spacing w:before="60" w:after="60" w:line="240" w:lineRule="auto"/>
              <w:jc w:val="center"/>
              <w:rPr>
                <w:sz w:val="22"/>
              </w:rPr>
            </w:pPr>
            <w:r w:rsidRPr="00527BAA">
              <w:rPr>
                <w:sz w:val="22"/>
              </w:rPr>
              <w:t>(26.3%)</w:t>
            </w:r>
          </w:p>
        </w:tc>
        <w:tc>
          <w:tcPr>
            <w:tcW w:w="1234" w:type="dxa"/>
            <w:tcBorders>
              <w:top w:val="single" w:sz="4" w:space="0" w:color="auto"/>
              <w:left w:val="single" w:sz="4" w:space="0" w:color="auto"/>
              <w:bottom w:val="single" w:sz="4" w:space="0" w:color="auto"/>
              <w:right w:val="single" w:sz="4" w:space="0" w:color="auto"/>
            </w:tcBorders>
          </w:tcPr>
          <w:p w14:paraId="3CBAE8BE" w14:textId="77777777" w:rsidR="00B47A2A" w:rsidRPr="00527BAA" w:rsidRDefault="00B47A2A" w:rsidP="00B47A2A">
            <w:pPr>
              <w:spacing w:before="60" w:after="60" w:line="240" w:lineRule="auto"/>
              <w:jc w:val="center"/>
              <w:rPr>
                <w:sz w:val="22"/>
              </w:rPr>
            </w:pPr>
            <w:r w:rsidRPr="00527BAA">
              <w:rPr>
                <w:sz w:val="22"/>
              </w:rPr>
              <w:t>8</w:t>
            </w:r>
          </w:p>
          <w:p w14:paraId="345ED091" w14:textId="77BD3D9A" w:rsidR="00B47A2A" w:rsidRPr="00527BAA" w:rsidRDefault="00B47A2A" w:rsidP="00B47A2A">
            <w:pPr>
              <w:spacing w:before="60" w:after="60" w:line="240" w:lineRule="auto"/>
              <w:jc w:val="center"/>
              <w:rPr>
                <w:sz w:val="22"/>
              </w:rPr>
            </w:pPr>
            <w:r w:rsidRPr="00527BAA">
              <w:rPr>
                <w:sz w:val="22"/>
              </w:rPr>
              <w:t>(14.0%)</w:t>
            </w:r>
          </w:p>
        </w:tc>
        <w:tc>
          <w:tcPr>
            <w:tcW w:w="750" w:type="dxa"/>
            <w:tcBorders>
              <w:top w:val="single" w:sz="4" w:space="0" w:color="auto"/>
              <w:left w:val="single" w:sz="4" w:space="0" w:color="auto"/>
              <w:bottom w:val="single" w:sz="4" w:space="0" w:color="auto"/>
              <w:right w:val="single" w:sz="4" w:space="0" w:color="auto"/>
            </w:tcBorders>
            <w:vAlign w:val="bottom"/>
          </w:tcPr>
          <w:p w14:paraId="34741F32" w14:textId="77777777" w:rsidR="00B47A2A" w:rsidRPr="00527BAA" w:rsidRDefault="00B47A2A" w:rsidP="00B47A2A">
            <w:pPr>
              <w:spacing w:before="60" w:after="60" w:line="240" w:lineRule="auto"/>
              <w:jc w:val="center"/>
              <w:rPr>
                <w:sz w:val="22"/>
              </w:rPr>
            </w:pPr>
            <w:r w:rsidRPr="00527BAA">
              <w:rPr>
                <w:sz w:val="22"/>
              </w:rPr>
              <w:t>57</w:t>
            </w:r>
          </w:p>
          <w:p w14:paraId="65DD96CE" w14:textId="77777777" w:rsidR="00B47A2A" w:rsidRPr="00527BAA" w:rsidRDefault="00B47A2A" w:rsidP="00B47A2A">
            <w:pPr>
              <w:spacing w:before="60" w:after="60" w:line="240" w:lineRule="auto"/>
              <w:jc w:val="center"/>
              <w:rPr>
                <w:sz w:val="22"/>
              </w:rPr>
            </w:pPr>
          </w:p>
        </w:tc>
      </w:tr>
      <w:tr w:rsidR="00B47A2A" w:rsidRPr="00527BAA" w14:paraId="54FB79E3" w14:textId="77777777" w:rsidTr="009761C9">
        <w:tc>
          <w:tcPr>
            <w:tcW w:w="4815" w:type="dxa"/>
            <w:tcBorders>
              <w:top w:val="single" w:sz="4" w:space="0" w:color="auto"/>
              <w:left w:val="single" w:sz="4" w:space="0" w:color="auto"/>
              <w:bottom w:val="single" w:sz="4" w:space="0" w:color="auto"/>
              <w:right w:val="single" w:sz="4" w:space="0" w:color="auto"/>
            </w:tcBorders>
          </w:tcPr>
          <w:p w14:paraId="779AD3C7" w14:textId="77777777" w:rsidR="00B47A2A" w:rsidRPr="00527BAA" w:rsidRDefault="00B47A2A" w:rsidP="00B47A2A">
            <w:pPr>
              <w:spacing w:before="60" w:after="60" w:line="240" w:lineRule="auto"/>
              <w:rPr>
                <w:sz w:val="22"/>
              </w:rPr>
            </w:pPr>
            <w:r w:rsidRPr="00527BAA">
              <w:rPr>
                <w:sz w:val="22"/>
              </w:rPr>
              <w:t>Indicator 2: Referral for bariatric surgery</w:t>
            </w:r>
          </w:p>
        </w:tc>
        <w:tc>
          <w:tcPr>
            <w:tcW w:w="1241" w:type="dxa"/>
            <w:tcBorders>
              <w:top w:val="single" w:sz="4" w:space="0" w:color="auto"/>
              <w:left w:val="single" w:sz="4" w:space="0" w:color="auto"/>
              <w:bottom w:val="single" w:sz="4" w:space="0" w:color="auto"/>
              <w:right w:val="single" w:sz="4" w:space="0" w:color="auto"/>
            </w:tcBorders>
          </w:tcPr>
          <w:p w14:paraId="5FB55E56" w14:textId="77777777" w:rsidR="00B47A2A" w:rsidRPr="00527BAA" w:rsidRDefault="00B47A2A" w:rsidP="00B47A2A">
            <w:pPr>
              <w:spacing w:before="60" w:after="60" w:line="240" w:lineRule="auto"/>
              <w:jc w:val="center"/>
              <w:rPr>
                <w:sz w:val="22"/>
              </w:rPr>
            </w:pPr>
            <w:r w:rsidRPr="00527BAA">
              <w:rPr>
                <w:sz w:val="22"/>
              </w:rPr>
              <w:t>35</w:t>
            </w:r>
          </w:p>
          <w:p w14:paraId="790E3063" w14:textId="6DB17898" w:rsidR="00B47A2A" w:rsidRPr="00527BAA" w:rsidRDefault="00B47A2A" w:rsidP="00B47A2A">
            <w:pPr>
              <w:spacing w:before="60" w:after="60" w:line="240" w:lineRule="auto"/>
              <w:jc w:val="center"/>
              <w:rPr>
                <w:sz w:val="22"/>
              </w:rPr>
            </w:pPr>
            <w:r w:rsidRPr="00527BAA">
              <w:rPr>
                <w:sz w:val="22"/>
              </w:rPr>
              <w:t>(61.4%)</w:t>
            </w:r>
          </w:p>
        </w:tc>
        <w:tc>
          <w:tcPr>
            <w:tcW w:w="1169" w:type="dxa"/>
            <w:tcBorders>
              <w:top w:val="single" w:sz="4" w:space="0" w:color="auto"/>
              <w:left w:val="single" w:sz="4" w:space="0" w:color="auto"/>
              <w:bottom w:val="single" w:sz="4" w:space="0" w:color="auto"/>
              <w:right w:val="single" w:sz="4" w:space="0" w:color="auto"/>
            </w:tcBorders>
          </w:tcPr>
          <w:p w14:paraId="59AF6845" w14:textId="77777777" w:rsidR="00B47A2A" w:rsidRPr="00527BAA" w:rsidRDefault="00B47A2A" w:rsidP="00B47A2A">
            <w:pPr>
              <w:spacing w:before="60" w:after="60" w:line="240" w:lineRule="auto"/>
              <w:jc w:val="center"/>
              <w:rPr>
                <w:sz w:val="22"/>
              </w:rPr>
            </w:pPr>
            <w:r w:rsidRPr="00527BAA">
              <w:rPr>
                <w:sz w:val="22"/>
              </w:rPr>
              <w:t>12</w:t>
            </w:r>
          </w:p>
          <w:p w14:paraId="69BEA5DB" w14:textId="0A2B099C" w:rsidR="00B47A2A" w:rsidRPr="00527BAA" w:rsidRDefault="00B47A2A" w:rsidP="00B47A2A">
            <w:pPr>
              <w:spacing w:before="60" w:after="60" w:line="240" w:lineRule="auto"/>
              <w:jc w:val="center"/>
              <w:rPr>
                <w:sz w:val="22"/>
              </w:rPr>
            </w:pPr>
            <w:r w:rsidRPr="00527BAA">
              <w:rPr>
                <w:sz w:val="22"/>
              </w:rPr>
              <w:t>(21.1%)</w:t>
            </w:r>
          </w:p>
        </w:tc>
        <w:tc>
          <w:tcPr>
            <w:tcW w:w="1234" w:type="dxa"/>
            <w:tcBorders>
              <w:top w:val="single" w:sz="4" w:space="0" w:color="auto"/>
              <w:left w:val="single" w:sz="4" w:space="0" w:color="auto"/>
              <w:bottom w:val="single" w:sz="4" w:space="0" w:color="auto"/>
              <w:right w:val="single" w:sz="4" w:space="0" w:color="auto"/>
            </w:tcBorders>
          </w:tcPr>
          <w:p w14:paraId="06441D04" w14:textId="77777777" w:rsidR="00B47A2A" w:rsidRPr="00527BAA" w:rsidRDefault="00B47A2A" w:rsidP="00B47A2A">
            <w:pPr>
              <w:spacing w:before="60" w:after="60" w:line="240" w:lineRule="auto"/>
              <w:jc w:val="center"/>
              <w:rPr>
                <w:sz w:val="22"/>
              </w:rPr>
            </w:pPr>
            <w:r w:rsidRPr="00527BAA">
              <w:rPr>
                <w:sz w:val="22"/>
              </w:rPr>
              <w:t>10</w:t>
            </w:r>
          </w:p>
          <w:p w14:paraId="23FA6234" w14:textId="3F0501B1" w:rsidR="00B47A2A" w:rsidRPr="00527BAA" w:rsidRDefault="00B47A2A" w:rsidP="00B47A2A">
            <w:pPr>
              <w:spacing w:before="60" w:after="60" w:line="240" w:lineRule="auto"/>
              <w:jc w:val="center"/>
              <w:rPr>
                <w:sz w:val="22"/>
              </w:rPr>
            </w:pPr>
            <w:r w:rsidRPr="00527BAA">
              <w:rPr>
                <w:sz w:val="22"/>
              </w:rPr>
              <w:t>(17.5%)</w:t>
            </w:r>
          </w:p>
        </w:tc>
        <w:tc>
          <w:tcPr>
            <w:tcW w:w="750" w:type="dxa"/>
            <w:tcBorders>
              <w:top w:val="single" w:sz="4" w:space="0" w:color="auto"/>
              <w:left w:val="single" w:sz="4" w:space="0" w:color="auto"/>
              <w:bottom w:val="single" w:sz="4" w:space="0" w:color="auto"/>
              <w:right w:val="single" w:sz="4" w:space="0" w:color="auto"/>
            </w:tcBorders>
            <w:vAlign w:val="bottom"/>
          </w:tcPr>
          <w:p w14:paraId="57962122" w14:textId="77777777" w:rsidR="00B47A2A" w:rsidRPr="00527BAA" w:rsidRDefault="00B47A2A" w:rsidP="00B47A2A">
            <w:pPr>
              <w:spacing w:before="60" w:after="60" w:line="240" w:lineRule="auto"/>
              <w:jc w:val="center"/>
              <w:rPr>
                <w:sz w:val="22"/>
              </w:rPr>
            </w:pPr>
            <w:r w:rsidRPr="00527BAA">
              <w:rPr>
                <w:sz w:val="22"/>
              </w:rPr>
              <w:t>57</w:t>
            </w:r>
          </w:p>
          <w:p w14:paraId="3581F0B1" w14:textId="77777777" w:rsidR="00B47A2A" w:rsidRPr="00527BAA" w:rsidRDefault="00B47A2A" w:rsidP="00B47A2A">
            <w:pPr>
              <w:spacing w:before="60" w:after="60" w:line="240" w:lineRule="auto"/>
              <w:jc w:val="center"/>
              <w:rPr>
                <w:sz w:val="22"/>
              </w:rPr>
            </w:pPr>
          </w:p>
        </w:tc>
      </w:tr>
      <w:tr w:rsidR="00B47A2A" w:rsidRPr="00527BAA" w14:paraId="5F122A25" w14:textId="77777777" w:rsidTr="009761C9">
        <w:tc>
          <w:tcPr>
            <w:tcW w:w="4815" w:type="dxa"/>
            <w:tcBorders>
              <w:top w:val="single" w:sz="4" w:space="0" w:color="auto"/>
              <w:left w:val="single" w:sz="4" w:space="0" w:color="auto"/>
              <w:bottom w:val="single" w:sz="4" w:space="0" w:color="auto"/>
              <w:right w:val="single" w:sz="4" w:space="0" w:color="auto"/>
            </w:tcBorders>
          </w:tcPr>
          <w:p w14:paraId="4E7FCD29" w14:textId="77777777" w:rsidR="00B47A2A" w:rsidRPr="00527BAA" w:rsidRDefault="00B47A2A" w:rsidP="00B47A2A">
            <w:pPr>
              <w:spacing w:before="60" w:after="60" w:line="240" w:lineRule="auto"/>
              <w:rPr>
                <w:sz w:val="22"/>
              </w:rPr>
            </w:pPr>
            <w:r w:rsidRPr="00527BAA">
              <w:rPr>
                <w:sz w:val="22"/>
              </w:rPr>
              <w:t>Indicator 3: Nutritional status monitoring in primary care after bariatric surgery (all patients)</w:t>
            </w:r>
          </w:p>
        </w:tc>
        <w:tc>
          <w:tcPr>
            <w:tcW w:w="1241" w:type="dxa"/>
            <w:tcBorders>
              <w:top w:val="single" w:sz="4" w:space="0" w:color="auto"/>
              <w:left w:val="single" w:sz="4" w:space="0" w:color="auto"/>
              <w:bottom w:val="single" w:sz="4" w:space="0" w:color="auto"/>
              <w:right w:val="single" w:sz="4" w:space="0" w:color="auto"/>
            </w:tcBorders>
          </w:tcPr>
          <w:p w14:paraId="7327AF97" w14:textId="77777777" w:rsidR="00B47A2A" w:rsidRPr="00527BAA" w:rsidRDefault="00B47A2A" w:rsidP="00B47A2A">
            <w:pPr>
              <w:spacing w:before="60" w:after="60" w:line="240" w:lineRule="auto"/>
              <w:jc w:val="center"/>
              <w:rPr>
                <w:sz w:val="22"/>
              </w:rPr>
            </w:pPr>
            <w:r w:rsidRPr="00527BAA">
              <w:rPr>
                <w:sz w:val="22"/>
              </w:rPr>
              <w:t>32</w:t>
            </w:r>
          </w:p>
          <w:p w14:paraId="31D62015" w14:textId="0DF5A339" w:rsidR="00B47A2A" w:rsidRPr="00527BAA" w:rsidRDefault="00B47A2A" w:rsidP="00B47A2A">
            <w:pPr>
              <w:spacing w:before="60" w:after="60" w:line="240" w:lineRule="auto"/>
              <w:jc w:val="center"/>
              <w:rPr>
                <w:sz w:val="22"/>
              </w:rPr>
            </w:pPr>
            <w:r w:rsidRPr="00527BAA">
              <w:rPr>
                <w:sz w:val="22"/>
              </w:rPr>
              <w:t>(56.1%)</w:t>
            </w:r>
          </w:p>
        </w:tc>
        <w:tc>
          <w:tcPr>
            <w:tcW w:w="1169" w:type="dxa"/>
            <w:tcBorders>
              <w:top w:val="single" w:sz="4" w:space="0" w:color="auto"/>
              <w:left w:val="single" w:sz="4" w:space="0" w:color="auto"/>
              <w:bottom w:val="single" w:sz="4" w:space="0" w:color="auto"/>
              <w:right w:val="single" w:sz="4" w:space="0" w:color="auto"/>
            </w:tcBorders>
          </w:tcPr>
          <w:p w14:paraId="6A4A5F44" w14:textId="77777777" w:rsidR="00B47A2A" w:rsidRPr="00527BAA" w:rsidRDefault="00B47A2A" w:rsidP="00B47A2A">
            <w:pPr>
              <w:spacing w:before="60" w:after="60" w:line="240" w:lineRule="auto"/>
              <w:jc w:val="center"/>
              <w:rPr>
                <w:sz w:val="22"/>
              </w:rPr>
            </w:pPr>
            <w:r w:rsidRPr="00527BAA">
              <w:rPr>
                <w:sz w:val="22"/>
              </w:rPr>
              <w:t>15</w:t>
            </w:r>
          </w:p>
          <w:p w14:paraId="65EF371E" w14:textId="19471DFB" w:rsidR="00B47A2A" w:rsidRPr="00527BAA" w:rsidRDefault="00B47A2A" w:rsidP="00B47A2A">
            <w:pPr>
              <w:spacing w:before="60" w:after="60" w:line="240" w:lineRule="auto"/>
              <w:jc w:val="center"/>
              <w:rPr>
                <w:sz w:val="22"/>
              </w:rPr>
            </w:pPr>
            <w:r w:rsidRPr="00527BAA">
              <w:rPr>
                <w:sz w:val="22"/>
              </w:rPr>
              <w:t>(26.3%)</w:t>
            </w:r>
          </w:p>
        </w:tc>
        <w:tc>
          <w:tcPr>
            <w:tcW w:w="1234" w:type="dxa"/>
            <w:tcBorders>
              <w:top w:val="single" w:sz="4" w:space="0" w:color="auto"/>
              <w:left w:val="single" w:sz="4" w:space="0" w:color="auto"/>
              <w:bottom w:val="single" w:sz="4" w:space="0" w:color="auto"/>
              <w:right w:val="single" w:sz="4" w:space="0" w:color="auto"/>
            </w:tcBorders>
          </w:tcPr>
          <w:p w14:paraId="3F1A09AE" w14:textId="77777777" w:rsidR="00B47A2A" w:rsidRPr="00527BAA" w:rsidRDefault="00B47A2A" w:rsidP="00B47A2A">
            <w:pPr>
              <w:spacing w:before="60" w:after="60" w:line="240" w:lineRule="auto"/>
              <w:jc w:val="center"/>
              <w:rPr>
                <w:sz w:val="22"/>
              </w:rPr>
            </w:pPr>
            <w:r w:rsidRPr="00527BAA">
              <w:rPr>
                <w:sz w:val="22"/>
              </w:rPr>
              <w:t>10</w:t>
            </w:r>
          </w:p>
          <w:p w14:paraId="34E15E12" w14:textId="0704BBE3" w:rsidR="00B47A2A" w:rsidRPr="00527BAA" w:rsidRDefault="00B47A2A" w:rsidP="00B47A2A">
            <w:pPr>
              <w:spacing w:before="60" w:after="60" w:line="240" w:lineRule="auto"/>
              <w:jc w:val="center"/>
              <w:rPr>
                <w:sz w:val="22"/>
              </w:rPr>
            </w:pPr>
            <w:r w:rsidRPr="00527BAA">
              <w:rPr>
                <w:sz w:val="22"/>
              </w:rPr>
              <w:t>(17.5%)</w:t>
            </w:r>
          </w:p>
        </w:tc>
        <w:tc>
          <w:tcPr>
            <w:tcW w:w="750" w:type="dxa"/>
            <w:tcBorders>
              <w:top w:val="single" w:sz="4" w:space="0" w:color="auto"/>
              <w:left w:val="single" w:sz="4" w:space="0" w:color="auto"/>
              <w:bottom w:val="single" w:sz="4" w:space="0" w:color="auto"/>
              <w:right w:val="single" w:sz="4" w:space="0" w:color="auto"/>
            </w:tcBorders>
            <w:vAlign w:val="bottom"/>
          </w:tcPr>
          <w:p w14:paraId="44E29B00" w14:textId="77777777" w:rsidR="00B47A2A" w:rsidRPr="00527BAA" w:rsidRDefault="00B47A2A" w:rsidP="00B47A2A">
            <w:pPr>
              <w:spacing w:before="60" w:after="60" w:line="240" w:lineRule="auto"/>
              <w:jc w:val="center"/>
              <w:rPr>
                <w:sz w:val="22"/>
              </w:rPr>
            </w:pPr>
            <w:r w:rsidRPr="00527BAA">
              <w:rPr>
                <w:sz w:val="22"/>
              </w:rPr>
              <w:t>57</w:t>
            </w:r>
          </w:p>
          <w:p w14:paraId="44612D43" w14:textId="77777777" w:rsidR="00B47A2A" w:rsidRPr="00527BAA" w:rsidRDefault="00B47A2A" w:rsidP="00B47A2A">
            <w:pPr>
              <w:spacing w:before="60" w:after="60" w:line="240" w:lineRule="auto"/>
              <w:jc w:val="center"/>
              <w:rPr>
                <w:sz w:val="22"/>
              </w:rPr>
            </w:pPr>
          </w:p>
        </w:tc>
      </w:tr>
      <w:tr w:rsidR="00B47A2A" w:rsidRPr="00527BAA" w14:paraId="7B8EBD24" w14:textId="77777777" w:rsidTr="009761C9">
        <w:tc>
          <w:tcPr>
            <w:tcW w:w="4815" w:type="dxa"/>
            <w:tcBorders>
              <w:top w:val="single" w:sz="4" w:space="0" w:color="auto"/>
              <w:left w:val="single" w:sz="4" w:space="0" w:color="auto"/>
              <w:bottom w:val="single" w:sz="4" w:space="0" w:color="auto"/>
              <w:right w:val="single" w:sz="4" w:space="0" w:color="auto"/>
            </w:tcBorders>
          </w:tcPr>
          <w:p w14:paraId="56E7C03B" w14:textId="77777777" w:rsidR="00B47A2A" w:rsidRPr="00527BAA" w:rsidRDefault="00B47A2A" w:rsidP="00B47A2A">
            <w:pPr>
              <w:spacing w:before="60" w:after="60" w:line="240" w:lineRule="auto"/>
              <w:rPr>
                <w:sz w:val="22"/>
              </w:rPr>
            </w:pPr>
            <w:r w:rsidRPr="00527BAA">
              <w:rPr>
                <w:sz w:val="22"/>
              </w:rPr>
              <w:t>Indicator 4: Nutritional status monitoring in primary care after bariatric surgery (new patients)</w:t>
            </w:r>
          </w:p>
        </w:tc>
        <w:tc>
          <w:tcPr>
            <w:tcW w:w="1241" w:type="dxa"/>
            <w:tcBorders>
              <w:top w:val="single" w:sz="4" w:space="0" w:color="auto"/>
              <w:left w:val="single" w:sz="4" w:space="0" w:color="auto"/>
              <w:bottom w:val="single" w:sz="4" w:space="0" w:color="auto"/>
              <w:right w:val="single" w:sz="4" w:space="0" w:color="auto"/>
            </w:tcBorders>
          </w:tcPr>
          <w:p w14:paraId="089DF110" w14:textId="77777777" w:rsidR="00B47A2A" w:rsidRPr="00527BAA" w:rsidRDefault="00B47A2A" w:rsidP="00B47A2A">
            <w:pPr>
              <w:spacing w:before="60" w:after="60" w:line="240" w:lineRule="auto"/>
              <w:jc w:val="center"/>
              <w:rPr>
                <w:sz w:val="22"/>
              </w:rPr>
            </w:pPr>
            <w:r w:rsidRPr="00527BAA">
              <w:rPr>
                <w:sz w:val="22"/>
              </w:rPr>
              <w:t>33</w:t>
            </w:r>
          </w:p>
          <w:p w14:paraId="4086C9FF" w14:textId="1362FAF9" w:rsidR="00B47A2A" w:rsidRPr="00527BAA" w:rsidRDefault="00B47A2A" w:rsidP="00B47A2A">
            <w:pPr>
              <w:spacing w:before="60" w:after="60" w:line="240" w:lineRule="auto"/>
              <w:jc w:val="center"/>
              <w:rPr>
                <w:sz w:val="22"/>
              </w:rPr>
            </w:pPr>
            <w:r w:rsidRPr="00527BAA">
              <w:rPr>
                <w:sz w:val="22"/>
              </w:rPr>
              <w:t>(57.9%)</w:t>
            </w:r>
          </w:p>
        </w:tc>
        <w:tc>
          <w:tcPr>
            <w:tcW w:w="1169" w:type="dxa"/>
            <w:tcBorders>
              <w:top w:val="single" w:sz="4" w:space="0" w:color="auto"/>
              <w:left w:val="single" w:sz="4" w:space="0" w:color="auto"/>
              <w:bottom w:val="single" w:sz="4" w:space="0" w:color="auto"/>
              <w:right w:val="single" w:sz="4" w:space="0" w:color="auto"/>
            </w:tcBorders>
          </w:tcPr>
          <w:p w14:paraId="1CB77155" w14:textId="77777777" w:rsidR="00B47A2A" w:rsidRPr="00527BAA" w:rsidRDefault="00B47A2A" w:rsidP="00B47A2A">
            <w:pPr>
              <w:spacing w:before="60" w:after="60" w:line="240" w:lineRule="auto"/>
              <w:jc w:val="center"/>
              <w:rPr>
                <w:sz w:val="22"/>
              </w:rPr>
            </w:pPr>
            <w:r w:rsidRPr="00527BAA">
              <w:rPr>
                <w:sz w:val="22"/>
              </w:rPr>
              <w:t>14</w:t>
            </w:r>
          </w:p>
          <w:p w14:paraId="33F9FE5B" w14:textId="3D7F179C" w:rsidR="00B47A2A" w:rsidRPr="00527BAA" w:rsidRDefault="00B47A2A" w:rsidP="00B47A2A">
            <w:pPr>
              <w:spacing w:before="60" w:after="60" w:line="240" w:lineRule="auto"/>
              <w:jc w:val="center"/>
              <w:rPr>
                <w:sz w:val="22"/>
              </w:rPr>
            </w:pPr>
            <w:r w:rsidRPr="00527BAA">
              <w:rPr>
                <w:sz w:val="22"/>
              </w:rPr>
              <w:t>(24.6%)</w:t>
            </w:r>
          </w:p>
        </w:tc>
        <w:tc>
          <w:tcPr>
            <w:tcW w:w="1234" w:type="dxa"/>
            <w:tcBorders>
              <w:top w:val="single" w:sz="4" w:space="0" w:color="auto"/>
              <w:left w:val="single" w:sz="4" w:space="0" w:color="auto"/>
              <w:bottom w:val="single" w:sz="4" w:space="0" w:color="auto"/>
              <w:right w:val="single" w:sz="4" w:space="0" w:color="auto"/>
            </w:tcBorders>
          </w:tcPr>
          <w:p w14:paraId="3712D574" w14:textId="77777777" w:rsidR="00B47A2A" w:rsidRPr="00527BAA" w:rsidRDefault="00B47A2A" w:rsidP="00B47A2A">
            <w:pPr>
              <w:spacing w:before="60" w:after="60" w:line="240" w:lineRule="auto"/>
              <w:jc w:val="center"/>
              <w:rPr>
                <w:sz w:val="22"/>
              </w:rPr>
            </w:pPr>
            <w:r w:rsidRPr="00527BAA">
              <w:rPr>
                <w:sz w:val="22"/>
              </w:rPr>
              <w:t>10</w:t>
            </w:r>
          </w:p>
          <w:p w14:paraId="42C2D1B6" w14:textId="75598266" w:rsidR="00B47A2A" w:rsidRPr="00527BAA" w:rsidRDefault="00B47A2A" w:rsidP="00B47A2A">
            <w:pPr>
              <w:spacing w:before="60" w:after="60" w:line="240" w:lineRule="auto"/>
              <w:jc w:val="center"/>
              <w:rPr>
                <w:sz w:val="22"/>
              </w:rPr>
            </w:pPr>
            <w:r w:rsidRPr="00527BAA">
              <w:rPr>
                <w:sz w:val="22"/>
              </w:rPr>
              <w:t>(17.5%)</w:t>
            </w:r>
          </w:p>
        </w:tc>
        <w:tc>
          <w:tcPr>
            <w:tcW w:w="750" w:type="dxa"/>
            <w:tcBorders>
              <w:top w:val="single" w:sz="4" w:space="0" w:color="auto"/>
              <w:left w:val="single" w:sz="4" w:space="0" w:color="auto"/>
              <w:bottom w:val="single" w:sz="4" w:space="0" w:color="auto"/>
              <w:right w:val="single" w:sz="4" w:space="0" w:color="auto"/>
            </w:tcBorders>
            <w:vAlign w:val="bottom"/>
          </w:tcPr>
          <w:p w14:paraId="46F40DB5" w14:textId="77777777" w:rsidR="00B47A2A" w:rsidRPr="00527BAA" w:rsidRDefault="00B47A2A" w:rsidP="00B47A2A">
            <w:pPr>
              <w:spacing w:before="60" w:after="60" w:line="240" w:lineRule="auto"/>
              <w:jc w:val="center"/>
              <w:rPr>
                <w:sz w:val="22"/>
              </w:rPr>
            </w:pPr>
            <w:r w:rsidRPr="00527BAA">
              <w:rPr>
                <w:sz w:val="22"/>
              </w:rPr>
              <w:t>57</w:t>
            </w:r>
          </w:p>
          <w:p w14:paraId="1BBEA363" w14:textId="77777777" w:rsidR="00B47A2A" w:rsidRPr="00527BAA" w:rsidRDefault="00B47A2A" w:rsidP="00B47A2A">
            <w:pPr>
              <w:spacing w:before="60" w:after="60" w:line="240" w:lineRule="auto"/>
              <w:jc w:val="center"/>
              <w:rPr>
                <w:sz w:val="22"/>
              </w:rPr>
            </w:pPr>
          </w:p>
        </w:tc>
      </w:tr>
    </w:tbl>
    <w:p w14:paraId="3FAB3A71" w14:textId="77777777" w:rsidR="0094530C" w:rsidRPr="00CB5DF2" w:rsidRDefault="0094530C" w:rsidP="0094530C">
      <w:pPr>
        <w:spacing w:line="312" w:lineRule="auto"/>
        <w:rPr>
          <w:sz w:val="22"/>
        </w:rPr>
      </w:pPr>
      <w:r w:rsidRPr="00CB5DF2">
        <w:rPr>
          <w:sz w:val="22"/>
        </w:rPr>
        <w:t>Please note where percentages do not total 100%, this is as a result of rounding.</w:t>
      </w:r>
    </w:p>
    <w:p w14:paraId="794ED4D0" w14:textId="70B617DD" w:rsidR="00010C89" w:rsidRPr="00010C89" w:rsidRDefault="00010C89" w:rsidP="001A284B">
      <w:pPr>
        <w:spacing w:before="120"/>
      </w:pPr>
      <w:r w:rsidRPr="00010C89">
        <w:t xml:space="preserve">For indicator 2, relating to referrals for bariatric surgery assessment, one interviewee felt that </w:t>
      </w:r>
      <w:r w:rsidR="001A284B">
        <w:t>practices</w:t>
      </w:r>
      <w:r w:rsidRPr="00010C89">
        <w:t xml:space="preserve"> in affluent areas would be worse off if this indicator were to be financially incentivised, on the assumption that there would be more bariatric services available to refer to in more deprived areas.  </w:t>
      </w:r>
    </w:p>
    <w:p w14:paraId="0B8FC81A" w14:textId="66EEE39E" w:rsidR="00010C89" w:rsidRPr="00911385" w:rsidRDefault="00010C89" w:rsidP="00C060C9">
      <w:r w:rsidRPr="00911385">
        <w:t xml:space="preserve">Two interviewees felt that </w:t>
      </w:r>
      <w:r w:rsidR="00911385" w:rsidRPr="00911385">
        <w:t>they should be financially rewarded for post-surgery monitoring</w:t>
      </w:r>
      <w:r w:rsidR="005750F1">
        <w:t xml:space="preserve"> (Indicators 3 and 4)</w:t>
      </w:r>
      <w:r w:rsidR="00911385" w:rsidRPr="00911385">
        <w:t xml:space="preserve">: </w:t>
      </w:r>
    </w:p>
    <w:p w14:paraId="1FDA83F8" w14:textId="5EA1AF6B" w:rsidR="00C060C9" w:rsidRDefault="00C060C9" w:rsidP="00327A02">
      <w:pPr>
        <w:spacing w:line="312" w:lineRule="auto"/>
        <w:rPr>
          <w:i/>
          <w:iCs/>
        </w:rPr>
      </w:pPr>
      <w:r w:rsidRPr="00911385">
        <w:rPr>
          <w:i/>
          <w:iCs/>
        </w:rPr>
        <w:lastRenderedPageBreak/>
        <w:t>"These indicator</w:t>
      </w:r>
      <w:r w:rsidR="00010C89" w:rsidRPr="00911385">
        <w:rPr>
          <w:i/>
          <w:iCs/>
        </w:rPr>
        <w:t>(s)</w:t>
      </w:r>
      <w:r w:rsidRPr="00911385">
        <w:rPr>
          <w:i/>
          <w:iCs/>
        </w:rPr>
        <w:t xml:space="preserve"> pre suppose we get told about patients who get treatment overseas at the point of surgery - if not we could be 12 months in and then only get told in consultations about other matters. We therefore need paying to cover these cases"</w:t>
      </w:r>
      <w:r w:rsidR="00911385" w:rsidRPr="00911385">
        <w:rPr>
          <w:i/>
          <w:iCs/>
        </w:rPr>
        <w:t xml:space="preserve"> [Practice manager, survey]</w:t>
      </w:r>
    </w:p>
    <w:p w14:paraId="2C3F9290" w14:textId="2B9AA498" w:rsidR="00555E7A" w:rsidRPr="00911385" w:rsidRDefault="00911385" w:rsidP="00327A02">
      <w:pPr>
        <w:spacing w:line="312" w:lineRule="auto"/>
        <w:rPr>
          <w:i/>
          <w:iCs/>
        </w:rPr>
      </w:pPr>
      <w:r w:rsidRPr="00911385">
        <w:rPr>
          <w:i/>
          <w:iCs/>
        </w:rPr>
        <w:t>“</w:t>
      </w:r>
      <w:r w:rsidR="00555E7A" w:rsidRPr="00911385">
        <w:rPr>
          <w:i/>
          <w:iCs/>
        </w:rPr>
        <w:t>Funding should follow moving any monitoring into primary care.</w:t>
      </w:r>
      <w:r w:rsidRPr="00911385">
        <w:rPr>
          <w:i/>
          <w:iCs/>
        </w:rPr>
        <w:t>”</w:t>
      </w:r>
      <w:r w:rsidR="00555E7A" w:rsidRPr="00911385">
        <w:rPr>
          <w:i/>
          <w:iCs/>
        </w:rPr>
        <w:t xml:space="preserve">  </w:t>
      </w:r>
      <w:r w:rsidRPr="00911385">
        <w:rPr>
          <w:i/>
          <w:iCs/>
        </w:rPr>
        <w:t>[GP, survey]</w:t>
      </w:r>
    </w:p>
    <w:p w14:paraId="659FCBBA" w14:textId="7C949E96" w:rsidR="00911385" w:rsidRPr="00911385" w:rsidRDefault="00911385" w:rsidP="00C060C9">
      <w:r w:rsidRPr="00911385">
        <w:t xml:space="preserve">A GP when interviewed felt </w:t>
      </w:r>
      <w:r>
        <w:t>indicator 3 was</w:t>
      </w:r>
      <w:r w:rsidRPr="00911385">
        <w:t xml:space="preserve"> not suitable for financial incentivisation</w:t>
      </w:r>
      <w:r>
        <w:t xml:space="preserve"> due to small numbers (and therefore this comment will also apply to indicator 4):</w:t>
      </w:r>
    </w:p>
    <w:p w14:paraId="4980A5D7" w14:textId="3F7DEEF4" w:rsidR="0043674C" w:rsidRPr="00911385" w:rsidRDefault="003A1CE6" w:rsidP="00911385">
      <w:pPr>
        <w:spacing w:after="0" w:line="312" w:lineRule="auto"/>
        <w:rPr>
          <w:i/>
          <w:iCs/>
        </w:rPr>
      </w:pPr>
      <w:r w:rsidRPr="00911385">
        <w:rPr>
          <w:i/>
          <w:iCs/>
        </w:rPr>
        <w:t>“I think the numbers are too small. Assuming you start putting incentives and percentages on it, it’s going to skew […] if you start putting exemptions or bits and pieces, you’re going to have such small numbers, it’s going to feel very perverse and not worth the energy probably.” [GP, interview]</w:t>
      </w:r>
    </w:p>
    <w:p w14:paraId="7764B701" w14:textId="71290ECC" w:rsidR="00E016E0" w:rsidRPr="001556F6" w:rsidRDefault="00E016E0" w:rsidP="00C1579B">
      <w:pPr>
        <w:pStyle w:val="Heading3"/>
        <w:spacing w:before="360"/>
        <w:ind w:left="1225" w:hanging="505"/>
      </w:pPr>
      <w:r w:rsidRPr="001556F6">
        <w:t>Quality improvement</w:t>
      </w:r>
    </w:p>
    <w:p w14:paraId="1372D480" w14:textId="3943AD0E" w:rsidR="002B67C6" w:rsidRDefault="00E0254B" w:rsidP="009C701B">
      <w:r>
        <w:t>There were mixed views about whether</w:t>
      </w:r>
      <w:r w:rsidR="00963745">
        <w:t xml:space="preserve"> the indicator</w:t>
      </w:r>
      <w:r w:rsidR="002B67C6">
        <w:t>s</w:t>
      </w:r>
      <w:r w:rsidR="00963745">
        <w:t xml:space="preserve"> w</w:t>
      </w:r>
      <w:r w:rsidR="002B67C6">
        <w:t>ere</w:t>
      </w:r>
      <w:r w:rsidR="00963745">
        <w:t xml:space="preserve"> suitable for quality improvement purposes </w:t>
      </w:r>
      <w:r w:rsidR="009C701B">
        <w:t>without financial incentive</w:t>
      </w:r>
      <w:r w:rsidR="00963745">
        <w:t xml:space="preserve"> </w:t>
      </w:r>
      <w:r w:rsidR="0021283F">
        <w:t>(Table 4)</w:t>
      </w:r>
      <w:r w:rsidR="00080436">
        <w:t>, although</w:t>
      </w:r>
      <w:r w:rsidR="00C1579B">
        <w:t xml:space="preserve"> there was</w:t>
      </w:r>
      <w:r w:rsidR="00080436">
        <w:t xml:space="preserve"> consistency across the indicators</w:t>
      </w:r>
      <w:r w:rsidR="002B67C6">
        <w:t>. About one third of respondents for each indicator thought the indicator would be suitable for quality improvement purposes</w:t>
      </w:r>
      <w:r w:rsidR="001A284B">
        <w:t>, and around half of respondents did not think each indicator would be suitable for quality improvement purposes.</w:t>
      </w:r>
    </w:p>
    <w:p w14:paraId="47431386" w14:textId="11C53901" w:rsidR="00E016E0" w:rsidRDefault="00E016E0" w:rsidP="00CD581E">
      <w:pPr>
        <w:spacing w:line="240" w:lineRule="auto"/>
        <w:rPr>
          <w:u w:val="single"/>
        </w:rPr>
      </w:pPr>
      <w:r w:rsidRPr="00CD581E">
        <w:rPr>
          <w:u w:val="single"/>
        </w:rPr>
        <w:t>Table</w:t>
      </w:r>
      <w:r w:rsidR="0021283F" w:rsidRPr="00CD581E">
        <w:rPr>
          <w:u w:val="single"/>
        </w:rPr>
        <w:t xml:space="preserve"> 4</w:t>
      </w:r>
      <w:r w:rsidRPr="00CD581E">
        <w:rPr>
          <w:u w:val="single"/>
        </w:rPr>
        <w:t xml:space="preserve">: Views on suitability of </w:t>
      </w:r>
      <w:r w:rsidR="002B67C6">
        <w:rPr>
          <w:u w:val="single"/>
        </w:rPr>
        <w:t>weight management</w:t>
      </w:r>
      <w:r w:rsidR="002B67C6" w:rsidRPr="007B0CB4">
        <w:rPr>
          <w:u w:val="single"/>
        </w:rPr>
        <w:t xml:space="preserve">-related </w:t>
      </w:r>
      <w:r w:rsidR="00963745" w:rsidRPr="001556F6">
        <w:rPr>
          <w:u w:val="single"/>
        </w:rPr>
        <w:t>indicator</w:t>
      </w:r>
      <w:r w:rsidR="002B67C6">
        <w:rPr>
          <w:u w:val="single"/>
        </w:rPr>
        <w:t>s</w:t>
      </w:r>
      <w:r w:rsidR="00963745" w:rsidRPr="007B0CB4">
        <w:rPr>
          <w:u w:val="single"/>
        </w:rPr>
        <w:t xml:space="preserve"> </w:t>
      </w:r>
      <w:r w:rsidRPr="00CD581E">
        <w:rPr>
          <w:u w:val="single"/>
        </w:rPr>
        <w:t>for quality improvement (survey)</w:t>
      </w:r>
    </w:p>
    <w:p w14:paraId="6197D5D8" w14:textId="18F39EEE" w:rsidR="00780FA2" w:rsidRPr="00CD581E" w:rsidRDefault="00780FA2" w:rsidP="00CD581E">
      <w:pPr>
        <w:spacing w:line="240" w:lineRule="auto"/>
        <w:rPr>
          <w:u w:val="single"/>
        </w:rPr>
      </w:pPr>
      <w:r w:rsidRPr="008C7154">
        <w:rPr>
          <w:b/>
          <w:sz w:val="22"/>
          <w:szCs w:val="20"/>
        </w:rPr>
        <w:t>Do you think the following indicators could be suitable for quality improvement, without financial incentive?</w:t>
      </w:r>
    </w:p>
    <w:tbl>
      <w:tblPr>
        <w:tblStyle w:val="TableGrid"/>
        <w:tblW w:w="9209" w:type="dxa"/>
        <w:tblLook w:val="04A0" w:firstRow="1" w:lastRow="0" w:firstColumn="1" w:lastColumn="0" w:noHBand="0" w:noVBand="1"/>
      </w:tblPr>
      <w:tblGrid>
        <w:gridCol w:w="4717"/>
        <w:gridCol w:w="1234"/>
        <w:gridCol w:w="1164"/>
        <w:gridCol w:w="1130"/>
        <w:gridCol w:w="964"/>
      </w:tblGrid>
      <w:tr w:rsidR="00E016E0" w:rsidRPr="00527BAA" w14:paraId="28C3086F" w14:textId="77777777" w:rsidTr="005A6A84">
        <w:tc>
          <w:tcPr>
            <w:tcW w:w="4717" w:type="dxa"/>
          </w:tcPr>
          <w:p w14:paraId="053B4FA3" w14:textId="77777777" w:rsidR="00E016E0" w:rsidRPr="00527BAA" w:rsidRDefault="00E016E0" w:rsidP="008C7154">
            <w:pPr>
              <w:spacing w:before="60" w:after="60" w:line="240" w:lineRule="auto"/>
              <w:rPr>
                <w:sz w:val="22"/>
              </w:rPr>
            </w:pPr>
          </w:p>
        </w:tc>
        <w:tc>
          <w:tcPr>
            <w:tcW w:w="1234" w:type="dxa"/>
          </w:tcPr>
          <w:p w14:paraId="4F6ADD48" w14:textId="77777777" w:rsidR="00E016E0" w:rsidRPr="00527BAA" w:rsidRDefault="00E016E0" w:rsidP="008C7154">
            <w:pPr>
              <w:spacing w:before="60" w:after="60" w:line="240" w:lineRule="auto"/>
              <w:jc w:val="center"/>
              <w:rPr>
                <w:sz w:val="22"/>
              </w:rPr>
            </w:pPr>
            <w:r w:rsidRPr="00527BAA">
              <w:rPr>
                <w:sz w:val="22"/>
              </w:rPr>
              <w:t>Yes</w:t>
            </w:r>
          </w:p>
        </w:tc>
        <w:tc>
          <w:tcPr>
            <w:tcW w:w="1164" w:type="dxa"/>
          </w:tcPr>
          <w:p w14:paraId="51B7EE6B" w14:textId="499CAC99" w:rsidR="00E016E0" w:rsidRPr="00527BAA" w:rsidRDefault="009F2BA7" w:rsidP="008C7154">
            <w:pPr>
              <w:spacing w:before="60" w:after="60" w:line="240" w:lineRule="auto"/>
              <w:jc w:val="center"/>
              <w:rPr>
                <w:sz w:val="22"/>
              </w:rPr>
            </w:pPr>
            <w:r w:rsidRPr="00527BAA">
              <w:rPr>
                <w:sz w:val="22"/>
              </w:rPr>
              <w:t>No</w:t>
            </w:r>
          </w:p>
        </w:tc>
        <w:tc>
          <w:tcPr>
            <w:tcW w:w="1130" w:type="dxa"/>
          </w:tcPr>
          <w:p w14:paraId="184261DB" w14:textId="25A8C8D7" w:rsidR="00E016E0" w:rsidRPr="00527BAA" w:rsidRDefault="009F2BA7" w:rsidP="008C7154">
            <w:pPr>
              <w:spacing w:before="60" w:after="60" w:line="240" w:lineRule="auto"/>
              <w:jc w:val="center"/>
              <w:rPr>
                <w:sz w:val="22"/>
              </w:rPr>
            </w:pPr>
            <w:r w:rsidRPr="00527BAA">
              <w:rPr>
                <w:sz w:val="22"/>
              </w:rPr>
              <w:t>Unsure</w:t>
            </w:r>
          </w:p>
        </w:tc>
        <w:tc>
          <w:tcPr>
            <w:tcW w:w="964" w:type="dxa"/>
          </w:tcPr>
          <w:p w14:paraId="45B0C003" w14:textId="77777777" w:rsidR="00E016E0" w:rsidRPr="00527BAA" w:rsidRDefault="00E016E0" w:rsidP="00DD28EC">
            <w:pPr>
              <w:spacing w:before="60" w:after="60" w:line="240" w:lineRule="auto"/>
              <w:jc w:val="center"/>
              <w:rPr>
                <w:sz w:val="22"/>
              </w:rPr>
            </w:pPr>
            <w:r w:rsidRPr="00527BAA">
              <w:rPr>
                <w:sz w:val="22"/>
              </w:rPr>
              <w:t>Total</w:t>
            </w:r>
          </w:p>
        </w:tc>
      </w:tr>
      <w:tr w:rsidR="002B67C6" w:rsidRPr="00527BAA" w14:paraId="5349139F" w14:textId="77777777" w:rsidTr="0056635D">
        <w:tc>
          <w:tcPr>
            <w:tcW w:w="4717" w:type="dxa"/>
          </w:tcPr>
          <w:p w14:paraId="5C6A740D" w14:textId="31003210" w:rsidR="002B67C6" w:rsidRPr="00527BAA" w:rsidRDefault="002B67C6" w:rsidP="002B67C6">
            <w:pPr>
              <w:spacing w:before="60" w:after="60" w:line="240" w:lineRule="auto"/>
              <w:rPr>
                <w:sz w:val="22"/>
              </w:rPr>
            </w:pPr>
            <w:r w:rsidRPr="00527BAA">
              <w:rPr>
                <w:sz w:val="22"/>
              </w:rPr>
              <w:t>Indicator 1: Weight management advice</w:t>
            </w:r>
          </w:p>
        </w:tc>
        <w:tc>
          <w:tcPr>
            <w:tcW w:w="1234" w:type="dxa"/>
          </w:tcPr>
          <w:p w14:paraId="10442A11" w14:textId="77777777" w:rsidR="002B67C6" w:rsidRPr="00527BAA" w:rsidRDefault="002B67C6" w:rsidP="002B67C6">
            <w:pPr>
              <w:spacing w:before="60" w:after="60" w:line="240" w:lineRule="auto"/>
              <w:jc w:val="center"/>
              <w:rPr>
                <w:sz w:val="22"/>
              </w:rPr>
            </w:pPr>
            <w:r w:rsidRPr="00527BAA">
              <w:rPr>
                <w:sz w:val="22"/>
              </w:rPr>
              <w:t>20</w:t>
            </w:r>
          </w:p>
          <w:p w14:paraId="7AF30B75" w14:textId="23AA06E3" w:rsidR="002B67C6" w:rsidRPr="00527BAA" w:rsidRDefault="002B67C6" w:rsidP="002B67C6">
            <w:pPr>
              <w:spacing w:before="60" w:after="60" w:line="240" w:lineRule="auto"/>
              <w:jc w:val="center"/>
              <w:rPr>
                <w:sz w:val="22"/>
              </w:rPr>
            </w:pPr>
            <w:r w:rsidRPr="00527BAA">
              <w:rPr>
                <w:sz w:val="22"/>
              </w:rPr>
              <w:t>(35.1%)</w:t>
            </w:r>
          </w:p>
        </w:tc>
        <w:tc>
          <w:tcPr>
            <w:tcW w:w="1164" w:type="dxa"/>
          </w:tcPr>
          <w:p w14:paraId="2C06A77F" w14:textId="77777777" w:rsidR="002B67C6" w:rsidRPr="00527BAA" w:rsidRDefault="002B67C6" w:rsidP="002B67C6">
            <w:pPr>
              <w:spacing w:before="60" w:after="60" w:line="240" w:lineRule="auto"/>
              <w:jc w:val="center"/>
              <w:rPr>
                <w:sz w:val="22"/>
              </w:rPr>
            </w:pPr>
            <w:r w:rsidRPr="00527BAA">
              <w:rPr>
                <w:sz w:val="22"/>
              </w:rPr>
              <w:t>28</w:t>
            </w:r>
          </w:p>
          <w:p w14:paraId="590B878E" w14:textId="336CBC04" w:rsidR="002B67C6" w:rsidRPr="00527BAA" w:rsidRDefault="002B67C6" w:rsidP="002B67C6">
            <w:pPr>
              <w:spacing w:before="60" w:after="60" w:line="240" w:lineRule="auto"/>
              <w:jc w:val="center"/>
              <w:rPr>
                <w:sz w:val="22"/>
              </w:rPr>
            </w:pPr>
            <w:r w:rsidRPr="00527BAA">
              <w:rPr>
                <w:sz w:val="22"/>
              </w:rPr>
              <w:t>(49.1%)</w:t>
            </w:r>
          </w:p>
        </w:tc>
        <w:tc>
          <w:tcPr>
            <w:tcW w:w="1130" w:type="dxa"/>
          </w:tcPr>
          <w:p w14:paraId="2363B518" w14:textId="77777777" w:rsidR="002B67C6" w:rsidRPr="00527BAA" w:rsidRDefault="002B67C6" w:rsidP="002B67C6">
            <w:pPr>
              <w:spacing w:before="60" w:after="60" w:line="240" w:lineRule="auto"/>
              <w:jc w:val="center"/>
              <w:rPr>
                <w:sz w:val="22"/>
              </w:rPr>
            </w:pPr>
            <w:r w:rsidRPr="00527BAA">
              <w:rPr>
                <w:sz w:val="22"/>
              </w:rPr>
              <w:t>9</w:t>
            </w:r>
          </w:p>
          <w:p w14:paraId="2A5C3CC3" w14:textId="3F9391E7" w:rsidR="002B67C6" w:rsidRPr="00527BAA" w:rsidRDefault="002B67C6" w:rsidP="002B67C6">
            <w:pPr>
              <w:spacing w:before="60" w:after="60" w:line="240" w:lineRule="auto"/>
              <w:jc w:val="center"/>
              <w:rPr>
                <w:sz w:val="22"/>
              </w:rPr>
            </w:pPr>
            <w:r w:rsidRPr="00527BAA">
              <w:rPr>
                <w:sz w:val="22"/>
              </w:rPr>
              <w:t>(15.8%)</w:t>
            </w:r>
          </w:p>
        </w:tc>
        <w:tc>
          <w:tcPr>
            <w:tcW w:w="964" w:type="dxa"/>
            <w:vAlign w:val="bottom"/>
          </w:tcPr>
          <w:p w14:paraId="0CB863EA" w14:textId="77777777" w:rsidR="002B67C6" w:rsidRPr="00527BAA" w:rsidRDefault="002B67C6" w:rsidP="002B67C6">
            <w:pPr>
              <w:spacing w:before="60" w:after="60" w:line="240" w:lineRule="auto"/>
              <w:jc w:val="center"/>
              <w:rPr>
                <w:sz w:val="22"/>
              </w:rPr>
            </w:pPr>
            <w:r w:rsidRPr="00527BAA">
              <w:rPr>
                <w:sz w:val="22"/>
              </w:rPr>
              <w:t>57</w:t>
            </w:r>
          </w:p>
          <w:p w14:paraId="2F93C714" w14:textId="77777777" w:rsidR="002B67C6" w:rsidRPr="00527BAA" w:rsidRDefault="002B67C6" w:rsidP="002B67C6">
            <w:pPr>
              <w:spacing w:before="60" w:after="60" w:line="240" w:lineRule="auto"/>
              <w:jc w:val="center"/>
              <w:rPr>
                <w:sz w:val="22"/>
              </w:rPr>
            </w:pPr>
          </w:p>
        </w:tc>
      </w:tr>
      <w:tr w:rsidR="002B67C6" w:rsidRPr="00527BAA" w14:paraId="4DD23D5C" w14:textId="77777777" w:rsidTr="0056635D">
        <w:tc>
          <w:tcPr>
            <w:tcW w:w="4717" w:type="dxa"/>
          </w:tcPr>
          <w:p w14:paraId="5C0D15B8" w14:textId="18DDBD49" w:rsidR="002B67C6" w:rsidRPr="00527BAA" w:rsidRDefault="002B67C6" w:rsidP="002B67C6">
            <w:pPr>
              <w:spacing w:before="60" w:after="60" w:line="240" w:lineRule="auto"/>
              <w:rPr>
                <w:sz w:val="22"/>
              </w:rPr>
            </w:pPr>
            <w:r w:rsidRPr="00527BAA">
              <w:rPr>
                <w:sz w:val="22"/>
              </w:rPr>
              <w:t>Indicator 2: Referral for bariatric surgery</w:t>
            </w:r>
          </w:p>
        </w:tc>
        <w:tc>
          <w:tcPr>
            <w:tcW w:w="1234" w:type="dxa"/>
          </w:tcPr>
          <w:p w14:paraId="2328883A" w14:textId="77777777" w:rsidR="002B67C6" w:rsidRPr="00527BAA" w:rsidRDefault="002B67C6" w:rsidP="002B67C6">
            <w:pPr>
              <w:spacing w:before="60" w:after="60" w:line="240" w:lineRule="auto"/>
              <w:jc w:val="center"/>
              <w:rPr>
                <w:sz w:val="22"/>
              </w:rPr>
            </w:pPr>
            <w:r w:rsidRPr="00527BAA">
              <w:rPr>
                <w:sz w:val="22"/>
              </w:rPr>
              <w:t>19</w:t>
            </w:r>
          </w:p>
          <w:p w14:paraId="7D07092F" w14:textId="5AB9DE27" w:rsidR="002B67C6" w:rsidRPr="00527BAA" w:rsidRDefault="002B67C6" w:rsidP="002B67C6">
            <w:pPr>
              <w:spacing w:before="60" w:after="60" w:line="240" w:lineRule="auto"/>
              <w:jc w:val="center"/>
              <w:rPr>
                <w:sz w:val="22"/>
              </w:rPr>
            </w:pPr>
            <w:r w:rsidRPr="00527BAA">
              <w:rPr>
                <w:sz w:val="22"/>
              </w:rPr>
              <w:t>(33.3%)</w:t>
            </w:r>
          </w:p>
        </w:tc>
        <w:tc>
          <w:tcPr>
            <w:tcW w:w="1164" w:type="dxa"/>
          </w:tcPr>
          <w:p w14:paraId="41A347AB" w14:textId="77777777" w:rsidR="002B67C6" w:rsidRPr="00527BAA" w:rsidRDefault="002B67C6" w:rsidP="002B67C6">
            <w:pPr>
              <w:spacing w:before="60" w:after="60" w:line="240" w:lineRule="auto"/>
              <w:jc w:val="center"/>
              <w:rPr>
                <w:sz w:val="22"/>
              </w:rPr>
            </w:pPr>
            <w:r w:rsidRPr="00527BAA">
              <w:rPr>
                <w:sz w:val="22"/>
              </w:rPr>
              <w:t>29</w:t>
            </w:r>
          </w:p>
          <w:p w14:paraId="11F84C02" w14:textId="4905392B" w:rsidR="002B67C6" w:rsidRPr="00527BAA" w:rsidRDefault="002B67C6" w:rsidP="002B67C6">
            <w:pPr>
              <w:spacing w:before="60" w:after="60" w:line="240" w:lineRule="auto"/>
              <w:jc w:val="center"/>
              <w:rPr>
                <w:sz w:val="22"/>
              </w:rPr>
            </w:pPr>
            <w:r w:rsidRPr="00527BAA">
              <w:rPr>
                <w:sz w:val="22"/>
              </w:rPr>
              <w:t>(50.9%)</w:t>
            </w:r>
          </w:p>
        </w:tc>
        <w:tc>
          <w:tcPr>
            <w:tcW w:w="1130" w:type="dxa"/>
          </w:tcPr>
          <w:p w14:paraId="265FAA36" w14:textId="77777777" w:rsidR="002B67C6" w:rsidRPr="00527BAA" w:rsidRDefault="002B67C6" w:rsidP="002B67C6">
            <w:pPr>
              <w:spacing w:before="60" w:after="60" w:line="240" w:lineRule="auto"/>
              <w:jc w:val="center"/>
              <w:rPr>
                <w:sz w:val="22"/>
              </w:rPr>
            </w:pPr>
            <w:r w:rsidRPr="00527BAA">
              <w:rPr>
                <w:sz w:val="22"/>
              </w:rPr>
              <w:t>9</w:t>
            </w:r>
          </w:p>
          <w:p w14:paraId="7D88ACFC" w14:textId="22C65745" w:rsidR="002B67C6" w:rsidRPr="00527BAA" w:rsidRDefault="002B67C6" w:rsidP="002B67C6">
            <w:pPr>
              <w:spacing w:before="60" w:after="60" w:line="240" w:lineRule="auto"/>
              <w:jc w:val="center"/>
              <w:rPr>
                <w:sz w:val="22"/>
              </w:rPr>
            </w:pPr>
            <w:r w:rsidRPr="00527BAA">
              <w:rPr>
                <w:sz w:val="22"/>
              </w:rPr>
              <w:t>(15.8%)</w:t>
            </w:r>
          </w:p>
        </w:tc>
        <w:tc>
          <w:tcPr>
            <w:tcW w:w="964" w:type="dxa"/>
            <w:vAlign w:val="bottom"/>
          </w:tcPr>
          <w:p w14:paraId="747408CE" w14:textId="77777777" w:rsidR="002B67C6" w:rsidRPr="00527BAA" w:rsidRDefault="002B67C6" w:rsidP="002B67C6">
            <w:pPr>
              <w:spacing w:before="60" w:after="60" w:line="240" w:lineRule="auto"/>
              <w:jc w:val="center"/>
              <w:rPr>
                <w:sz w:val="22"/>
              </w:rPr>
            </w:pPr>
            <w:r w:rsidRPr="00527BAA">
              <w:rPr>
                <w:sz w:val="22"/>
              </w:rPr>
              <w:t>57</w:t>
            </w:r>
          </w:p>
          <w:p w14:paraId="7F612B97" w14:textId="77777777" w:rsidR="002B67C6" w:rsidRPr="00527BAA" w:rsidRDefault="002B67C6" w:rsidP="002B67C6">
            <w:pPr>
              <w:spacing w:before="60" w:after="60" w:line="240" w:lineRule="auto"/>
              <w:jc w:val="center"/>
              <w:rPr>
                <w:sz w:val="22"/>
              </w:rPr>
            </w:pPr>
          </w:p>
        </w:tc>
      </w:tr>
      <w:tr w:rsidR="002B67C6" w:rsidRPr="00527BAA" w14:paraId="4EADB70E" w14:textId="77777777" w:rsidTr="0056635D">
        <w:tc>
          <w:tcPr>
            <w:tcW w:w="4717" w:type="dxa"/>
          </w:tcPr>
          <w:p w14:paraId="1588D5DB" w14:textId="2282B86F" w:rsidR="002B67C6" w:rsidRPr="00527BAA" w:rsidRDefault="002B67C6" w:rsidP="002B67C6">
            <w:pPr>
              <w:spacing w:before="60" w:after="60" w:line="240" w:lineRule="auto"/>
              <w:rPr>
                <w:sz w:val="22"/>
              </w:rPr>
            </w:pPr>
            <w:r w:rsidRPr="00527BAA">
              <w:rPr>
                <w:sz w:val="22"/>
              </w:rPr>
              <w:t>Indicator 3: Nutritional status monitoring in primary care after bariatric surgery (all patients)</w:t>
            </w:r>
          </w:p>
        </w:tc>
        <w:tc>
          <w:tcPr>
            <w:tcW w:w="1234" w:type="dxa"/>
          </w:tcPr>
          <w:p w14:paraId="21F37AC1" w14:textId="77777777" w:rsidR="002B67C6" w:rsidRPr="00527BAA" w:rsidRDefault="002B67C6" w:rsidP="002B67C6">
            <w:pPr>
              <w:spacing w:before="60" w:after="60" w:line="240" w:lineRule="auto"/>
              <w:jc w:val="center"/>
              <w:rPr>
                <w:sz w:val="22"/>
              </w:rPr>
            </w:pPr>
            <w:r w:rsidRPr="00527BAA">
              <w:rPr>
                <w:sz w:val="22"/>
              </w:rPr>
              <w:t>18</w:t>
            </w:r>
          </w:p>
          <w:p w14:paraId="3D80E775" w14:textId="1DAD6D67" w:rsidR="002B67C6" w:rsidRPr="00527BAA" w:rsidRDefault="002B67C6" w:rsidP="002B67C6">
            <w:pPr>
              <w:spacing w:before="60" w:after="60" w:line="240" w:lineRule="auto"/>
              <w:jc w:val="center"/>
              <w:rPr>
                <w:sz w:val="22"/>
              </w:rPr>
            </w:pPr>
            <w:r w:rsidRPr="00527BAA">
              <w:rPr>
                <w:sz w:val="22"/>
              </w:rPr>
              <w:t>(31.6%)</w:t>
            </w:r>
          </w:p>
        </w:tc>
        <w:tc>
          <w:tcPr>
            <w:tcW w:w="1164" w:type="dxa"/>
          </w:tcPr>
          <w:p w14:paraId="3CF01555" w14:textId="77777777" w:rsidR="002B67C6" w:rsidRPr="00527BAA" w:rsidRDefault="002B67C6" w:rsidP="002B67C6">
            <w:pPr>
              <w:spacing w:before="60" w:after="60" w:line="240" w:lineRule="auto"/>
              <w:jc w:val="center"/>
              <w:rPr>
                <w:sz w:val="22"/>
              </w:rPr>
            </w:pPr>
            <w:r w:rsidRPr="00527BAA">
              <w:rPr>
                <w:sz w:val="22"/>
              </w:rPr>
              <w:t>28</w:t>
            </w:r>
          </w:p>
          <w:p w14:paraId="153C567D" w14:textId="3B231321" w:rsidR="002B67C6" w:rsidRPr="00527BAA" w:rsidRDefault="002B67C6" w:rsidP="002B67C6">
            <w:pPr>
              <w:spacing w:before="60" w:after="60" w:line="240" w:lineRule="auto"/>
              <w:jc w:val="center"/>
              <w:rPr>
                <w:sz w:val="22"/>
              </w:rPr>
            </w:pPr>
            <w:r w:rsidRPr="00527BAA">
              <w:rPr>
                <w:sz w:val="22"/>
              </w:rPr>
              <w:t>(49.1%)</w:t>
            </w:r>
          </w:p>
        </w:tc>
        <w:tc>
          <w:tcPr>
            <w:tcW w:w="1130" w:type="dxa"/>
          </w:tcPr>
          <w:p w14:paraId="258825A6" w14:textId="77777777" w:rsidR="002B67C6" w:rsidRPr="00527BAA" w:rsidRDefault="002B67C6" w:rsidP="002B67C6">
            <w:pPr>
              <w:spacing w:before="60" w:after="60" w:line="240" w:lineRule="auto"/>
              <w:jc w:val="center"/>
              <w:rPr>
                <w:sz w:val="22"/>
              </w:rPr>
            </w:pPr>
            <w:r w:rsidRPr="00527BAA">
              <w:rPr>
                <w:sz w:val="22"/>
              </w:rPr>
              <w:t>11</w:t>
            </w:r>
          </w:p>
          <w:p w14:paraId="46CEAADD" w14:textId="21C6C4A8" w:rsidR="002B67C6" w:rsidRPr="00527BAA" w:rsidRDefault="002B67C6" w:rsidP="002B67C6">
            <w:pPr>
              <w:spacing w:before="60" w:after="60" w:line="240" w:lineRule="auto"/>
              <w:jc w:val="center"/>
              <w:rPr>
                <w:sz w:val="22"/>
              </w:rPr>
            </w:pPr>
            <w:r w:rsidRPr="00527BAA">
              <w:rPr>
                <w:sz w:val="22"/>
              </w:rPr>
              <w:t>(19.3%)</w:t>
            </w:r>
          </w:p>
        </w:tc>
        <w:tc>
          <w:tcPr>
            <w:tcW w:w="964" w:type="dxa"/>
            <w:vAlign w:val="bottom"/>
          </w:tcPr>
          <w:p w14:paraId="111D0ECC" w14:textId="77777777" w:rsidR="002B67C6" w:rsidRPr="00527BAA" w:rsidRDefault="002B67C6" w:rsidP="002B67C6">
            <w:pPr>
              <w:spacing w:before="60" w:after="60" w:line="240" w:lineRule="auto"/>
              <w:jc w:val="center"/>
              <w:rPr>
                <w:sz w:val="22"/>
              </w:rPr>
            </w:pPr>
            <w:r w:rsidRPr="00527BAA">
              <w:rPr>
                <w:sz w:val="22"/>
              </w:rPr>
              <w:t>57</w:t>
            </w:r>
          </w:p>
          <w:p w14:paraId="017DB5A2" w14:textId="77777777" w:rsidR="002B67C6" w:rsidRPr="00527BAA" w:rsidRDefault="002B67C6" w:rsidP="002B67C6">
            <w:pPr>
              <w:spacing w:before="60" w:after="60" w:line="240" w:lineRule="auto"/>
              <w:jc w:val="center"/>
              <w:rPr>
                <w:sz w:val="22"/>
              </w:rPr>
            </w:pPr>
          </w:p>
        </w:tc>
      </w:tr>
      <w:tr w:rsidR="002B67C6" w:rsidRPr="00527BAA" w14:paraId="03A30045" w14:textId="77777777" w:rsidTr="0056635D">
        <w:tc>
          <w:tcPr>
            <w:tcW w:w="4717" w:type="dxa"/>
          </w:tcPr>
          <w:p w14:paraId="3B7F5D0D" w14:textId="22CD6EF5" w:rsidR="002B67C6" w:rsidRPr="00527BAA" w:rsidRDefault="002B67C6" w:rsidP="002B67C6">
            <w:pPr>
              <w:spacing w:before="60" w:after="60" w:line="240" w:lineRule="auto"/>
              <w:rPr>
                <w:sz w:val="22"/>
              </w:rPr>
            </w:pPr>
            <w:r w:rsidRPr="00527BAA">
              <w:rPr>
                <w:sz w:val="22"/>
              </w:rPr>
              <w:t>Indicator 4: Nutritional status monitoring in primary care after bariatric surgery (new patients)</w:t>
            </w:r>
          </w:p>
        </w:tc>
        <w:tc>
          <w:tcPr>
            <w:tcW w:w="1234" w:type="dxa"/>
          </w:tcPr>
          <w:p w14:paraId="15DF821E" w14:textId="77777777" w:rsidR="002B67C6" w:rsidRPr="00527BAA" w:rsidRDefault="002B67C6" w:rsidP="002B67C6">
            <w:pPr>
              <w:spacing w:before="60" w:after="60" w:line="240" w:lineRule="auto"/>
              <w:jc w:val="center"/>
              <w:rPr>
                <w:sz w:val="22"/>
              </w:rPr>
            </w:pPr>
            <w:r w:rsidRPr="00527BAA">
              <w:rPr>
                <w:sz w:val="22"/>
              </w:rPr>
              <w:t>18</w:t>
            </w:r>
          </w:p>
          <w:p w14:paraId="20219D48" w14:textId="540504CB" w:rsidR="002B67C6" w:rsidRPr="00527BAA" w:rsidRDefault="002B67C6" w:rsidP="002B67C6">
            <w:pPr>
              <w:spacing w:before="60" w:after="60" w:line="240" w:lineRule="auto"/>
              <w:jc w:val="center"/>
              <w:rPr>
                <w:sz w:val="22"/>
              </w:rPr>
            </w:pPr>
            <w:r w:rsidRPr="00527BAA">
              <w:rPr>
                <w:sz w:val="22"/>
              </w:rPr>
              <w:t>(31.6%)</w:t>
            </w:r>
          </w:p>
        </w:tc>
        <w:tc>
          <w:tcPr>
            <w:tcW w:w="1164" w:type="dxa"/>
          </w:tcPr>
          <w:p w14:paraId="006EF9E7" w14:textId="77777777" w:rsidR="002B67C6" w:rsidRPr="00527BAA" w:rsidRDefault="002B67C6" w:rsidP="002B67C6">
            <w:pPr>
              <w:spacing w:before="60" w:after="60" w:line="240" w:lineRule="auto"/>
              <w:jc w:val="center"/>
              <w:rPr>
                <w:sz w:val="22"/>
              </w:rPr>
            </w:pPr>
            <w:r w:rsidRPr="00527BAA">
              <w:rPr>
                <w:sz w:val="22"/>
              </w:rPr>
              <w:t>28</w:t>
            </w:r>
          </w:p>
          <w:p w14:paraId="449B99AA" w14:textId="68571EFE" w:rsidR="002B67C6" w:rsidRPr="00527BAA" w:rsidRDefault="002B67C6" w:rsidP="002B67C6">
            <w:pPr>
              <w:spacing w:before="60" w:after="60" w:line="240" w:lineRule="auto"/>
              <w:jc w:val="center"/>
              <w:rPr>
                <w:sz w:val="22"/>
              </w:rPr>
            </w:pPr>
            <w:r w:rsidRPr="00527BAA">
              <w:rPr>
                <w:sz w:val="22"/>
              </w:rPr>
              <w:t>(49.1%)</w:t>
            </w:r>
          </w:p>
        </w:tc>
        <w:tc>
          <w:tcPr>
            <w:tcW w:w="1130" w:type="dxa"/>
          </w:tcPr>
          <w:p w14:paraId="0CB928D6" w14:textId="77777777" w:rsidR="002B67C6" w:rsidRPr="00527BAA" w:rsidRDefault="002B67C6" w:rsidP="002B67C6">
            <w:pPr>
              <w:spacing w:before="60" w:after="60" w:line="240" w:lineRule="auto"/>
              <w:jc w:val="center"/>
              <w:rPr>
                <w:sz w:val="22"/>
              </w:rPr>
            </w:pPr>
            <w:r w:rsidRPr="00527BAA">
              <w:rPr>
                <w:sz w:val="22"/>
              </w:rPr>
              <w:t>11</w:t>
            </w:r>
          </w:p>
          <w:p w14:paraId="2062E5AD" w14:textId="5C644912" w:rsidR="002B67C6" w:rsidRPr="00527BAA" w:rsidRDefault="002B67C6" w:rsidP="002B67C6">
            <w:pPr>
              <w:spacing w:before="60" w:after="60" w:line="240" w:lineRule="auto"/>
              <w:jc w:val="center"/>
              <w:rPr>
                <w:sz w:val="22"/>
              </w:rPr>
            </w:pPr>
            <w:r w:rsidRPr="00527BAA">
              <w:rPr>
                <w:sz w:val="22"/>
              </w:rPr>
              <w:t>(19.3%)</w:t>
            </w:r>
          </w:p>
        </w:tc>
        <w:tc>
          <w:tcPr>
            <w:tcW w:w="964" w:type="dxa"/>
            <w:vAlign w:val="bottom"/>
          </w:tcPr>
          <w:p w14:paraId="6D0FABA5" w14:textId="77777777" w:rsidR="002B67C6" w:rsidRPr="00527BAA" w:rsidRDefault="002B67C6" w:rsidP="002B67C6">
            <w:pPr>
              <w:spacing w:before="60" w:after="60" w:line="240" w:lineRule="auto"/>
              <w:jc w:val="center"/>
              <w:rPr>
                <w:sz w:val="22"/>
              </w:rPr>
            </w:pPr>
            <w:r w:rsidRPr="00527BAA">
              <w:rPr>
                <w:sz w:val="22"/>
              </w:rPr>
              <w:t>57</w:t>
            </w:r>
          </w:p>
          <w:p w14:paraId="0D11EC4D" w14:textId="77777777" w:rsidR="002B67C6" w:rsidRPr="00527BAA" w:rsidRDefault="002B67C6" w:rsidP="002B67C6">
            <w:pPr>
              <w:spacing w:before="60" w:after="60" w:line="240" w:lineRule="auto"/>
              <w:jc w:val="center"/>
              <w:rPr>
                <w:sz w:val="22"/>
              </w:rPr>
            </w:pPr>
          </w:p>
        </w:tc>
      </w:tr>
    </w:tbl>
    <w:p w14:paraId="2AB3CB7F" w14:textId="70698BB7" w:rsidR="002B67C6" w:rsidRDefault="00911385" w:rsidP="00911385">
      <w:pPr>
        <w:pStyle w:val="Heading3"/>
      </w:pPr>
      <w:r>
        <w:lastRenderedPageBreak/>
        <w:t>S</w:t>
      </w:r>
      <w:r w:rsidRPr="00911385">
        <w:t>pecific issues identified in interviews and survey</w:t>
      </w:r>
    </w:p>
    <w:p w14:paraId="33339FE6" w14:textId="75683EFA" w:rsidR="009829E5" w:rsidRPr="009829E5" w:rsidRDefault="002B67C6" w:rsidP="009829E5">
      <w:pPr>
        <w:pStyle w:val="Heading4"/>
      </w:pPr>
      <w:r w:rsidRPr="00911385">
        <w:t xml:space="preserve">Indicator 1: </w:t>
      </w:r>
      <w:r w:rsidR="00911385" w:rsidRPr="00911385">
        <w:t>Weight management: weight management advice (18-39 years)</w:t>
      </w:r>
    </w:p>
    <w:p w14:paraId="19F326C1" w14:textId="0122858A" w:rsidR="002862BA" w:rsidRDefault="002862BA" w:rsidP="002862BA">
      <w:pPr>
        <w:pStyle w:val="Heading7"/>
      </w:pPr>
      <w:r>
        <w:t>Delivery of the intervention</w:t>
      </w:r>
    </w:p>
    <w:p w14:paraId="12ACA4B0" w14:textId="4516E475" w:rsidR="004246A2" w:rsidRPr="003B14A5" w:rsidRDefault="004246A2" w:rsidP="00AE0D43">
      <w:r w:rsidRPr="003B14A5">
        <w:t xml:space="preserve">Practice views during interviews were mixed as to whether the intervention in indicator 1 was (or could be) standard practice, with six suggesting they were already carrying out similar interventions, or could incorporate them without too much difficulty. However </w:t>
      </w:r>
      <w:r w:rsidR="003B14A5" w:rsidRPr="003B14A5">
        <w:t xml:space="preserve">four practices fed back that </w:t>
      </w:r>
      <w:r w:rsidR="0028723F">
        <w:t xml:space="preserve">incorporating this intervention </w:t>
      </w:r>
      <w:r w:rsidR="003B14A5" w:rsidRPr="003B14A5">
        <w:t xml:space="preserve">would not be </w:t>
      </w:r>
      <w:r w:rsidR="003B14A5" w:rsidRPr="00EC7FBB">
        <w:t>possible within a consultation that had been arranged to address another health issue</w:t>
      </w:r>
      <w:r w:rsidR="0028723F">
        <w:t>, or would be challenging for other reasons</w:t>
      </w:r>
      <w:r w:rsidR="003B14A5" w:rsidRPr="00EC7FBB">
        <w:t xml:space="preserve"> (see </w:t>
      </w:r>
      <w:r w:rsidR="00E70AF6">
        <w:t xml:space="preserve">report </w:t>
      </w:r>
      <w:r w:rsidR="003B14A5" w:rsidRPr="00EC7FBB">
        <w:t>section 6.3.1 for detail). One</w:t>
      </w:r>
      <w:r w:rsidR="003B14A5" w:rsidRPr="003B14A5">
        <w:t xml:space="preserve"> practice shared a previous negative experience of having sent out text messages offering a referral to weight management services:</w:t>
      </w:r>
    </w:p>
    <w:p w14:paraId="71642F20" w14:textId="12DF3479" w:rsidR="003B14A5" w:rsidRDefault="003B14A5" w:rsidP="003B14A5">
      <w:pPr>
        <w:spacing w:line="312" w:lineRule="auto"/>
        <w:rPr>
          <w:i/>
          <w:iCs/>
        </w:rPr>
      </w:pPr>
      <w:r>
        <w:rPr>
          <w:i/>
          <w:iCs/>
        </w:rPr>
        <w:t>“W</w:t>
      </w:r>
      <w:r w:rsidRPr="003B14A5">
        <w:rPr>
          <w:i/>
          <w:iCs/>
        </w:rPr>
        <w:t xml:space="preserve">e are the ones that are sending all the text messages out, et cetera, to the patients, and with the best will in the world, you can word it as nicely as possible, and when it comes out of the blue </w:t>
      </w:r>
      <w:r>
        <w:rPr>
          <w:i/>
          <w:iCs/>
        </w:rPr>
        <w:t>[…]</w:t>
      </w:r>
      <w:r w:rsidRPr="003B14A5">
        <w:rPr>
          <w:i/>
          <w:iCs/>
        </w:rPr>
        <w:t xml:space="preserve"> you get a text basically saying you are overweight, we can refer you to weight management, and</w:t>
      </w:r>
      <w:r w:rsidR="003B7AC3">
        <w:rPr>
          <w:i/>
          <w:iCs/>
        </w:rPr>
        <w:t xml:space="preserve"> an</w:t>
      </w:r>
      <w:r w:rsidRPr="003B14A5">
        <w:rPr>
          <w:i/>
          <w:iCs/>
        </w:rPr>
        <w:t xml:space="preserve"> awful lot of patients are not happy about it, and they really let you know they're not happy about it as well.</w:t>
      </w:r>
      <w:r>
        <w:rPr>
          <w:i/>
          <w:iCs/>
        </w:rPr>
        <w:t>” [</w:t>
      </w:r>
      <w:r w:rsidRPr="002041D0">
        <w:rPr>
          <w:i/>
          <w:iCs/>
        </w:rPr>
        <w:t>Other senior management, interview]</w:t>
      </w:r>
    </w:p>
    <w:p w14:paraId="216E246D" w14:textId="1CB37DFD" w:rsidR="003B14A5" w:rsidRPr="003B14A5" w:rsidRDefault="003B14A5" w:rsidP="003B14A5">
      <w:r w:rsidRPr="003B14A5">
        <w:t>A GP from the same practice added</w:t>
      </w:r>
      <w:r w:rsidR="00342B00">
        <w:t>:</w:t>
      </w:r>
    </w:p>
    <w:p w14:paraId="1F233170" w14:textId="6ED211A9" w:rsidR="003B14A5" w:rsidRDefault="003B14A5" w:rsidP="003B14A5">
      <w:pPr>
        <w:spacing w:line="312" w:lineRule="auto"/>
        <w:rPr>
          <w:i/>
          <w:iCs/>
        </w:rPr>
      </w:pPr>
      <w:r>
        <w:rPr>
          <w:i/>
          <w:iCs/>
        </w:rPr>
        <w:t>“</w:t>
      </w:r>
      <w:r w:rsidRPr="003B14A5">
        <w:rPr>
          <w:i/>
          <w:iCs/>
        </w:rPr>
        <w:t>I think we can all agree that if this indicator is going to come about, it needs to come out with realistic expectations, otherwise it will push surgeries to send text messages instead.</w:t>
      </w:r>
      <w:r>
        <w:rPr>
          <w:i/>
          <w:iCs/>
        </w:rPr>
        <w:t>”</w:t>
      </w:r>
      <w:r w:rsidRPr="003B14A5">
        <w:rPr>
          <w:i/>
          <w:iCs/>
        </w:rPr>
        <w:t xml:space="preserve"> </w:t>
      </w:r>
      <w:r>
        <w:rPr>
          <w:i/>
          <w:iCs/>
        </w:rPr>
        <w:t>[GP</w:t>
      </w:r>
      <w:r w:rsidRPr="002041D0">
        <w:rPr>
          <w:i/>
          <w:iCs/>
        </w:rPr>
        <w:t>, interview]</w:t>
      </w:r>
    </w:p>
    <w:p w14:paraId="532785EA" w14:textId="7572986F" w:rsidR="00342B00" w:rsidRDefault="00342B00" w:rsidP="006270C3">
      <w:r w:rsidRPr="006270C3">
        <w:t xml:space="preserve">One practice made a point that </w:t>
      </w:r>
      <w:r w:rsidR="006270C3">
        <w:t>raising the topic of weight with patients</w:t>
      </w:r>
      <w:r w:rsidRPr="006270C3">
        <w:t xml:space="preserve"> who </w:t>
      </w:r>
      <w:r w:rsidR="006270C3">
        <w:t>may</w:t>
      </w:r>
      <w:r w:rsidRPr="006270C3">
        <w:t xml:space="preserve"> </w:t>
      </w:r>
      <w:r w:rsidR="006270C3">
        <w:t xml:space="preserve">only just </w:t>
      </w:r>
      <w:r w:rsidRPr="006270C3">
        <w:t xml:space="preserve">be in the ‘overweight’ </w:t>
      </w:r>
      <w:r w:rsidR="006270C3">
        <w:t>category</w:t>
      </w:r>
      <w:r w:rsidRPr="006270C3">
        <w:t xml:space="preserve"> may </w:t>
      </w:r>
      <w:r w:rsidR="006270C3" w:rsidRPr="006270C3">
        <w:t>be met with scepticism</w:t>
      </w:r>
      <w:r w:rsidR="006270C3">
        <w:t>:</w:t>
      </w:r>
    </w:p>
    <w:p w14:paraId="11A13B8F" w14:textId="58BAA7F4" w:rsidR="006270C3" w:rsidRPr="006270C3" w:rsidRDefault="006270C3" w:rsidP="006270C3">
      <w:pPr>
        <w:spacing w:line="312" w:lineRule="auto"/>
        <w:rPr>
          <w:i/>
          <w:iCs/>
        </w:rPr>
      </w:pPr>
      <w:r>
        <w:rPr>
          <w:i/>
          <w:iCs/>
        </w:rPr>
        <w:t>“</w:t>
      </w:r>
      <w:r w:rsidRPr="006270C3">
        <w:rPr>
          <w:i/>
          <w:iCs/>
        </w:rPr>
        <w:t xml:space="preserve">I think people coming in would be thinking, </w:t>
      </w:r>
      <w:r>
        <w:rPr>
          <w:i/>
          <w:iCs/>
        </w:rPr>
        <w:t>‘</w:t>
      </w:r>
      <w:r w:rsidRPr="006270C3">
        <w:rPr>
          <w:i/>
          <w:iCs/>
        </w:rPr>
        <w:t>oh my gosh, I don't think I'm getting close to being obese</w:t>
      </w:r>
      <w:r>
        <w:rPr>
          <w:i/>
          <w:iCs/>
        </w:rPr>
        <w:t>’”</w:t>
      </w:r>
      <w:r w:rsidRPr="003B14A5">
        <w:rPr>
          <w:i/>
          <w:iCs/>
        </w:rPr>
        <w:t xml:space="preserve"> </w:t>
      </w:r>
      <w:r>
        <w:rPr>
          <w:i/>
          <w:iCs/>
        </w:rPr>
        <w:t>[Practice manager</w:t>
      </w:r>
      <w:r w:rsidRPr="002041D0">
        <w:rPr>
          <w:i/>
          <w:iCs/>
        </w:rPr>
        <w:t>, interview]</w:t>
      </w:r>
    </w:p>
    <w:p w14:paraId="2D5A503B" w14:textId="1DA14925" w:rsidR="00342B00" w:rsidRDefault="003B14A5" w:rsidP="003B14A5">
      <w:r>
        <w:t xml:space="preserve">Despite practices suggesting numbers could be large, they were comfortable that this indicator did not require proactive case-finding, but opportunistic identification of those in the overweight category. Some practices suggested </w:t>
      </w:r>
      <w:r w:rsidR="00342B00">
        <w:t>the intervention</w:t>
      </w:r>
      <w:r>
        <w:t xml:space="preserve"> may</w:t>
      </w:r>
      <w:r w:rsidR="00342B00">
        <w:t xml:space="preserve"> not be appropriate depending on the purpose of the appointment:</w:t>
      </w:r>
    </w:p>
    <w:p w14:paraId="59FD713C" w14:textId="69BCFA36" w:rsidR="00342B00" w:rsidRDefault="00342B00" w:rsidP="00342B00">
      <w:pPr>
        <w:spacing w:line="312" w:lineRule="auto"/>
        <w:rPr>
          <w:i/>
          <w:iCs/>
        </w:rPr>
      </w:pPr>
      <w:r>
        <w:rPr>
          <w:i/>
          <w:iCs/>
        </w:rPr>
        <w:t>“W</w:t>
      </w:r>
      <w:r w:rsidRPr="00342B00">
        <w:rPr>
          <w:i/>
          <w:iCs/>
        </w:rPr>
        <w:t xml:space="preserve">ithin the 90 days you might see someone, for instance, increasingly with mental health problems, depression and anxiety, and you will be seeing them currently, but it's absolutely not something that I should be addressing and advising them about </w:t>
      </w:r>
      <w:r w:rsidRPr="00342B00">
        <w:rPr>
          <w:i/>
          <w:iCs/>
        </w:rPr>
        <w:lastRenderedPageBreak/>
        <w:t>while I'm in the initial stages of treating them for those mental health problems, especially in young people</w:t>
      </w:r>
      <w:r>
        <w:rPr>
          <w:i/>
          <w:iCs/>
        </w:rPr>
        <w:t>”</w:t>
      </w:r>
      <w:r w:rsidRPr="003B14A5">
        <w:rPr>
          <w:i/>
          <w:iCs/>
        </w:rPr>
        <w:t xml:space="preserve"> </w:t>
      </w:r>
      <w:r>
        <w:rPr>
          <w:i/>
          <w:iCs/>
        </w:rPr>
        <w:t>[GP</w:t>
      </w:r>
      <w:r w:rsidRPr="002041D0">
        <w:rPr>
          <w:i/>
          <w:iCs/>
        </w:rPr>
        <w:t>, interview]</w:t>
      </w:r>
    </w:p>
    <w:p w14:paraId="1E915A6F" w14:textId="36734270" w:rsidR="003B14A5" w:rsidRDefault="00342B00" w:rsidP="003B14A5">
      <w:r>
        <w:t>However another</w:t>
      </w:r>
      <w:r w:rsidR="003B14A5">
        <w:t xml:space="preserve"> </w:t>
      </w:r>
      <w:r>
        <w:t xml:space="preserve">suggested this indicator’s requirement to follow up an overweight BMI may </w:t>
      </w:r>
      <w:r w:rsidR="003B14A5">
        <w:t xml:space="preserve">make them </w:t>
      </w:r>
      <w:r>
        <w:t>judge carefully</w:t>
      </w:r>
      <w:r w:rsidR="003B14A5">
        <w:t xml:space="preserve"> whether a BMI measurement was </w:t>
      </w:r>
      <w:r>
        <w:t xml:space="preserve">in fact </w:t>
      </w:r>
      <w:r w:rsidR="003B14A5">
        <w:t>appropriate in the appointment</w:t>
      </w:r>
      <w:r>
        <w:t>:</w:t>
      </w:r>
    </w:p>
    <w:p w14:paraId="1BEA7EDA" w14:textId="58772D8B" w:rsidR="00342B00" w:rsidRPr="00342B00" w:rsidRDefault="00342B00" w:rsidP="00342B00">
      <w:pPr>
        <w:spacing w:line="312" w:lineRule="auto"/>
        <w:rPr>
          <w:i/>
          <w:iCs/>
        </w:rPr>
      </w:pPr>
      <w:r w:rsidRPr="00342B00">
        <w:rPr>
          <w:i/>
          <w:iCs/>
        </w:rPr>
        <w:t>“You’ve got a patient that’s come in and their mood is awful, or there’s other stuff going on that needs to take priority in that appointment, presumably, if I don’t weigh them, I then don’t have to offer the advice (if) you’re not chasing the number of BMIs recorded on the system, we’re not going to feel that pressure, therefore we’ll only offer it when it’s appropriate, and the advice would then flow.</w:t>
      </w:r>
      <w:r>
        <w:rPr>
          <w:i/>
          <w:iCs/>
        </w:rPr>
        <w:t>”</w:t>
      </w:r>
      <w:r w:rsidRPr="003B14A5">
        <w:rPr>
          <w:i/>
          <w:iCs/>
        </w:rPr>
        <w:t xml:space="preserve"> </w:t>
      </w:r>
      <w:r>
        <w:rPr>
          <w:i/>
          <w:iCs/>
        </w:rPr>
        <w:t>[GP</w:t>
      </w:r>
      <w:r w:rsidRPr="002041D0">
        <w:rPr>
          <w:i/>
          <w:iCs/>
        </w:rPr>
        <w:t>, interview]</w:t>
      </w:r>
    </w:p>
    <w:p w14:paraId="5D88441B" w14:textId="5FA0839A" w:rsidR="002862BA" w:rsidRDefault="002862BA" w:rsidP="002862BA">
      <w:pPr>
        <w:pStyle w:val="Heading7"/>
      </w:pPr>
      <w:r>
        <w:t>Opportunities to measure BMI</w:t>
      </w:r>
    </w:p>
    <w:p w14:paraId="0FC7551A" w14:textId="62485D91" w:rsidR="001F3F8C" w:rsidRPr="001F3F8C" w:rsidRDefault="001F3F8C" w:rsidP="00AE0D43">
      <w:hyperlink r:id="rId11" w:history="1">
        <w:r w:rsidRPr="003D0A6D">
          <w:rPr>
            <w:rStyle w:val="Hyperlink"/>
            <w:rFonts w:ascii="Helvetica" w:hAnsi="Helvetica" w:cs="Helvetica"/>
            <w:shd w:val="clear" w:color="auto" w:fill="FFFFFF"/>
          </w:rPr>
          <w:t>NICE guideline (CG189)</w:t>
        </w:r>
      </w:hyperlink>
      <w:r w:rsidRPr="003D0A6D">
        <w:rPr>
          <w:rFonts w:ascii="Helvetica" w:hAnsi="Helvetica" w:cs="Helvetica"/>
          <w:color w:val="333333"/>
          <w:shd w:val="clear" w:color="auto" w:fill="FFFFFF"/>
        </w:rPr>
        <w:t xml:space="preserve">  </w:t>
      </w:r>
      <w:r w:rsidRPr="00CB40D3">
        <w:rPr>
          <w:rFonts w:ascii="Helvetica" w:hAnsi="Helvetica" w:cs="Helvetica"/>
          <w:shd w:val="clear" w:color="auto" w:fill="FFFFFF"/>
        </w:rPr>
        <w:t xml:space="preserve">recommends that clinical judgement should be used to decide when to measure a person’s height and weight, and that opportunities include when registering with a GP, consultations for related conditions (such as type 2 diabetes and cardiovascular disease) and other routine health checks (rec 1.2.1). To note that this recommendation may be updated as a result of guidance currently in </w:t>
      </w:r>
      <w:r w:rsidRPr="00CB40D3">
        <w:t xml:space="preserve">development </w:t>
      </w:r>
      <w:r w:rsidRPr="001F3F8C">
        <w:t>(</w:t>
      </w:r>
      <w:hyperlink r:id="rId12" w:history="1">
        <w:r w:rsidRPr="000C4959">
          <w:rPr>
            <w:rStyle w:val="Hyperlink"/>
          </w:rPr>
          <w:t>GID-NG10182</w:t>
        </w:r>
      </w:hyperlink>
      <w:r w:rsidRPr="001F3F8C">
        <w:t xml:space="preserve"> Overweight and obesity management</w:t>
      </w:r>
      <w:r>
        <w:t>, expected publication date TBC</w:t>
      </w:r>
      <w:r w:rsidRPr="001F3F8C">
        <w:t xml:space="preserve">). </w:t>
      </w:r>
    </w:p>
    <w:p w14:paraId="008B268B" w14:textId="76E023B9" w:rsidR="00653F43" w:rsidRDefault="00B36A25" w:rsidP="00AE0D43">
      <w:r>
        <w:t>When</w:t>
      </w:r>
      <w:r w:rsidRPr="00AE0D43">
        <w:t xml:space="preserve"> </w:t>
      </w:r>
      <w:r w:rsidR="00653F43" w:rsidRPr="00AE0D43">
        <w:t xml:space="preserve">interviewees were asked when BMIs </w:t>
      </w:r>
      <w:r w:rsidR="008F73AC">
        <w:t>would be currently</w:t>
      </w:r>
      <w:r w:rsidR="008F73AC" w:rsidRPr="00AE0D43">
        <w:t xml:space="preserve"> </w:t>
      </w:r>
      <w:r w:rsidR="00653F43" w:rsidRPr="00AE0D43">
        <w:t>routinely measured in those aged 18 to 39 years</w:t>
      </w:r>
      <w:r>
        <w:t>, a number of suggestions were proposed</w:t>
      </w:r>
      <w:r w:rsidR="00653F43" w:rsidRPr="00AE0D43">
        <w:t>. Appointments relating to contraception were mentioned, although one respondent clarified that the patient’s weight was only relevant to the combined contraceptive pill. Other opportunities incl</w:t>
      </w:r>
      <w:r w:rsidR="005B36A6">
        <w:t>u</w:t>
      </w:r>
      <w:r w:rsidR="00653F43" w:rsidRPr="00AE0D43">
        <w:t xml:space="preserve">ded chronic disease reviews, when referring patients for surgery and new patient registration (although self-reported), as well as if the patient requested it. </w:t>
      </w:r>
      <w:r w:rsidR="00AE0D43" w:rsidRPr="00AE0D43">
        <w:t>One practice also suggested opportunistic height and weight measurements could be incorporated into s</w:t>
      </w:r>
      <w:r w:rsidR="00653F43" w:rsidRPr="00AE0D43">
        <w:t xml:space="preserve">mear tests, </w:t>
      </w:r>
      <w:r w:rsidR="00AE0D43" w:rsidRPr="00AE0D43">
        <w:t>s</w:t>
      </w:r>
      <w:r w:rsidR="00653F43" w:rsidRPr="00AE0D43">
        <w:t>moking cessation appointments</w:t>
      </w:r>
      <w:r w:rsidR="00AE0D43" w:rsidRPr="00AE0D43">
        <w:t xml:space="preserve"> and b</w:t>
      </w:r>
      <w:r w:rsidR="00653F43" w:rsidRPr="00AE0D43">
        <w:t>lood tests</w:t>
      </w:r>
      <w:r w:rsidR="00EA6625">
        <w:t>.</w:t>
      </w:r>
    </w:p>
    <w:p w14:paraId="2A86AD6B" w14:textId="4137C89D" w:rsidR="00763CB1" w:rsidRDefault="003B14A5" w:rsidP="003B14A5">
      <w:r w:rsidRPr="003B14A5">
        <w:t>Practices</w:t>
      </w:r>
      <w:r w:rsidR="004246A2" w:rsidRPr="003B14A5">
        <w:t xml:space="preserve"> agreed that this opportunistic approach may lead to a widening of some health </w:t>
      </w:r>
      <w:r w:rsidR="004246A2" w:rsidRPr="00EC7FBB">
        <w:t xml:space="preserve">inequalities (see </w:t>
      </w:r>
      <w:r w:rsidR="00E70AF6">
        <w:t xml:space="preserve">report </w:t>
      </w:r>
      <w:r w:rsidR="004246A2" w:rsidRPr="00EC7FBB">
        <w:t>section 6.4 for detail), for</w:t>
      </w:r>
      <w:r w:rsidR="004246A2" w:rsidRPr="003B14A5">
        <w:t xml:space="preserve"> example those relating to gender, </w:t>
      </w:r>
      <w:r w:rsidR="00342B00">
        <w:t>as well as generally benefitting those groups who attend more frequently.</w:t>
      </w:r>
      <w:r>
        <w:t xml:space="preserve"> </w:t>
      </w:r>
    </w:p>
    <w:p w14:paraId="6BE7ACEC" w14:textId="4A239C0D" w:rsidR="002862BA" w:rsidRDefault="002862BA" w:rsidP="002862BA">
      <w:pPr>
        <w:pStyle w:val="Heading7"/>
      </w:pPr>
      <w:r w:rsidRPr="002862BA">
        <w:lastRenderedPageBreak/>
        <w:t>Role of primary care in achieving wider public health outcomes</w:t>
      </w:r>
    </w:p>
    <w:p w14:paraId="3CB39807" w14:textId="26EF3055" w:rsidR="00F3360E" w:rsidRPr="00035799" w:rsidRDefault="00035799" w:rsidP="002862BA">
      <w:r w:rsidRPr="00035799">
        <w:t>Four</w:t>
      </w:r>
      <w:r w:rsidR="00F3360E" w:rsidRPr="00035799">
        <w:t xml:space="preserve"> respondents in the interviews and </w:t>
      </w:r>
      <w:r w:rsidRPr="00035799">
        <w:t>an additional two</w:t>
      </w:r>
      <w:r w:rsidR="00F3360E" w:rsidRPr="00035799">
        <w:t xml:space="preserve"> in the surveys felt</w:t>
      </w:r>
      <w:r w:rsidR="00D61797" w:rsidRPr="00035799">
        <w:t xml:space="preserve"> that this issue required a national focus and a public health approach.</w:t>
      </w:r>
    </w:p>
    <w:p w14:paraId="205BFD73" w14:textId="3C1ED38E" w:rsidR="003978E9" w:rsidRDefault="003978E9" w:rsidP="00F3360E">
      <w:pPr>
        <w:spacing w:line="312" w:lineRule="auto"/>
        <w:rPr>
          <w:i/>
          <w:iCs/>
        </w:rPr>
      </w:pPr>
      <w:r>
        <w:rPr>
          <w:i/>
          <w:iCs/>
        </w:rPr>
        <w:t>“</w:t>
      </w:r>
      <w:r w:rsidRPr="003978E9">
        <w:rPr>
          <w:i/>
          <w:iCs/>
        </w:rPr>
        <w:t>I really think the solution longer term is with public health and what we (are sold in the supermarkets).</w:t>
      </w:r>
      <w:r>
        <w:rPr>
          <w:i/>
          <w:iCs/>
        </w:rPr>
        <w:t>”</w:t>
      </w:r>
      <w:r w:rsidRPr="003978E9">
        <w:rPr>
          <w:i/>
          <w:iCs/>
        </w:rPr>
        <w:t xml:space="preserve"> </w:t>
      </w:r>
      <w:r w:rsidRPr="004C4645">
        <w:rPr>
          <w:i/>
          <w:iCs/>
        </w:rPr>
        <w:t>[</w:t>
      </w:r>
      <w:r>
        <w:rPr>
          <w:i/>
          <w:iCs/>
        </w:rPr>
        <w:t>GP</w:t>
      </w:r>
      <w:r w:rsidRPr="004C4645">
        <w:rPr>
          <w:i/>
          <w:iCs/>
        </w:rPr>
        <w:t xml:space="preserve">, </w:t>
      </w:r>
      <w:r>
        <w:rPr>
          <w:i/>
          <w:iCs/>
        </w:rPr>
        <w:t>interview</w:t>
      </w:r>
      <w:r w:rsidRPr="004C4645">
        <w:rPr>
          <w:i/>
          <w:iCs/>
        </w:rPr>
        <w:t>]</w:t>
      </w:r>
    </w:p>
    <w:p w14:paraId="55E45842" w14:textId="57959402" w:rsidR="00F3360E" w:rsidRDefault="00F3360E" w:rsidP="00F3360E">
      <w:pPr>
        <w:spacing w:line="312" w:lineRule="auto"/>
        <w:rPr>
          <w:i/>
          <w:iCs/>
        </w:rPr>
      </w:pPr>
      <w:r w:rsidRPr="002B443A">
        <w:rPr>
          <w:i/>
          <w:iCs/>
        </w:rPr>
        <w:t xml:space="preserve">“Patients under 18 should be educated on healthy eating, the concept of calorific intake and how to make healthy food affordable and how to cook healthy meals. All of this should be done at school and come under PHE - not NHSE. More and more people are struggling to afford any food - priority for families is to get fed and us telling them to improve their diet is not going to help.” </w:t>
      </w:r>
      <w:r w:rsidRPr="004C4645">
        <w:rPr>
          <w:i/>
          <w:iCs/>
        </w:rPr>
        <w:t>[</w:t>
      </w:r>
      <w:r>
        <w:rPr>
          <w:i/>
          <w:iCs/>
        </w:rPr>
        <w:t>Other clinician</w:t>
      </w:r>
      <w:r w:rsidRPr="004C4645">
        <w:rPr>
          <w:i/>
          <w:iCs/>
        </w:rPr>
        <w:t xml:space="preserve">, </w:t>
      </w:r>
      <w:r>
        <w:rPr>
          <w:i/>
          <w:iCs/>
        </w:rPr>
        <w:t>survey</w:t>
      </w:r>
      <w:r w:rsidRPr="004C4645">
        <w:rPr>
          <w:i/>
          <w:iCs/>
        </w:rPr>
        <w:t>]</w:t>
      </w:r>
    </w:p>
    <w:p w14:paraId="341ACC98" w14:textId="77777777" w:rsidR="00F3360E" w:rsidRPr="001D24C8" w:rsidRDefault="00F3360E" w:rsidP="00F3360E">
      <w:pPr>
        <w:spacing w:line="312" w:lineRule="auto"/>
        <w:rPr>
          <w:i/>
          <w:iCs/>
        </w:rPr>
      </w:pPr>
      <w:r>
        <w:rPr>
          <w:i/>
          <w:iCs/>
        </w:rPr>
        <w:t>“E</w:t>
      </w:r>
      <w:r w:rsidRPr="00807007">
        <w:rPr>
          <w:i/>
          <w:iCs/>
        </w:rPr>
        <w:t xml:space="preserve">veryone is aware of their weights and what needs to change. This needs to be a more national approach with teaching kids in school and making food cheaper rather than just recording BMIs and then nothing more to offer. This </w:t>
      </w:r>
      <w:r>
        <w:rPr>
          <w:i/>
          <w:iCs/>
        </w:rPr>
        <w:t>can’t</w:t>
      </w:r>
      <w:r w:rsidRPr="00807007">
        <w:rPr>
          <w:i/>
          <w:iCs/>
        </w:rPr>
        <w:t xml:space="preserve"> be done while they are consulting for back pain or knee pain. We do mention the weight if they look obviously over 30 but to do a</w:t>
      </w:r>
      <w:r>
        <w:rPr>
          <w:i/>
          <w:iCs/>
        </w:rPr>
        <w:t>n</w:t>
      </w:r>
      <w:r w:rsidRPr="00807007">
        <w:rPr>
          <w:i/>
          <w:iCs/>
        </w:rPr>
        <w:t xml:space="preserve"> in-depth consultation again is not realistic</w:t>
      </w:r>
      <w:r>
        <w:rPr>
          <w:i/>
          <w:iCs/>
        </w:rPr>
        <w:t xml:space="preserve">.” </w:t>
      </w:r>
      <w:r w:rsidRPr="004C4645">
        <w:rPr>
          <w:i/>
          <w:iCs/>
        </w:rPr>
        <w:t>[</w:t>
      </w:r>
      <w:r>
        <w:rPr>
          <w:i/>
          <w:iCs/>
        </w:rPr>
        <w:t>GP</w:t>
      </w:r>
      <w:r w:rsidRPr="004C4645">
        <w:rPr>
          <w:i/>
          <w:iCs/>
        </w:rPr>
        <w:t xml:space="preserve">, </w:t>
      </w:r>
      <w:r>
        <w:rPr>
          <w:i/>
          <w:iCs/>
        </w:rPr>
        <w:t>survey</w:t>
      </w:r>
      <w:r w:rsidRPr="004C4645">
        <w:rPr>
          <w:i/>
          <w:iCs/>
        </w:rPr>
        <w:t>]</w:t>
      </w:r>
    </w:p>
    <w:p w14:paraId="10C74BD3" w14:textId="24C6A195" w:rsidR="0043674C" w:rsidRDefault="0043674C" w:rsidP="0043674C">
      <w:pPr>
        <w:pStyle w:val="Heading4"/>
      </w:pPr>
      <w:r w:rsidRPr="00B36A25">
        <w:t xml:space="preserve">Indicator 2: </w:t>
      </w:r>
      <w:r w:rsidR="00AE0D43" w:rsidRPr="00B36A25">
        <w:t>Weight management: referral for bariatric surgery</w:t>
      </w:r>
    </w:p>
    <w:bookmarkStart w:id="17" w:name="_Hlk166665964"/>
    <w:p w14:paraId="16559DC5" w14:textId="77777777" w:rsidR="001F3F8C" w:rsidRPr="001F3F8C" w:rsidRDefault="001F3F8C" w:rsidP="001F3F8C">
      <w:pPr>
        <w:rPr>
          <w:rFonts w:cs="Arial"/>
        </w:rPr>
      </w:pPr>
      <w:r w:rsidRPr="001F3F8C">
        <w:fldChar w:fldCharType="begin"/>
      </w:r>
      <w:r w:rsidRPr="001F3F8C">
        <w:rPr>
          <w:rFonts w:cs="Arial"/>
        </w:rPr>
        <w:instrText>HYPERLINK "https://www.nice.org.uk/guidance/cg189"</w:instrText>
      </w:r>
      <w:r w:rsidRPr="001F3F8C">
        <w:fldChar w:fldCharType="separate"/>
      </w:r>
      <w:r w:rsidRPr="001F3F8C">
        <w:rPr>
          <w:rStyle w:val="Hyperlink"/>
          <w:rFonts w:cs="Arial"/>
          <w:shd w:val="clear" w:color="auto" w:fill="FFFFFF"/>
        </w:rPr>
        <w:t>NICE guideline (CG189)</w:t>
      </w:r>
      <w:r w:rsidRPr="001F3F8C">
        <w:rPr>
          <w:rStyle w:val="Hyperlink"/>
          <w:rFonts w:cs="Arial"/>
          <w:shd w:val="clear" w:color="auto" w:fill="FFFFFF"/>
        </w:rPr>
        <w:fldChar w:fldCharType="end"/>
      </w:r>
      <w:r w:rsidRPr="001F3F8C">
        <w:rPr>
          <w:rFonts w:cs="Arial"/>
          <w:color w:val="333333"/>
          <w:shd w:val="clear" w:color="auto" w:fill="FFFFFF"/>
        </w:rPr>
        <w:t xml:space="preserve">  </w:t>
      </w:r>
      <w:r w:rsidRPr="001F3F8C">
        <w:rPr>
          <w:rFonts w:cs="Arial"/>
          <w:shd w:val="clear" w:color="auto" w:fill="FFFFFF"/>
        </w:rPr>
        <w:t xml:space="preserve">recommends that adults who have a BMI of 40 kg/m2 or more, or between 35 kg/m2 and 39.9 kg/m2 with a significant health condition that could be improved if they lost weight and agree to the necessary long-term follow up after surgery should be offered a referral for a comprehensive assessment by specialist weight management services providing multidisciplinary management of obesity to see whether bariatric surgery is suitable for them (rec 1.10.1). To note that this recommendation may be updated as a result of guidance currently in </w:t>
      </w:r>
      <w:r w:rsidRPr="001F3F8C">
        <w:rPr>
          <w:rFonts w:cs="Arial"/>
        </w:rPr>
        <w:t>development (</w:t>
      </w:r>
      <w:hyperlink r:id="rId13" w:history="1">
        <w:r w:rsidRPr="000C4959">
          <w:rPr>
            <w:rStyle w:val="Hyperlink"/>
            <w:rFonts w:cs="Arial"/>
          </w:rPr>
          <w:t>GID-NG10182</w:t>
        </w:r>
      </w:hyperlink>
      <w:r w:rsidRPr="001F3F8C">
        <w:rPr>
          <w:rFonts w:cs="Arial"/>
        </w:rPr>
        <w:t xml:space="preserve"> Overweight and obesity management, expected publication date TBC). </w:t>
      </w:r>
    </w:p>
    <w:bookmarkEnd w:id="17"/>
    <w:p w14:paraId="778D2E42" w14:textId="77777777" w:rsidR="00330CA9" w:rsidRDefault="00330CA9" w:rsidP="00330CA9">
      <w:pPr>
        <w:pStyle w:val="Heading7"/>
      </w:pPr>
      <w:r>
        <w:t>Indicator type</w:t>
      </w:r>
    </w:p>
    <w:p w14:paraId="528D9175" w14:textId="71E74822" w:rsidR="00475BC7" w:rsidRDefault="00AE0D43" w:rsidP="00AE0D43">
      <w:r w:rsidRPr="00AE0D43">
        <w:t xml:space="preserve">This indicator was proposed at either PCN or ICS level, partly </w:t>
      </w:r>
      <w:r w:rsidR="00AF0CD9">
        <w:t xml:space="preserve">as a result of </w:t>
      </w:r>
      <w:r w:rsidR="00AF0CD9" w:rsidRPr="00AF0CD9">
        <w:t>concerns about the availability of bariatric surgery services</w:t>
      </w:r>
      <w:r w:rsidRPr="00EC7FBB">
        <w:t xml:space="preserve">, as </w:t>
      </w:r>
      <w:r w:rsidR="00330CA9" w:rsidRPr="00EC7FBB">
        <w:t>described</w:t>
      </w:r>
      <w:r w:rsidR="00B36A25" w:rsidRPr="00EC7FBB">
        <w:t xml:space="preserve"> </w:t>
      </w:r>
      <w:r w:rsidRPr="00EC7FBB">
        <w:t xml:space="preserve">in </w:t>
      </w:r>
      <w:r w:rsidR="00E70AF6">
        <w:t xml:space="preserve">report </w:t>
      </w:r>
      <w:r w:rsidRPr="00EC7FBB">
        <w:t>section 6.3.2.</w:t>
      </w:r>
      <w:r w:rsidRPr="00AE0D43">
        <w:t xml:space="preserve"> When asked</w:t>
      </w:r>
      <w:r w:rsidR="005C20D7">
        <w:t xml:space="preserve"> in interviews</w:t>
      </w:r>
      <w:r w:rsidRPr="00AE0D43">
        <w:t xml:space="preserve"> </w:t>
      </w:r>
      <w:r w:rsidR="00B36A25">
        <w:t>for their views on the organisational level that this indicator was proposed</w:t>
      </w:r>
      <w:r w:rsidRPr="00AE0D43">
        <w:t>, many practices felt unable to answer as they felt the indicator was unfeasible</w:t>
      </w:r>
      <w:r w:rsidR="00330CA9">
        <w:t xml:space="preserve"> because of the lack of services</w:t>
      </w:r>
      <w:r w:rsidRPr="00AE0D43">
        <w:t xml:space="preserve">. </w:t>
      </w:r>
    </w:p>
    <w:p w14:paraId="7FB7A889" w14:textId="474E84B7" w:rsidR="00475BC7" w:rsidRDefault="004D42C1" w:rsidP="00AE0D43">
      <w:r>
        <w:lastRenderedPageBreak/>
        <w:t xml:space="preserve">Two practices mentioned social prescribers in relation to this indicator (in the context of a different approach to managing severe obesity), which suggests there could be a role for primary care more broadly, such as at PCN-level. </w:t>
      </w:r>
    </w:p>
    <w:p w14:paraId="22308363" w14:textId="1C1228E5" w:rsidR="0043674C" w:rsidRPr="00AE0D43" w:rsidRDefault="00AE0D43" w:rsidP="00AE0D43">
      <w:r w:rsidRPr="00AE0D43">
        <w:t>One practice felt strongly that this indicator should be at an ICS level:</w:t>
      </w:r>
    </w:p>
    <w:p w14:paraId="79B2CF59" w14:textId="0CA6EF30" w:rsidR="00AE0D43" w:rsidRDefault="00AE0D43" w:rsidP="006D7E1F">
      <w:pPr>
        <w:spacing w:line="312" w:lineRule="auto"/>
        <w:rPr>
          <w:i/>
          <w:iCs/>
        </w:rPr>
      </w:pPr>
      <w:r w:rsidRPr="00AE0D43">
        <w:rPr>
          <w:i/>
          <w:iCs/>
        </w:rPr>
        <w:t>“System all the way because this is such a big problem” [GP, interview]</w:t>
      </w:r>
    </w:p>
    <w:p w14:paraId="2D9BDF2D" w14:textId="23F2D6BB" w:rsidR="00AE0D43" w:rsidRDefault="00AE0D43" w:rsidP="005B36A6">
      <w:r>
        <w:t xml:space="preserve">However, another </w:t>
      </w:r>
      <w:r w:rsidR="00EA6625">
        <w:t>GP</w:t>
      </w:r>
      <w:r>
        <w:t xml:space="preserve"> struggled to see how indicators relating to GP activity would </w:t>
      </w:r>
      <w:r w:rsidR="00EA6625">
        <w:t>work in practice</w:t>
      </w:r>
      <w:r w:rsidR="005B36A6">
        <w:t xml:space="preserve"> at a system level</w:t>
      </w:r>
      <w:r w:rsidR="00EA6625">
        <w:t>:</w:t>
      </w:r>
    </w:p>
    <w:p w14:paraId="1A4384BA" w14:textId="0BFC615B" w:rsidR="00EA6625" w:rsidRDefault="00EA6625" w:rsidP="00171E55">
      <w:pPr>
        <w:spacing w:line="312" w:lineRule="auto"/>
        <w:rPr>
          <w:i/>
          <w:iCs/>
        </w:rPr>
      </w:pPr>
      <w:r>
        <w:rPr>
          <w:i/>
          <w:iCs/>
        </w:rPr>
        <w:t>“</w:t>
      </w:r>
      <w:r w:rsidRPr="00EA6625">
        <w:rPr>
          <w:i/>
          <w:iCs/>
        </w:rPr>
        <w:t>I don’t know how it would work if it was a system-level thing, I guess, you’d have QOF, you’d have IIF, you’re talking about a third branch really of that, so that would come into us. My head can’t quite get how that works because it’s still going to be GPs doing the work for the ICB to get their payments in.</w:t>
      </w:r>
      <w:r>
        <w:rPr>
          <w:i/>
          <w:iCs/>
        </w:rPr>
        <w:t>”</w:t>
      </w:r>
      <w:r w:rsidRPr="00AE0D43">
        <w:rPr>
          <w:i/>
          <w:iCs/>
        </w:rPr>
        <w:t xml:space="preserve"> [GP, interview]</w:t>
      </w:r>
    </w:p>
    <w:p w14:paraId="7F5B197F" w14:textId="0C2B829A" w:rsidR="005750F1" w:rsidRDefault="00D21210" w:rsidP="005750F1">
      <w:r w:rsidRPr="00D21210">
        <w:t>Another, who had generally provided positive feedback about this indicator</w:t>
      </w:r>
      <w:r>
        <w:t>,</w:t>
      </w:r>
      <w:r w:rsidRPr="00D21210">
        <w:t xml:space="preserve"> felt that it was appropriate at a primary care level</w:t>
      </w:r>
      <w:r>
        <w:t xml:space="preserve"> (but also at a higher level</w:t>
      </w:r>
      <w:r w:rsidR="005750F1">
        <w:t>)</w:t>
      </w:r>
      <w:r w:rsidR="00F7121C">
        <w:t>.</w:t>
      </w:r>
    </w:p>
    <w:p w14:paraId="56C3AA84" w14:textId="25B6EE4B" w:rsidR="009605AC" w:rsidRDefault="005C20D7" w:rsidP="005750F1">
      <w:r>
        <w:t>There was a similar picture from the survey responses, where 27.5% (14/51) felt this indicator was appropriate at network level, 35.3% (18/51) felt it was appropriate at system level and 37.3% (19/51) were unsure (p</w:t>
      </w:r>
      <w:r w:rsidRPr="005C20D7">
        <w:t>lease note percentages do not total 100% as a result of rounding</w:t>
      </w:r>
      <w:r>
        <w:t xml:space="preserve">). </w:t>
      </w:r>
      <w:r w:rsidR="001D580C">
        <w:t>Of the survey respondents who suggested the appropriate level was PCN, two made comments that suggested they would in fact prefer the indicator at practice level, and a third suggested that close working within their PCN would enable this to be implemented.</w:t>
      </w:r>
    </w:p>
    <w:p w14:paraId="7145D11C" w14:textId="59A46784" w:rsidR="00330CA9" w:rsidRDefault="00330CA9" w:rsidP="00330CA9">
      <w:pPr>
        <w:pStyle w:val="Heading7"/>
      </w:pPr>
      <w:r>
        <w:t>New weight management developments</w:t>
      </w:r>
    </w:p>
    <w:p w14:paraId="73624146" w14:textId="151B1DB1" w:rsidR="00A75976" w:rsidRDefault="00A75976" w:rsidP="00A75976">
      <w:r>
        <w:t xml:space="preserve">An </w:t>
      </w:r>
      <w:hyperlink r:id="rId14" w:history="1">
        <w:r w:rsidRPr="007A34A9">
          <w:rPr>
            <w:rStyle w:val="Hyperlink"/>
          </w:rPr>
          <w:t>ongoing pilot</w:t>
        </w:r>
      </w:hyperlink>
      <w:r>
        <w:t xml:space="preserve"> is exploring ways to make obesity drugs more accessible to patients, with </w:t>
      </w:r>
      <w:r w:rsidRPr="00617B23">
        <w:t>Semaglutide</w:t>
      </w:r>
      <w:r>
        <w:t xml:space="preserve"> and</w:t>
      </w:r>
      <w:r w:rsidRPr="00617B23">
        <w:t> </w:t>
      </w:r>
      <w:hyperlink r:id="rId15" w:history="1">
        <w:r w:rsidRPr="00617B23">
          <w:rPr>
            <w:rStyle w:val="Hyperlink"/>
          </w:rPr>
          <w:t>tirzepatide</w:t>
        </w:r>
      </w:hyperlink>
      <w:r>
        <w:t xml:space="preserve"> recently recommended for weight loss purposes, and other drugs being assessed in trials. The pilot is considering how to widen access to weight loss drugs, including consideration of prescribing in primary care. One interviewee </w:t>
      </w:r>
      <w:r w:rsidR="007A22F4">
        <w:t>raised this issue and suggested</w:t>
      </w:r>
      <w:r w:rsidR="00DD7C83">
        <w:t xml:space="preserve"> that</w:t>
      </w:r>
      <w:r>
        <w:t xml:space="preserve"> </w:t>
      </w:r>
      <w:r w:rsidR="00DD7C83">
        <w:t xml:space="preserve">any consideration of indicator development on the topic of weight management may </w:t>
      </w:r>
      <w:r>
        <w:t>be overtaken by these new developments.</w:t>
      </w:r>
    </w:p>
    <w:p w14:paraId="1B6F1132" w14:textId="77777777" w:rsidR="00A75976" w:rsidRDefault="00A75976" w:rsidP="00A75976">
      <w:pPr>
        <w:spacing w:line="312" w:lineRule="auto"/>
        <w:rPr>
          <w:i/>
          <w:iCs/>
        </w:rPr>
      </w:pPr>
      <w:r>
        <w:rPr>
          <w:i/>
          <w:iCs/>
        </w:rPr>
        <w:t>“</w:t>
      </w:r>
      <w:r w:rsidRPr="00617B23">
        <w:rPr>
          <w:i/>
          <w:iCs/>
        </w:rPr>
        <w:t xml:space="preserve">I suspect this is going to be subsumed by the use of Wegovy, Ozempic - the new drugs - and weight loss related to that is actually going to be a much bigger area which needs a lot more focus and actually far more monitoring and supervision. This </w:t>
      </w:r>
      <w:r w:rsidRPr="00617B23">
        <w:rPr>
          <w:i/>
          <w:iCs/>
        </w:rPr>
        <w:lastRenderedPageBreak/>
        <w:t>probably is going to slip into the background, and certainly isn’t going to be a primary care thing. I think things are moving on very quickly on the weight loss and I think maybe focusing around that is more use.” [GP, interview]</w:t>
      </w:r>
      <w:r>
        <w:rPr>
          <w:i/>
          <w:iCs/>
        </w:rPr>
        <w:t>.</w:t>
      </w:r>
    </w:p>
    <w:p w14:paraId="0EF35AE6" w14:textId="77777777" w:rsidR="00A75976" w:rsidRDefault="00A75976" w:rsidP="00A75976">
      <w:r w:rsidRPr="00B04A6E">
        <w:t>A survey respondent suggested that increasing access to these drugs is more appropriate than increasing referrals for bariatric surgery (indicator 2):</w:t>
      </w:r>
    </w:p>
    <w:p w14:paraId="28F2D1B8" w14:textId="3C87DBEF" w:rsidR="00A75976" w:rsidRDefault="00A75976" w:rsidP="004769EB">
      <w:pPr>
        <w:spacing w:after="240" w:line="312" w:lineRule="auto"/>
        <w:rPr>
          <w:i/>
          <w:iCs/>
        </w:rPr>
      </w:pPr>
      <w:r>
        <w:rPr>
          <w:i/>
          <w:iCs/>
        </w:rPr>
        <w:t>“</w:t>
      </w:r>
      <w:r w:rsidRPr="00B04A6E">
        <w:rPr>
          <w:i/>
          <w:iCs/>
        </w:rPr>
        <w:t>Address access to GLP1 analogues and make access available via self referral</w:t>
      </w:r>
      <w:r w:rsidR="006C441B">
        <w:rPr>
          <w:i/>
          <w:iCs/>
        </w:rPr>
        <w:t>.</w:t>
      </w:r>
      <w:r>
        <w:rPr>
          <w:i/>
          <w:iCs/>
        </w:rPr>
        <w:t>” [</w:t>
      </w:r>
      <w:r w:rsidRPr="00617B23">
        <w:rPr>
          <w:i/>
          <w:iCs/>
        </w:rPr>
        <w:t xml:space="preserve">GP, </w:t>
      </w:r>
      <w:r>
        <w:rPr>
          <w:i/>
          <w:iCs/>
        </w:rPr>
        <w:t>survey</w:t>
      </w:r>
      <w:r w:rsidRPr="00617B23">
        <w:rPr>
          <w:i/>
          <w:iCs/>
        </w:rPr>
        <w:t>]</w:t>
      </w:r>
      <w:r>
        <w:rPr>
          <w:i/>
          <w:iCs/>
        </w:rPr>
        <w:t>.</w:t>
      </w:r>
    </w:p>
    <w:p w14:paraId="341267DE" w14:textId="08E7E8CA" w:rsidR="00C4481B" w:rsidRPr="00EA6625" w:rsidRDefault="00C4481B" w:rsidP="00C4481B">
      <w:pPr>
        <w:pStyle w:val="Heading4"/>
      </w:pPr>
      <w:r w:rsidRPr="00EA6625">
        <w:t xml:space="preserve">Indicators 3 and 4: </w:t>
      </w:r>
      <w:r w:rsidR="00EA6625" w:rsidRPr="00EA6625">
        <w:t>Weight management: nutritional status monitoring in primary care after bariatric surgery</w:t>
      </w:r>
    </w:p>
    <w:p w14:paraId="68147000" w14:textId="78B1AFD0" w:rsidR="00330CA9" w:rsidRDefault="00C61DE1" w:rsidP="00330CA9">
      <w:pPr>
        <w:pStyle w:val="Heading7"/>
      </w:pPr>
      <w:r>
        <w:t>Content of the review</w:t>
      </w:r>
    </w:p>
    <w:p w14:paraId="46D750DB" w14:textId="708EFBB2" w:rsidR="00EA6625" w:rsidRPr="00EC7FBB" w:rsidRDefault="00EA6625" w:rsidP="00EA6625">
      <w:r w:rsidRPr="00EA6625">
        <w:t>The content of th</w:t>
      </w:r>
      <w:r w:rsidR="00B36A25">
        <w:t xml:space="preserve">e nutritional status monitoring </w:t>
      </w:r>
      <w:r w:rsidRPr="00EA6625">
        <w:t xml:space="preserve">review was subject to discussion in the interviews, with GPs feeling they did not necessarily have the appropriate knowledge and skills to deliver a comprehensive </w:t>
      </w:r>
      <w:r w:rsidRPr="00EC7FBB">
        <w:t>review (see</w:t>
      </w:r>
      <w:r w:rsidR="00E70AF6">
        <w:t xml:space="preserve"> report</w:t>
      </w:r>
      <w:r w:rsidRPr="00EC7FBB">
        <w:t xml:space="preserve"> section 6.1</w:t>
      </w:r>
      <w:r w:rsidR="00C07773" w:rsidRPr="00EC7FBB">
        <w:t xml:space="preserve"> for detail</w:t>
      </w:r>
      <w:r w:rsidRPr="00EC7FBB">
        <w:t xml:space="preserve">). </w:t>
      </w:r>
    </w:p>
    <w:p w14:paraId="4361FA8D" w14:textId="56389D27" w:rsidR="00B10F56" w:rsidRPr="00EC7FBB" w:rsidRDefault="00B10F56" w:rsidP="00B10F56">
      <w:pPr>
        <w:pStyle w:val="Heading7"/>
      </w:pPr>
      <w:r w:rsidRPr="00EC7FBB">
        <w:t>Surgery overseas</w:t>
      </w:r>
    </w:p>
    <w:p w14:paraId="049547DD" w14:textId="43360883" w:rsidR="00EA6625" w:rsidRDefault="00EA6625" w:rsidP="00EA6625">
      <w:r w:rsidRPr="00EC7FBB">
        <w:t xml:space="preserve">Cohort identification was a particular concern for these indicators, as many patients undergo surgery abroad (see </w:t>
      </w:r>
      <w:r w:rsidR="00E70AF6">
        <w:t xml:space="preserve">report </w:t>
      </w:r>
      <w:r w:rsidRPr="00EC7FBB">
        <w:t>section 6.3</w:t>
      </w:r>
      <w:r w:rsidR="00327A02" w:rsidRPr="00EC7FBB">
        <w:t>.3</w:t>
      </w:r>
      <w:r w:rsidR="00C07773" w:rsidRPr="00EC7FBB">
        <w:t xml:space="preserve"> for detail</w:t>
      </w:r>
      <w:r w:rsidRPr="00EC7FBB">
        <w:t>), and practices were a</w:t>
      </w:r>
      <w:r w:rsidRPr="00EA6625">
        <w:t xml:space="preserve">lso asked if, for patients who had undergone bariatric surgery, they knew the details of the type of procedure the patient had received, and whether they felt the monitoring would need to be tailored on that basis. </w:t>
      </w:r>
      <w:r w:rsidR="00D21210">
        <w:t>Only a small number of practices responded to this question, but it was clear that this information was often lacking when the patient had had surgery abroad:</w:t>
      </w:r>
    </w:p>
    <w:p w14:paraId="3EE669B1" w14:textId="7DEC75F6" w:rsidR="00D21210" w:rsidRDefault="00D21210" w:rsidP="00F023A7">
      <w:pPr>
        <w:spacing w:line="312" w:lineRule="auto"/>
        <w:rPr>
          <w:i/>
          <w:iCs/>
        </w:rPr>
      </w:pPr>
      <w:r>
        <w:rPr>
          <w:i/>
          <w:iCs/>
        </w:rPr>
        <w:t>“</w:t>
      </w:r>
      <w:r w:rsidRPr="00D21210">
        <w:rPr>
          <w:i/>
          <w:iCs/>
        </w:rPr>
        <w:t xml:space="preserve">It depends on where they've had the surgery. If they've had it in Turkey, we don't get anything, and the patients also don't quite know what they've had. We end up treating a lot of infections and complications after that. But here, if it's done, then we do get told what is done in the discharge letter, so that's a little bit </w:t>
      </w:r>
      <w:r w:rsidR="003B7AC3">
        <w:rPr>
          <w:i/>
          <w:iCs/>
        </w:rPr>
        <w:t xml:space="preserve">of </w:t>
      </w:r>
      <w:r w:rsidRPr="00D21210">
        <w:rPr>
          <w:i/>
          <w:iCs/>
        </w:rPr>
        <w:t>clarity. Again, my knowledge is limited as to what follow-up is needed for the different procedures. I don't really know</w:t>
      </w:r>
      <w:r w:rsidRPr="00EA6625">
        <w:rPr>
          <w:i/>
          <w:iCs/>
        </w:rPr>
        <w:t>.</w:t>
      </w:r>
      <w:r>
        <w:rPr>
          <w:i/>
          <w:iCs/>
        </w:rPr>
        <w:t>”</w:t>
      </w:r>
      <w:r w:rsidRPr="00AE0D43">
        <w:rPr>
          <w:i/>
          <w:iCs/>
        </w:rPr>
        <w:t xml:space="preserve"> [GP, interview]</w:t>
      </w:r>
    </w:p>
    <w:p w14:paraId="6AEBBE84" w14:textId="24BD3AAE" w:rsidR="007D4492" w:rsidRPr="007D4492" w:rsidRDefault="007D4492" w:rsidP="007D4492">
      <w:r w:rsidRPr="007D4492">
        <w:t>Concerns were expressed about patients who had travelled abroad for surgery:</w:t>
      </w:r>
    </w:p>
    <w:p w14:paraId="7E93FE6B" w14:textId="6DD07FEB" w:rsidR="00A229D2" w:rsidRDefault="007D4492" w:rsidP="007D4492">
      <w:pPr>
        <w:spacing w:line="312" w:lineRule="auto"/>
        <w:rPr>
          <w:i/>
          <w:iCs/>
        </w:rPr>
      </w:pPr>
      <w:r>
        <w:rPr>
          <w:i/>
          <w:iCs/>
        </w:rPr>
        <w:t>“</w:t>
      </w:r>
      <w:r w:rsidRPr="007D4492">
        <w:rPr>
          <w:i/>
          <w:iCs/>
        </w:rPr>
        <w:t>The other thing is, they don’t necessarily have a BMI in the bracket for bariatric surgery. That would be our biggest challenge.</w:t>
      </w:r>
      <w:r>
        <w:rPr>
          <w:i/>
          <w:iCs/>
        </w:rPr>
        <w:t>”</w:t>
      </w:r>
      <w:r w:rsidRPr="00AE0D43">
        <w:rPr>
          <w:i/>
          <w:iCs/>
        </w:rPr>
        <w:t xml:space="preserve"> [</w:t>
      </w:r>
      <w:r>
        <w:rPr>
          <w:i/>
          <w:iCs/>
        </w:rPr>
        <w:t>Practice manager</w:t>
      </w:r>
      <w:r w:rsidRPr="00AE0D43">
        <w:rPr>
          <w:i/>
          <w:iCs/>
        </w:rPr>
        <w:t>, interview]</w:t>
      </w:r>
    </w:p>
    <w:p w14:paraId="06AA203B" w14:textId="68B40A9A" w:rsidR="007D4492" w:rsidRPr="007D4492" w:rsidRDefault="007D4492" w:rsidP="007D4492">
      <w:r w:rsidRPr="007D4492">
        <w:lastRenderedPageBreak/>
        <w:t xml:space="preserve">Some practices also felt that patients who had travelled abroad </w:t>
      </w:r>
      <w:r>
        <w:t>were not receiving post-</w:t>
      </w:r>
      <w:r w:rsidRPr="00EC7FBB">
        <w:t xml:space="preserve">surgical monitoring in a surgical service (either for the full 24 months, or at all) with further detail in </w:t>
      </w:r>
      <w:r w:rsidR="00E70AF6">
        <w:t xml:space="preserve">report </w:t>
      </w:r>
      <w:r w:rsidRPr="00EC7FBB">
        <w:t>section 6.3.3.</w:t>
      </w:r>
    </w:p>
    <w:p w14:paraId="0ADFFBDE" w14:textId="41E50E68" w:rsidR="00C61DE1" w:rsidRDefault="00C61DE1" w:rsidP="00C61DE1">
      <w:pPr>
        <w:pStyle w:val="Heading7"/>
      </w:pPr>
      <w:r>
        <w:t>Indicator type (indicator 4)</w:t>
      </w:r>
    </w:p>
    <w:p w14:paraId="321A3918" w14:textId="0B5C1BD1" w:rsidR="00D21210" w:rsidRDefault="00D21210" w:rsidP="00D21210">
      <w:r>
        <w:t xml:space="preserve">Indicator 4 </w:t>
      </w:r>
      <w:r w:rsidRPr="00AE0D43">
        <w:t>was proposed at either PCN or ICS level</w:t>
      </w:r>
      <w:r>
        <w:t xml:space="preserve"> in anticipation of small numbers of patients for many practices. One practice had already suggested that </w:t>
      </w:r>
      <w:r w:rsidR="001C316D">
        <w:t xml:space="preserve">the ongoing reviews </w:t>
      </w:r>
      <w:r>
        <w:t>would be well delivered either by community services or by PCNs, and therefore the indicator would be appropriate at a higher level:</w:t>
      </w:r>
    </w:p>
    <w:p w14:paraId="7AABDF13" w14:textId="737669F5" w:rsidR="00D21210" w:rsidRPr="001C316D" w:rsidRDefault="00D21210" w:rsidP="006C441B">
      <w:pPr>
        <w:spacing w:line="312" w:lineRule="auto"/>
        <w:rPr>
          <w:i/>
          <w:iCs/>
        </w:rPr>
      </w:pPr>
      <w:r w:rsidRPr="001C316D">
        <w:rPr>
          <w:i/>
          <w:iCs/>
        </w:rPr>
        <w:t>“</w:t>
      </w:r>
      <w:r w:rsidR="001C316D" w:rsidRPr="001C316D">
        <w:rPr>
          <w:i/>
          <w:iCs/>
        </w:rPr>
        <w:t>It’s</w:t>
      </w:r>
      <w:r w:rsidRPr="001C316D">
        <w:rPr>
          <w:i/>
          <w:iCs/>
        </w:rPr>
        <w:t xml:space="preserve"> a system problem, and </w:t>
      </w:r>
      <w:r w:rsidR="001C316D" w:rsidRPr="001C316D">
        <w:rPr>
          <w:i/>
          <w:iCs/>
        </w:rPr>
        <w:t xml:space="preserve"> […] </w:t>
      </w:r>
      <w:r w:rsidRPr="001C316D">
        <w:rPr>
          <w:i/>
          <w:iCs/>
        </w:rPr>
        <w:t xml:space="preserve"> it needs to be commissioned maybe with PCNs or with a community trust that it is as a separate thing because it is</w:t>
      </w:r>
      <w:r w:rsidR="003B7AC3">
        <w:rPr>
          <w:i/>
          <w:iCs/>
        </w:rPr>
        <w:t>,</w:t>
      </w:r>
      <w:r w:rsidRPr="001C316D">
        <w:rPr>
          <w:i/>
          <w:iCs/>
        </w:rPr>
        <w:t xml:space="preserve"> basically. Two years</w:t>
      </w:r>
      <w:r w:rsidR="001C316D" w:rsidRPr="001C316D">
        <w:rPr>
          <w:i/>
          <w:iCs/>
        </w:rPr>
        <w:t xml:space="preserve"> (after bariatric surgery)</w:t>
      </w:r>
      <w:r w:rsidRPr="001C316D">
        <w:rPr>
          <w:i/>
          <w:iCs/>
        </w:rPr>
        <w:t xml:space="preserve"> is nothing. It's a lifelong journey.</w:t>
      </w:r>
      <w:r w:rsidR="001C316D">
        <w:rPr>
          <w:i/>
          <w:iCs/>
        </w:rPr>
        <w:t>”</w:t>
      </w:r>
      <w:r w:rsidR="001C316D" w:rsidRPr="00AE0D43">
        <w:rPr>
          <w:i/>
          <w:iCs/>
        </w:rPr>
        <w:t xml:space="preserve"> [GP, interview]</w:t>
      </w:r>
    </w:p>
    <w:p w14:paraId="2CF19D43" w14:textId="58292B2E" w:rsidR="000E0B17" w:rsidRDefault="001D580C" w:rsidP="006C441B">
      <w:pPr>
        <w:spacing w:before="240" w:after="60"/>
      </w:pPr>
      <w:r>
        <w:t xml:space="preserve">The response from the survey was mixed, where 27.5% (14/51) felt this indicator was appropriate at network level, 39.2% (20/51) felt it was appropriate at system level and 33.3% (17/51) were </w:t>
      </w:r>
      <w:r w:rsidRPr="000E0B17">
        <w:t>unsure. Of the survey respondents who suggested the appropriate level was PCN, two made comments that suggested they would in fact prefer the indicator at practice level</w:t>
      </w:r>
      <w:r w:rsidR="000E0B17" w:rsidRPr="000E0B17">
        <w:t xml:space="preserve">, and a third suggested that close working within their PCN would enable this to be implemented. Another suggested a PCN pharmacist would be appropriate to carry out the review. A further respondent </w:t>
      </w:r>
      <w:r w:rsidR="000E0B17" w:rsidRPr="005560A3">
        <w:t>stated they did not understand how an indicator at ICB level would work</w:t>
      </w:r>
      <w:r w:rsidR="000E0B17">
        <w:t xml:space="preserve"> in reality:</w:t>
      </w:r>
    </w:p>
    <w:p w14:paraId="5C9621E7" w14:textId="77777777" w:rsidR="000E0B17" w:rsidRPr="00884563" w:rsidRDefault="000E0B17" w:rsidP="000E0B17">
      <w:pPr>
        <w:pStyle w:val="Heading6"/>
      </w:pPr>
      <w:r>
        <w:t>“Those (indicators) at PCN level still work similar to QOF - the individual surgeries do their best to hit their individual targets, money then clearly comes back into the PCN to be used as deemed appropriate across our surgeries. If an indicator ran at ICB level, I’m not sure what incentive the GP surgeries would have to work toward those targets as it is unlikely any individual surgery would see any direct benefit if they did a lot of work toward this, compared to a surgery who decided not to focus on ICB level targets?” [GP, survey]</w:t>
      </w:r>
    </w:p>
    <w:p w14:paraId="0E5AE1B2" w14:textId="60C3BDA4" w:rsidR="001D580C" w:rsidRPr="000E0B17" w:rsidRDefault="000E0B17" w:rsidP="006C441B">
      <w:pPr>
        <w:spacing w:before="240" w:after="60"/>
      </w:pPr>
      <w:r w:rsidRPr="000E0B17">
        <w:t>Of the survey respondents who suggested th</w:t>
      </w:r>
      <w:r w:rsidR="006C441B">
        <w:t>at system-level was</w:t>
      </w:r>
      <w:r w:rsidRPr="000E0B17">
        <w:t xml:space="preserve"> appropriate</w:t>
      </w:r>
      <w:r>
        <w:t>, two mentioned likely small numbers, and three mentioned difficulty and variation in access to bariatric interventions.</w:t>
      </w:r>
      <w:r w:rsidRPr="000E0B17">
        <w:t xml:space="preserve"> Another suggested that n</w:t>
      </w:r>
      <w:r w:rsidR="001D580C" w:rsidRPr="001D580C">
        <w:t xml:space="preserve">utritional status </w:t>
      </w:r>
      <w:r w:rsidRPr="000E0B17">
        <w:t xml:space="preserve">is </w:t>
      </w:r>
      <w:r w:rsidR="001D580C" w:rsidRPr="001D580C">
        <w:t>best assessed and treated by dieti</w:t>
      </w:r>
      <w:r w:rsidRPr="000E0B17">
        <w:t>t</w:t>
      </w:r>
      <w:r w:rsidR="001D580C" w:rsidRPr="001D580C">
        <w:t xml:space="preserve">ians </w:t>
      </w:r>
      <w:r w:rsidRPr="000E0B17">
        <w:t xml:space="preserve">in </w:t>
      </w:r>
      <w:r w:rsidRPr="001D580C">
        <w:t>secondary care</w:t>
      </w:r>
      <w:r w:rsidRPr="000E0B17">
        <w:t>.</w:t>
      </w:r>
      <w:r w:rsidR="001D580C" w:rsidRPr="001D580C">
        <w:t xml:space="preserve"> </w:t>
      </w:r>
    </w:p>
    <w:p w14:paraId="24CDAD56" w14:textId="77777777" w:rsidR="001D580C" w:rsidRDefault="001D580C" w:rsidP="001D580C">
      <w:pPr>
        <w:spacing w:after="0" w:line="240" w:lineRule="auto"/>
        <w:rPr>
          <w:rFonts w:ascii="Calibri" w:eastAsia="Times New Roman" w:hAnsi="Calibri" w:cs="Calibri"/>
          <w:color w:val="000000"/>
          <w:sz w:val="22"/>
          <w:lang w:eastAsia="en-GB"/>
        </w:rPr>
      </w:pPr>
    </w:p>
    <w:p w14:paraId="570155BF" w14:textId="77777777" w:rsidR="001D580C" w:rsidRPr="001D580C" w:rsidRDefault="001D580C" w:rsidP="001D580C">
      <w:pPr>
        <w:rPr>
          <w:b/>
          <w:bCs/>
          <w:u w:val="single"/>
        </w:rPr>
      </w:pPr>
    </w:p>
    <w:p w14:paraId="329FBCFD" w14:textId="0954964C" w:rsidR="00900AEE" w:rsidRDefault="00AA6F43" w:rsidP="00AA0981">
      <w:pPr>
        <w:pStyle w:val="Heading1"/>
      </w:pPr>
      <w:bookmarkStart w:id="18" w:name="_Toc198538515"/>
      <w:r w:rsidRPr="009939B1">
        <w:lastRenderedPageBreak/>
        <w:t xml:space="preserve">Suggested amendments to indicator definitions and/or </w:t>
      </w:r>
      <w:r w:rsidRPr="00D35F5D">
        <w:t>wording</w:t>
      </w:r>
      <w:bookmarkEnd w:id="18"/>
    </w:p>
    <w:p w14:paraId="61827D46" w14:textId="7E2B2448" w:rsidR="0035315B" w:rsidRDefault="0035315B" w:rsidP="0035315B">
      <w:r w:rsidRPr="004D35FF">
        <w:t>In many cases, suggest</w:t>
      </w:r>
      <w:r w:rsidR="00DD1FDF" w:rsidRPr="004D35FF">
        <w:t xml:space="preserve">ing an </w:t>
      </w:r>
      <w:r w:rsidR="004D35FF" w:rsidRPr="004D35FF">
        <w:t>amendment</w:t>
      </w:r>
      <w:r w:rsidRPr="004D35FF">
        <w:t xml:space="preserve"> to the wording </w:t>
      </w:r>
      <w:r w:rsidR="00DD1FDF" w:rsidRPr="004D35FF">
        <w:t xml:space="preserve">was used to </w:t>
      </w:r>
      <w:r w:rsidRPr="004D35FF">
        <w:t xml:space="preserve">reflect other </w:t>
      </w:r>
      <w:r w:rsidR="00DD1FDF" w:rsidRPr="004D35FF">
        <w:t>concerns</w:t>
      </w:r>
      <w:r w:rsidRPr="004D35FF">
        <w:t xml:space="preserve"> the respondents had</w:t>
      </w:r>
      <w:r w:rsidR="00DD1FDF" w:rsidRPr="004D35FF">
        <w:t xml:space="preserve"> (for example lack of services in their area). I</w:t>
      </w:r>
      <w:r w:rsidRPr="004D35FF">
        <w:t>n some cases the comment on the indicator(s) reflected their disagreement with the NICE guidance</w:t>
      </w:r>
      <w:r w:rsidR="00DD1FDF" w:rsidRPr="004D35FF">
        <w:t>, as described in this section</w:t>
      </w:r>
      <w:r w:rsidRPr="004D35FF">
        <w:t>.</w:t>
      </w:r>
    </w:p>
    <w:p w14:paraId="6E91438F" w14:textId="07F1C95B" w:rsidR="0035315B" w:rsidRDefault="00F30D60" w:rsidP="0035315B">
      <w:r>
        <w:t>Another</w:t>
      </w:r>
      <w:r w:rsidR="0035315B">
        <w:t xml:space="preserve"> survey respondent made a general comment which they indicated may apply to indicators 2, 3 and 4, that the indicators were ‘wordy’ and not clear.</w:t>
      </w:r>
    </w:p>
    <w:p w14:paraId="494E2EB9" w14:textId="186E1CE3" w:rsidR="00361D93" w:rsidRPr="00D35F5D" w:rsidRDefault="00361D93" w:rsidP="00D35F5D">
      <w:pPr>
        <w:pStyle w:val="Heading2"/>
      </w:pPr>
      <w:bookmarkStart w:id="19" w:name="_Toc198538516"/>
      <w:r w:rsidRPr="00D35F5D">
        <w:t>Indicator wording</w:t>
      </w:r>
      <w:bookmarkEnd w:id="19"/>
    </w:p>
    <w:p w14:paraId="36D8DAEB" w14:textId="77777777" w:rsidR="004225DB" w:rsidRPr="00331EF1" w:rsidRDefault="004225DB" w:rsidP="004225DB">
      <w:pPr>
        <w:pStyle w:val="Heading4"/>
        <w:rPr>
          <w:i/>
          <w:iCs w:val="0"/>
        </w:rPr>
      </w:pPr>
      <w:r w:rsidRPr="00331EF1">
        <w:rPr>
          <w:i/>
          <w:iCs w:val="0"/>
        </w:rPr>
        <w:t xml:space="preserve">Indicator 1: </w:t>
      </w:r>
      <w:r w:rsidRPr="0043674C">
        <w:rPr>
          <w:i/>
          <w:iCs w:val="0"/>
        </w:rPr>
        <w:t xml:space="preserve">Weight management advice </w:t>
      </w:r>
      <w:r w:rsidRPr="00331EF1">
        <w:rPr>
          <w:i/>
          <w:iCs w:val="0"/>
        </w:rPr>
        <w:t>– specific issues identified in interviews and survey</w:t>
      </w:r>
    </w:p>
    <w:p w14:paraId="7E74C55F" w14:textId="230608A3" w:rsidR="000262FC" w:rsidRDefault="00D35F5D" w:rsidP="00D35F5D">
      <w:r w:rsidRPr="00D35F5D">
        <w:t>Most survey respondents (</w:t>
      </w:r>
      <w:r w:rsidR="004225DB">
        <w:t>73.1</w:t>
      </w:r>
      <w:r w:rsidRPr="00D35F5D">
        <w:t xml:space="preserve">%, </w:t>
      </w:r>
      <w:r w:rsidR="004225DB">
        <w:t>38/52</w:t>
      </w:r>
      <w:r w:rsidRPr="00D35F5D">
        <w:t xml:space="preserve">) did not think the wording needed to be changed for this indicator, with a further </w:t>
      </w:r>
      <w:r w:rsidR="004225DB">
        <w:t>9</w:t>
      </w:r>
      <w:r w:rsidRPr="00D35F5D">
        <w:t xml:space="preserve"> (</w:t>
      </w:r>
      <w:r w:rsidR="004225DB">
        <w:t>17.3</w:t>
      </w:r>
      <w:r w:rsidRPr="00D35F5D">
        <w:t>%) being ‘unsure’. Of the 5 respondents (</w:t>
      </w:r>
      <w:r w:rsidR="00332032">
        <w:t>9.</w:t>
      </w:r>
      <w:r w:rsidRPr="00D35F5D">
        <w:t xml:space="preserve">6%) who thought the wording should be changed, </w:t>
      </w:r>
      <w:r w:rsidR="004225DB">
        <w:t>one queried whether the</w:t>
      </w:r>
      <w:r w:rsidR="00F75367">
        <w:t xml:space="preserve"> stated</w:t>
      </w:r>
      <w:r w:rsidR="004225DB">
        <w:t xml:space="preserve"> BMI range was correct</w:t>
      </w:r>
      <w:r w:rsidR="009829E5">
        <w:t>:</w:t>
      </w:r>
    </w:p>
    <w:p w14:paraId="2D5D2DAE" w14:textId="4FE8E5B0" w:rsidR="000262FC" w:rsidRDefault="000262FC" w:rsidP="0049485F">
      <w:pPr>
        <w:spacing w:line="312" w:lineRule="auto"/>
        <w:rPr>
          <w:i/>
          <w:iCs/>
        </w:rPr>
      </w:pPr>
      <w:r w:rsidRPr="000262FC">
        <w:rPr>
          <w:i/>
          <w:iCs/>
        </w:rPr>
        <w:t>“Do you really mean BMI  23 kg/m2 to 27.4 kg/m2 (or 25 and 30 kg/m2 if ethnicity is recorded as White) for the first question?”</w:t>
      </w:r>
      <w:r>
        <w:rPr>
          <w:i/>
          <w:iCs/>
        </w:rPr>
        <w:t xml:space="preserve"> [</w:t>
      </w:r>
      <w:r w:rsidRPr="000262FC">
        <w:rPr>
          <w:i/>
          <w:iCs/>
        </w:rPr>
        <w:t>Practice manager</w:t>
      </w:r>
      <w:r>
        <w:rPr>
          <w:i/>
          <w:iCs/>
        </w:rPr>
        <w:t>, survey]</w:t>
      </w:r>
    </w:p>
    <w:p w14:paraId="2D5B689B" w14:textId="0B1536F3" w:rsidR="00807007" w:rsidRDefault="009829E5" w:rsidP="009829E5">
      <w:r w:rsidRPr="009829E5">
        <w:t>Others felt the wording around ethnicity needed to be improved:</w:t>
      </w:r>
    </w:p>
    <w:p w14:paraId="55E91148" w14:textId="36CD0712" w:rsidR="007D4492" w:rsidRDefault="009829E5" w:rsidP="007D4492">
      <w:pPr>
        <w:spacing w:line="312" w:lineRule="auto"/>
        <w:rPr>
          <w:i/>
          <w:iCs/>
        </w:rPr>
      </w:pPr>
      <w:r>
        <w:rPr>
          <w:i/>
          <w:iCs/>
        </w:rPr>
        <w:t>“</w:t>
      </w:r>
      <w:r w:rsidR="00490560">
        <w:rPr>
          <w:i/>
          <w:iCs/>
        </w:rPr>
        <w:t>(Indicator 1)</w:t>
      </w:r>
      <w:r w:rsidR="00807007" w:rsidRPr="00807007">
        <w:rPr>
          <w:i/>
          <w:iCs/>
        </w:rPr>
        <w:t xml:space="preserve"> should be reworded as singling out one ethnic group.</w:t>
      </w:r>
      <w:r>
        <w:rPr>
          <w:i/>
          <w:iCs/>
        </w:rPr>
        <w:t>” [</w:t>
      </w:r>
      <w:r w:rsidRPr="000262FC">
        <w:rPr>
          <w:i/>
          <w:iCs/>
        </w:rPr>
        <w:t>Practice manager</w:t>
      </w:r>
      <w:r>
        <w:rPr>
          <w:i/>
          <w:iCs/>
        </w:rPr>
        <w:t>, survey]</w:t>
      </w:r>
    </w:p>
    <w:p w14:paraId="350CAC67" w14:textId="5BDA0470" w:rsidR="008055A4" w:rsidRPr="009829E5" w:rsidRDefault="009829E5" w:rsidP="007D4492">
      <w:pPr>
        <w:spacing w:line="312" w:lineRule="auto"/>
        <w:rPr>
          <w:i/>
          <w:iCs/>
        </w:rPr>
      </w:pPr>
      <w:r>
        <w:rPr>
          <w:i/>
          <w:iCs/>
        </w:rPr>
        <w:t>“E</w:t>
      </w:r>
      <w:r w:rsidR="008055A4" w:rsidRPr="008055A4">
        <w:rPr>
          <w:i/>
          <w:iCs/>
        </w:rPr>
        <w:t>thnicity factors could be worded more clearly</w:t>
      </w:r>
      <w:r>
        <w:rPr>
          <w:i/>
          <w:iCs/>
        </w:rPr>
        <w:t>.” [Admin, survey]</w:t>
      </w:r>
    </w:p>
    <w:p w14:paraId="3EEE9387" w14:textId="2A96B48A" w:rsidR="004225DB" w:rsidRDefault="000262FC" w:rsidP="007D4492">
      <w:r>
        <w:t>O</w:t>
      </w:r>
      <w:r w:rsidR="004225DB">
        <w:t xml:space="preserve">ne </w:t>
      </w:r>
      <w:r w:rsidR="007D4492">
        <w:t>pharmacist responding to the survey</w:t>
      </w:r>
      <w:r w:rsidR="00C00A91">
        <w:t xml:space="preserve"> </w:t>
      </w:r>
      <w:r w:rsidR="004225DB">
        <w:t xml:space="preserve">suggested that the requirement for the advice to have been given within 90 days should be extended to within the </w:t>
      </w:r>
      <w:r w:rsidR="007D4492">
        <w:t xml:space="preserve">fiscal </w:t>
      </w:r>
      <w:r w:rsidR="004225DB">
        <w:t>year, and one thought that the indicator should cover advice offered rather than advice given, as sometimes patients may decline the offer.</w:t>
      </w:r>
    </w:p>
    <w:p w14:paraId="2FAA3D0D" w14:textId="4A5EF8BF" w:rsidR="00F30D60" w:rsidRPr="009829E5" w:rsidRDefault="009829E5" w:rsidP="007D4492">
      <w:r w:rsidRPr="009829E5">
        <w:t>Another felt more detail about the content of the discussion would be helpful</w:t>
      </w:r>
      <w:r w:rsidR="00F30D60" w:rsidRPr="009829E5">
        <w:t>:</w:t>
      </w:r>
    </w:p>
    <w:p w14:paraId="30F4DC16" w14:textId="03B4146B" w:rsidR="00F30D60" w:rsidRDefault="00F30D60" w:rsidP="005B36A6">
      <w:pPr>
        <w:spacing w:line="312" w:lineRule="auto"/>
        <w:rPr>
          <w:i/>
          <w:iCs/>
        </w:rPr>
      </w:pPr>
      <w:r w:rsidRPr="009829E5">
        <w:rPr>
          <w:i/>
          <w:iCs/>
        </w:rPr>
        <w:t xml:space="preserve">“Be more specific about what should be discussed with this cohort of patients as there is no external help in our area for these patients </w:t>
      </w:r>
      <w:r w:rsidR="00F023A7" w:rsidRPr="009829E5">
        <w:rPr>
          <w:i/>
          <w:iCs/>
        </w:rPr>
        <w:t>i.e.</w:t>
      </w:r>
      <w:r w:rsidRPr="009829E5">
        <w:rPr>
          <w:i/>
          <w:iCs/>
        </w:rPr>
        <w:t xml:space="preserve"> it's about the GP talking about diet and exercise and sign posting to apps like couch to 5K.” [GP, survey]</w:t>
      </w:r>
    </w:p>
    <w:p w14:paraId="68E776D1" w14:textId="59D596F7" w:rsidR="00490560" w:rsidRDefault="00490560" w:rsidP="007D4492">
      <w:r>
        <w:lastRenderedPageBreak/>
        <w:t xml:space="preserve">When asked about guidance, over half of </w:t>
      </w:r>
      <w:r w:rsidRPr="00D35F5D">
        <w:t>survey respondents (</w:t>
      </w:r>
      <w:r>
        <w:t>57.7</w:t>
      </w:r>
      <w:r w:rsidRPr="00D35F5D">
        <w:t xml:space="preserve">%, </w:t>
      </w:r>
      <w:r>
        <w:t>30/52</w:t>
      </w:r>
      <w:r w:rsidRPr="00D35F5D">
        <w:t xml:space="preserve">) did not think the </w:t>
      </w:r>
      <w:r>
        <w:t>guidance</w:t>
      </w:r>
      <w:r w:rsidRPr="00D35F5D">
        <w:t xml:space="preserve"> needed to be changed for this indicator, with a further </w:t>
      </w:r>
      <w:r>
        <w:t>16</w:t>
      </w:r>
      <w:r w:rsidRPr="00D35F5D">
        <w:t xml:space="preserve"> (</w:t>
      </w:r>
      <w:r>
        <w:t>30.8</w:t>
      </w:r>
      <w:r w:rsidRPr="00D35F5D">
        <w:t xml:space="preserve">%) being ‘unsure’. Of the </w:t>
      </w:r>
      <w:r>
        <w:t>6</w:t>
      </w:r>
      <w:r w:rsidRPr="00D35F5D">
        <w:t xml:space="preserve"> respondents (</w:t>
      </w:r>
      <w:r>
        <w:t>11.5</w:t>
      </w:r>
      <w:r w:rsidRPr="00D35F5D">
        <w:t xml:space="preserve">%) who thought the </w:t>
      </w:r>
      <w:r>
        <w:t>guidance</w:t>
      </w:r>
      <w:r w:rsidRPr="00D35F5D">
        <w:t xml:space="preserve"> should be changed</w:t>
      </w:r>
      <w:r>
        <w:t>, one suggested the BMI parameters were too low and would include the majority of the practice population.</w:t>
      </w:r>
      <w:r w:rsidR="00AF2972">
        <w:t xml:space="preserve"> Two suggested the indicator was too complicated and needed simplifying.</w:t>
      </w:r>
    </w:p>
    <w:p w14:paraId="2D16358E" w14:textId="05B7B4E5" w:rsidR="00E32EAC" w:rsidRDefault="00E32EAC" w:rsidP="00E32EAC">
      <w:r w:rsidRPr="007D4492">
        <w:t>Indicator wording</w:t>
      </w:r>
      <w:r>
        <w:t xml:space="preserve"> and guidance</w:t>
      </w:r>
      <w:r w:rsidRPr="007D4492">
        <w:t xml:space="preserve"> </w:t>
      </w:r>
      <w:r w:rsidR="00AF0CD9">
        <w:t xml:space="preserve">for this indicator </w:t>
      </w:r>
      <w:r w:rsidRPr="007D4492">
        <w:t>was not specifically raised as an issue during interviews.</w:t>
      </w:r>
    </w:p>
    <w:p w14:paraId="21D6150F" w14:textId="77777777" w:rsidR="0042662D" w:rsidRPr="00331EF1" w:rsidRDefault="0042662D" w:rsidP="0042662D">
      <w:pPr>
        <w:pStyle w:val="Heading4"/>
        <w:rPr>
          <w:i/>
          <w:iCs w:val="0"/>
        </w:rPr>
      </w:pPr>
      <w:r w:rsidRPr="00331EF1">
        <w:rPr>
          <w:i/>
          <w:iCs w:val="0"/>
        </w:rPr>
        <w:t xml:space="preserve">Indicator </w:t>
      </w:r>
      <w:r>
        <w:rPr>
          <w:i/>
          <w:iCs w:val="0"/>
        </w:rPr>
        <w:t>2</w:t>
      </w:r>
      <w:r w:rsidRPr="00331EF1">
        <w:rPr>
          <w:i/>
          <w:iCs w:val="0"/>
        </w:rPr>
        <w:t xml:space="preserve">: </w:t>
      </w:r>
      <w:r w:rsidRPr="0043674C">
        <w:rPr>
          <w:i/>
          <w:iCs w:val="0"/>
        </w:rPr>
        <w:t>Referral for bariatric surgery</w:t>
      </w:r>
    </w:p>
    <w:p w14:paraId="3C3A2AF7" w14:textId="531646D4" w:rsidR="00F30D60" w:rsidRPr="009829E5" w:rsidRDefault="0042662D" w:rsidP="00F30D60">
      <w:r>
        <w:t>Almost two thirds of</w:t>
      </w:r>
      <w:r w:rsidRPr="00D35F5D">
        <w:t xml:space="preserve"> survey respondents (</w:t>
      </w:r>
      <w:r>
        <w:t>65.4</w:t>
      </w:r>
      <w:r w:rsidRPr="00D35F5D">
        <w:t xml:space="preserve">%, </w:t>
      </w:r>
      <w:r>
        <w:t>34/52</w:t>
      </w:r>
      <w:r w:rsidRPr="00D35F5D">
        <w:t xml:space="preserve">) did not think the wording needed to be changed for this indicator, with a further </w:t>
      </w:r>
      <w:r>
        <w:t xml:space="preserve">10 </w:t>
      </w:r>
      <w:r w:rsidRPr="00D35F5D">
        <w:t>(</w:t>
      </w:r>
      <w:r>
        <w:t>19.2</w:t>
      </w:r>
      <w:r w:rsidRPr="00D35F5D">
        <w:t xml:space="preserve">%) being ‘unsure’. Of the </w:t>
      </w:r>
      <w:r>
        <w:t>8</w:t>
      </w:r>
      <w:r w:rsidRPr="00D35F5D">
        <w:t xml:space="preserve"> respondents (</w:t>
      </w:r>
      <w:r>
        <w:t>15.4</w:t>
      </w:r>
      <w:r w:rsidRPr="00D35F5D">
        <w:t xml:space="preserve">%) who thought the wording should be changed, </w:t>
      </w:r>
      <w:r w:rsidR="0035315B">
        <w:t xml:space="preserve">one said that the timeframe between BMI taken and offer of referral was unclear, </w:t>
      </w:r>
      <w:r w:rsidR="00F56149">
        <w:t xml:space="preserve">and another respondent </w:t>
      </w:r>
      <w:r w:rsidR="0035315B">
        <w:t xml:space="preserve">suggested that instead of referral for surgery assessment, the offer should be for referral of a </w:t>
      </w:r>
      <w:r w:rsidR="0035315B" w:rsidRPr="0035315B">
        <w:t>comprehensive weight management assessment</w:t>
      </w:r>
      <w:r w:rsidR="0035315B">
        <w:t xml:space="preserve">. </w:t>
      </w:r>
      <w:r w:rsidR="009829E5" w:rsidRPr="009829E5">
        <w:t xml:space="preserve">One survey respondent required better </w:t>
      </w:r>
      <w:r w:rsidR="009829E5">
        <w:t>wording</w:t>
      </w:r>
      <w:r w:rsidR="009829E5" w:rsidRPr="009829E5">
        <w:t xml:space="preserve"> </w:t>
      </w:r>
      <w:r w:rsidR="009829E5">
        <w:t>for</w:t>
      </w:r>
      <w:r w:rsidR="009829E5" w:rsidRPr="009829E5">
        <w:t xml:space="preserve"> the proposed exclusion:</w:t>
      </w:r>
    </w:p>
    <w:p w14:paraId="1E8F07E5" w14:textId="77777777" w:rsidR="00F30D60" w:rsidRDefault="00F30D60" w:rsidP="006270C3">
      <w:pPr>
        <w:spacing w:line="312" w:lineRule="auto"/>
        <w:rPr>
          <w:i/>
          <w:iCs/>
        </w:rPr>
      </w:pPr>
      <w:r w:rsidRPr="009829E5">
        <w:rPr>
          <w:i/>
          <w:iCs/>
        </w:rPr>
        <w:t>“Describe in the indicator how to exclude those who have been weighed in the last year but have also just been discharged from the weight management service and are not allowed to be re-referred till another year has passed.” [GP, survey]</w:t>
      </w:r>
    </w:p>
    <w:p w14:paraId="7CC3E785" w14:textId="0295DB2C" w:rsidR="009829E5" w:rsidRDefault="009829E5" w:rsidP="00F56149">
      <w:r>
        <w:t>Other comments on wording were related to other issues (for example, lack of availability of services) covered elsewhere in this report.</w:t>
      </w:r>
    </w:p>
    <w:p w14:paraId="698DED38" w14:textId="12C4A712" w:rsidR="00490560" w:rsidRDefault="00490560" w:rsidP="00490560">
      <w:r>
        <w:t>When asked about guidance, 61.5</w:t>
      </w:r>
      <w:r w:rsidRPr="00D35F5D">
        <w:t>%</w:t>
      </w:r>
      <w:r>
        <w:t xml:space="preserve"> of survey respondents</w:t>
      </w:r>
      <w:r w:rsidRPr="00D35F5D">
        <w:t xml:space="preserve"> </w:t>
      </w:r>
      <w:r>
        <w:t>(32/52</w:t>
      </w:r>
      <w:r w:rsidRPr="00D35F5D">
        <w:t xml:space="preserve">) did not think the </w:t>
      </w:r>
      <w:r>
        <w:t>guidance</w:t>
      </w:r>
      <w:r w:rsidRPr="00D35F5D">
        <w:t xml:space="preserve"> needed to be changed for this indicator, with a further </w:t>
      </w:r>
      <w:r>
        <w:t>16</w:t>
      </w:r>
      <w:r w:rsidRPr="00D35F5D">
        <w:t xml:space="preserve"> </w:t>
      </w:r>
      <w:r w:rsidR="00CB1920">
        <w:t xml:space="preserve">respondents </w:t>
      </w:r>
      <w:r w:rsidRPr="00D35F5D">
        <w:t>(</w:t>
      </w:r>
      <w:r>
        <w:t>30.8</w:t>
      </w:r>
      <w:r w:rsidRPr="00D35F5D">
        <w:t xml:space="preserve">%) being ‘unsure’. Of the </w:t>
      </w:r>
      <w:r>
        <w:t>4</w:t>
      </w:r>
      <w:r w:rsidRPr="00D35F5D">
        <w:t xml:space="preserve"> respondents (</w:t>
      </w:r>
      <w:r>
        <w:t>7.7</w:t>
      </w:r>
      <w:r w:rsidRPr="00D35F5D">
        <w:t xml:space="preserve">%) who </w:t>
      </w:r>
      <w:r w:rsidRPr="00EC7FBB">
        <w:t xml:space="preserve">thought the guidance should be changed, </w:t>
      </w:r>
      <w:r w:rsidR="00AF2972" w:rsidRPr="00EC7FBB">
        <w:t>two made comments about lack of available services (see</w:t>
      </w:r>
      <w:r w:rsidR="00E70AF6">
        <w:t xml:space="preserve"> report</w:t>
      </w:r>
      <w:r w:rsidR="00AF2972" w:rsidRPr="00EC7FBB">
        <w:t xml:space="preserve"> section 6.3.2 for </w:t>
      </w:r>
      <w:r w:rsidR="00AF2972">
        <w:t>detail) and two suggested the indicator was too complicated and needed simplifying.</w:t>
      </w:r>
    </w:p>
    <w:p w14:paraId="61849F73" w14:textId="16D29DF5" w:rsidR="00E32EAC" w:rsidRPr="00B07482" w:rsidRDefault="00E32EAC" w:rsidP="00E32EAC">
      <w:r w:rsidRPr="00B07482">
        <w:t xml:space="preserve">One </w:t>
      </w:r>
      <w:r w:rsidRPr="00EC7FBB">
        <w:t xml:space="preserve">practice mentioned when interviewed that the referral could be to a bariatric service (rather than specifically a surgical service) as there may be non-surgical options which can be offered. </w:t>
      </w:r>
    </w:p>
    <w:p w14:paraId="74F32A5E" w14:textId="77777777" w:rsidR="0042662D" w:rsidRPr="00331EF1" w:rsidRDefault="0042662D" w:rsidP="0042662D">
      <w:pPr>
        <w:pStyle w:val="Heading4"/>
        <w:rPr>
          <w:i/>
          <w:iCs w:val="0"/>
        </w:rPr>
      </w:pPr>
      <w:r w:rsidRPr="00331EF1">
        <w:rPr>
          <w:i/>
          <w:iCs w:val="0"/>
        </w:rPr>
        <w:lastRenderedPageBreak/>
        <w:t>Indicator</w:t>
      </w:r>
      <w:r>
        <w:rPr>
          <w:i/>
          <w:iCs w:val="0"/>
        </w:rPr>
        <w:t>s 3 and 4</w:t>
      </w:r>
      <w:r w:rsidRPr="00331EF1">
        <w:rPr>
          <w:i/>
          <w:iCs w:val="0"/>
        </w:rPr>
        <w:t xml:space="preserve">: </w:t>
      </w:r>
      <w:r w:rsidRPr="00C4481B">
        <w:rPr>
          <w:i/>
          <w:iCs w:val="0"/>
        </w:rPr>
        <w:t>Nutritional status monitoring in primary care after bariatric surgery</w:t>
      </w:r>
    </w:p>
    <w:p w14:paraId="7F8781A4" w14:textId="2254FD35" w:rsidR="0035315B" w:rsidRDefault="0035315B" w:rsidP="0035315B">
      <w:r>
        <w:t>Around two thirds of</w:t>
      </w:r>
      <w:r w:rsidRPr="00D35F5D">
        <w:t xml:space="preserve"> survey respondents did not think the wording needed to be changed for th</w:t>
      </w:r>
      <w:r>
        <w:t>ese</w:t>
      </w:r>
      <w:r w:rsidRPr="00D35F5D">
        <w:t xml:space="preserve"> indicator</w:t>
      </w:r>
      <w:r>
        <w:t>s (67.3</w:t>
      </w:r>
      <w:r w:rsidRPr="00D35F5D">
        <w:t xml:space="preserve">%, </w:t>
      </w:r>
      <w:r>
        <w:t>35/52 for indicator 3 and 65.4</w:t>
      </w:r>
      <w:r w:rsidRPr="00D35F5D">
        <w:t xml:space="preserve">%, </w:t>
      </w:r>
      <w:r>
        <w:t xml:space="preserve">34/52 for indicator 4). 10 respondents were unsure about indicator 3, and 11 about indicator 4, and </w:t>
      </w:r>
      <w:r w:rsidR="00DD1FDF">
        <w:t>the same 7 respondents (13.5</w:t>
      </w:r>
      <w:r w:rsidR="00DD1FDF" w:rsidRPr="00D35F5D">
        <w:t>%</w:t>
      </w:r>
      <w:r w:rsidR="00DD1FDF">
        <w:t>) said ‘Yes’ to both indicators 3 and 4 requiring a wording change. One respondent suggested the indicator wording should specify the blood tests required, and other comments again related to other issues described elsewhere in this report.</w:t>
      </w:r>
    </w:p>
    <w:p w14:paraId="5D4CBFA0" w14:textId="257C3EEE" w:rsidR="00AF2972" w:rsidRDefault="00AF2972" w:rsidP="00AF2972">
      <w:r>
        <w:t>When asked about guidance, over two thirds of respondents</w:t>
      </w:r>
      <w:r w:rsidRPr="00D35F5D">
        <w:t xml:space="preserve"> </w:t>
      </w:r>
      <w:r>
        <w:t>(67.3%, 35/52</w:t>
      </w:r>
      <w:r w:rsidRPr="00D35F5D">
        <w:t xml:space="preserve">) did not think the </w:t>
      </w:r>
      <w:r>
        <w:t>guidance</w:t>
      </w:r>
      <w:r w:rsidRPr="00D35F5D">
        <w:t xml:space="preserve"> needed to be changed for th</w:t>
      </w:r>
      <w:r>
        <w:t>ese</w:t>
      </w:r>
      <w:r w:rsidRPr="00D35F5D">
        <w:t xml:space="preserve"> indicator</w:t>
      </w:r>
      <w:r>
        <w:t>s</w:t>
      </w:r>
      <w:r w:rsidRPr="00D35F5D">
        <w:t xml:space="preserve">, with a further </w:t>
      </w:r>
      <w:r>
        <w:t>14</w:t>
      </w:r>
      <w:r w:rsidRPr="00D35F5D">
        <w:t xml:space="preserve"> (</w:t>
      </w:r>
      <w:r>
        <w:t>26.9</w:t>
      </w:r>
      <w:r w:rsidRPr="00D35F5D">
        <w:t xml:space="preserve">%) being ‘unsure’. Of the </w:t>
      </w:r>
      <w:r>
        <w:t>3</w:t>
      </w:r>
      <w:r w:rsidRPr="00D35F5D">
        <w:t xml:space="preserve"> respondents (</w:t>
      </w:r>
      <w:r>
        <w:t>5.8</w:t>
      </w:r>
      <w:r w:rsidRPr="00D35F5D">
        <w:t xml:space="preserve">%) who thought the </w:t>
      </w:r>
      <w:r>
        <w:t>guidance</w:t>
      </w:r>
      <w:r w:rsidRPr="00D35F5D">
        <w:t xml:space="preserve"> should be changed</w:t>
      </w:r>
      <w:r>
        <w:t>, two suggested the indicators were too complicated and needed simplifying.</w:t>
      </w:r>
    </w:p>
    <w:p w14:paraId="11EFD00E" w14:textId="5B8C086F" w:rsidR="00E32EAC" w:rsidRDefault="00E32EAC" w:rsidP="00E32EAC">
      <w:r w:rsidRPr="007D4492">
        <w:t>Indicator wording</w:t>
      </w:r>
      <w:r>
        <w:t xml:space="preserve"> and guidance</w:t>
      </w:r>
      <w:r w:rsidRPr="007D4492">
        <w:t xml:space="preserve"> </w:t>
      </w:r>
      <w:r>
        <w:t xml:space="preserve">for these indicators </w:t>
      </w:r>
      <w:r w:rsidRPr="007D4492">
        <w:t>was not specifically raised as an issue during interviews.</w:t>
      </w:r>
    </w:p>
    <w:p w14:paraId="10D9974B" w14:textId="77777777" w:rsidR="00361D93" w:rsidRDefault="00361D93" w:rsidP="00D35F5D">
      <w:pPr>
        <w:pStyle w:val="Heading2"/>
      </w:pPr>
      <w:bookmarkStart w:id="20" w:name="_Toc198538517"/>
      <w:r w:rsidRPr="00D35F5D">
        <w:t>Indicator exclusions</w:t>
      </w:r>
      <w:bookmarkEnd w:id="20"/>
    </w:p>
    <w:p w14:paraId="13636357" w14:textId="77777777" w:rsidR="004D35FF" w:rsidRDefault="004D35FF" w:rsidP="004D35FF">
      <w:pPr>
        <w:pStyle w:val="Heading4"/>
        <w:rPr>
          <w:i/>
          <w:iCs w:val="0"/>
        </w:rPr>
      </w:pPr>
      <w:r w:rsidRPr="00331EF1">
        <w:rPr>
          <w:i/>
          <w:iCs w:val="0"/>
        </w:rPr>
        <w:t xml:space="preserve">Indicator 1: </w:t>
      </w:r>
      <w:r w:rsidRPr="0043674C">
        <w:rPr>
          <w:i/>
          <w:iCs w:val="0"/>
        </w:rPr>
        <w:t xml:space="preserve">Weight management advice </w:t>
      </w:r>
      <w:r w:rsidRPr="00331EF1">
        <w:rPr>
          <w:i/>
          <w:iCs w:val="0"/>
        </w:rPr>
        <w:t>– specific issues identified in interviews and survey</w:t>
      </w:r>
    </w:p>
    <w:p w14:paraId="7BC02DE8" w14:textId="5E2DA842" w:rsidR="00B659BC" w:rsidRDefault="00B659BC" w:rsidP="00B659BC">
      <w:r>
        <w:t xml:space="preserve">It was </w:t>
      </w:r>
      <w:r w:rsidR="00AF0CD9">
        <w:t>proposed</w:t>
      </w:r>
      <w:r>
        <w:t xml:space="preserve"> to most interviewees that pregnant women should be excluded from this indicator, and there was general agreement. One interviewee suggested this should be extended to six months post-partum:</w:t>
      </w:r>
    </w:p>
    <w:p w14:paraId="4A32EB66" w14:textId="3F2F615B" w:rsidR="00B659BC" w:rsidRDefault="00B659BC" w:rsidP="009C5275">
      <w:pPr>
        <w:spacing w:line="312" w:lineRule="auto"/>
        <w:rPr>
          <w:i/>
          <w:iCs/>
        </w:rPr>
      </w:pPr>
      <w:r w:rsidRPr="00B659BC">
        <w:rPr>
          <w:i/>
          <w:iCs/>
        </w:rPr>
        <w:t>“There’s a lot of sensitivity around some women’s weight, if they’ve gained a lot during pregnancy, it can potentially be addressed in the post-natal check, but I don’t think I’d want to automatically be weighing a woman and then saying, “Well you do realise you’re overweight. Do you want some help with weight loss?” Because half of them might be breastfeeding, half of them are aware of it and will be trying to address it anyway.</w:t>
      </w:r>
      <w:r>
        <w:rPr>
          <w:i/>
          <w:iCs/>
        </w:rPr>
        <w:t xml:space="preserve"> [GP, interview]</w:t>
      </w:r>
    </w:p>
    <w:p w14:paraId="41FF4982" w14:textId="6B651919" w:rsidR="003A1CE6" w:rsidRDefault="00B04A6E" w:rsidP="009C5275">
      <w:r>
        <w:t>Three</w:t>
      </w:r>
      <w:r w:rsidR="000262FC">
        <w:t xml:space="preserve"> GP</w:t>
      </w:r>
      <w:r w:rsidR="003A1CE6">
        <w:t>s</w:t>
      </w:r>
      <w:r w:rsidR="000262FC">
        <w:t xml:space="preserve"> </w:t>
      </w:r>
      <w:r w:rsidR="003A1CE6">
        <w:t xml:space="preserve">(one via </w:t>
      </w:r>
      <w:r w:rsidR="000262FC">
        <w:t>interview</w:t>
      </w:r>
      <w:r w:rsidR="003A1CE6">
        <w:t xml:space="preserve"> and </w:t>
      </w:r>
      <w:r>
        <w:t>two</w:t>
      </w:r>
      <w:r w:rsidR="003A1CE6">
        <w:t xml:space="preserve"> via the survey)</w:t>
      </w:r>
      <w:r w:rsidR="000262FC">
        <w:t xml:space="preserve"> suggested</w:t>
      </w:r>
      <w:r w:rsidR="00B659BC">
        <w:t xml:space="preserve"> those with eating disorders</w:t>
      </w:r>
      <w:r w:rsidR="000262FC">
        <w:t xml:space="preserve"> should be excluded</w:t>
      </w:r>
      <w:r>
        <w:t>.</w:t>
      </w:r>
    </w:p>
    <w:p w14:paraId="40EB6C12" w14:textId="1A12A9C1" w:rsidR="00B659BC" w:rsidRDefault="003A1CE6" w:rsidP="009C5275">
      <w:r>
        <w:t>Another suggestion was that it would be practical to exclude</w:t>
      </w:r>
      <w:r w:rsidR="00EC54E6">
        <w:t xml:space="preserve"> h</w:t>
      </w:r>
      <w:r w:rsidR="00B659BC">
        <w:t>ousebound</w:t>
      </w:r>
      <w:r w:rsidR="00EC54E6">
        <w:t xml:space="preserve"> </w:t>
      </w:r>
      <w:r>
        <w:t xml:space="preserve">patients, </w:t>
      </w:r>
      <w:r w:rsidR="00EC54E6">
        <w:t>as they would be unlikely to be able to access the services on offer.</w:t>
      </w:r>
    </w:p>
    <w:p w14:paraId="2DC7F0B7" w14:textId="1228469F" w:rsidR="00B659BC" w:rsidRDefault="00EC54E6" w:rsidP="009C5275">
      <w:r>
        <w:lastRenderedPageBreak/>
        <w:t>Another GP suggested those who are t</w:t>
      </w:r>
      <w:r w:rsidR="00B659BC">
        <w:t>erminal</w:t>
      </w:r>
      <w:r>
        <w:t>ly</w:t>
      </w:r>
      <w:r w:rsidR="00B659BC">
        <w:t xml:space="preserve"> ill</w:t>
      </w:r>
      <w:r>
        <w:t xml:space="preserve">, those with severe COPD and those with heart failure should be excluded as they could not easily address weight </w:t>
      </w:r>
      <w:r w:rsidR="004052DF">
        <w:t>issues</w:t>
      </w:r>
      <w:r>
        <w:t xml:space="preserve">. </w:t>
      </w:r>
    </w:p>
    <w:p w14:paraId="0C552CAD" w14:textId="38FACD88" w:rsidR="00EC54E6" w:rsidRPr="00B659BC" w:rsidRDefault="004052DF" w:rsidP="009C5275">
      <w:r>
        <w:t xml:space="preserve">One practice manager suggested there may be certain medications which affect weight. The suggestion was not necessarily to exclude patients on these medications, but caution that a </w:t>
      </w:r>
      <w:r w:rsidR="009C5275">
        <w:t>conversation</w:t>
      </w:r>
      <w:r>
        <w:t xml:space="preserve"> about </w:t>
      </w:r>
      <w:r w:rsidR="009C5275">
        <w:t>weight</w:t>
      </w:r>
      <w:r>
        <w:t xml:space="preserve"> may need to be considered holistically.</w:t>
      </w:r>
    </w:p>
    <w:p w14:paraId="5EF9B352" w14:textId="1C4E22F0" w:rsidR="00EC54E6" w:rsidRDefault="00830F54" w:rsidP="009C5275">
      <w:r>
        <w:t xml:space="preserve">Interviewee views were mixed on the </w:t>
      </w:r>
      <w:r w:rsidR="00E06F46">
        <w:t>exclusion</w:t>
      </w:r>
      <w:r>
        <w:t xml:space="preserve"> of patients with learning disabilities</w:t>
      </w:r>
      <w:r w:rsidR="00B47CD2">
        <w:t xml:space="preserve">, with </w:t>
      </w:r>
      <w:r w:rsidR="00B47CD2" w:rsidRPr="00E70AF6">
        <w:t>more detail in</w:t>
      </w:r>
      <w:r w:rsidR="00E70AF6">
        <w:t xml:space="preserve"> report</w:t>
      </w:r>
      <w:r w:rsidR="00B47CD2" w:rsidRPr="00E70AF6">
        <w:t xml:space="preserve"> section 6.4.</w:t>
      </w:r>
    </w:p>
    <w:p w14:paraId="3C43D38B" w14:textId="77777777" w:rsidR="004D35FF" w:rsidRPr="00331EF1" w:rsidRDefault="004D35FF" w:rsidP="004D35FF">
      <w:pPr>
        <w:pStyle w:val="Heading4"/>
        <w:rPr>
          <w:i/>
          <w:iCs w:val="0"/>
        </w:rPr>
      </w:pPr>
      <w:r w:rsidRPr="000700B1">
        <w:rPr>
          <w:i/>
          <w:iCs w:val="0"/>
        </w:rPr>
        <w:t>Indicator 2: Referral for bariatric surgery</w:t>
      </w:r>
    </w:p>
    <w:p w14:paraId="4950B217" w14:textId="08B994EF" w:rsidR="00D647B1" w:rsidRDefault="00D647B1" w:rsidP="004D35FF">
      <w:r>
        <w:t>The proposal to explicitly exclude children and young people under the age of 18 years was explored in both the interviews and the surveys. The majority of survey respondents (80.7</w:t>
      </w:r>
      <w:r w:rsidRPr="00D35F5D">
        <w:t xml:space="preserve">%, </w:t>
      </w:r>
      <w:r>
        <w:t xml:space="preserve">46/52) agreed that it was appropriate to exclude children and young people, with 6 (10.5%) unsure and 5 respondents (8.8%) saying it was not appropriate. Comments from these respondents on this issue suggest that age should not factor into these decisions, and </w:t>
      </w:r>
      <w:r w:rsidR="00D0520B">
        <w:t xml:space="preserve">an emphasis on </w:t>
      </w:r>
      <w:r>
        <w:t>the importance of managing weight in children due to the likelihood of this causing bigger problems later in life.</w:t>
      </w:r>
    </w:p>
    <w:p w14:paraId="6200DA9C" w14:textId="3B4E1890" w:rsidR="001E1700" w:rsidRDefault="009C0187" w:rsidP="004D35FF">
      <w:r>
        <w:t xml:space="preserve">Interviewees generally agreed with the exclusion of children and young people, with </w:t>
      </w:r>
      <w:r w:rsidR="001E1700">
        <w:t>few</w:t>
      </w:r>
      <w:r>
        <w:t xml:space="preserve"> comments on this issue</w:t>
      </w:r>
      <w:r w:rsidR="001E1700">
        <w:t xml:space="preserve">: one GP suggested in agreement that it was important for young people to have completed puberty. </w:t>
      </w:r>
    </w:p>
    <w:p w14:paraId="2576E234" w14:textId="1D277A5E" w:rsidR="009C0187" w:rsidRPr="00112643" w:rsidRDefault="000700B1" w:rsidP="004D35FF">
      <w:r w:rsidRPr="00112643">
        <w:t>Views on the</w:t>
      </w:r>
      <w:r w:rsidR="009C0187" w:rsidRPr="00112643">
        <w:t xml:space="preserve"> exclusion of those referred </w:t>
      </w:r>
      <w:r w:rsidR="00D0520B">
        <w:t xml:space="preserve">more than </w:t>
      </w:r>
      <w:r w:rsidR="009C0187" w:rsidRPr="00112643">
        <w:t>12 months ago</w:t>
      </w:r>
      <w:r w:rsidRPr="00112643">
        <w:t xml:space="preserve"> were divided. Some </w:t>
      </w:r>
      <w:r w:rsidR="00070FB6" w:rsidRPr="00112643">
        <w:t>felt that this was inappropriate due to the nature of the intervention:</w:t>
      </w:r>
    </w:p>
    <w:p w14:paraId="2C0D13FB" w14:textId="53A24825" w:rsidR="00070FB6" w:rsidRPr="00070FB6" w:rsidRDefault="00070FB6" w:rsidP="00070FB6">
      <w:pPr>
        <w:spacing w:line="312" w:lineRule="auto"/>
        <w:rPr>
          <w:i/>
          <w:iCs/>
        </w:rPr>
      </w:pPr>
      <w:r w:rsidRPr="00070FB6">
        <w:rPr>
          <w:i/>
          <w:iCs/>
        </w:rPr>
        <w:t>“I don't necessarily agree […] when it comes to obesity management, a bit like smoking cessation as well, you need to catch people when they're ready. So when they were referred twelve months ago, they might not have been ready. They chickened out. It's a big deal. It's a bigger deal, and then when they come back in six months down the line and they say, "You know what? This time I'm really ready." If you tell them to wait for six months, they'll never come back. So I don't agree with that. If you were talking about the power of opportunistic intervention, this is all about seizing the moment that when people are up to you ready to go.” [GP, interview]</w:t>
      </w:r>
    </w:p>
    <w:p w14:paraId="330DBA04" w14:textId="4AC1E19B" w:rsidR="00070FB6" w:rsidRPr="00070FB6" w:rsidRDefault="00070FB6" w:rsidP="004D35FF">
      <w:r w:rsidRPr="00070FB6">
        <w:lastRenderedPageBreak/>
        <w:t>However, one practice felt this was a very practical exclusion as a result of potential waiting times:</w:t>
      </w:r>
    </w:p>
    <w:p w14:paraId="051AE063" w14:textId="1FD6B203" w:rsidR="00070FB6" w:rsidRDefault="00070FB6" w:rsidP="00070FB6">
      <w:pPr>
        <w:spacing w:line="312" w:lineRule="auto"/>
        <w:rPr>
          <w:i/>
          <w:iCs/>
        </w:rPr>
      </w:pPr>
      <w:r w:rsidRPr="00070FB6">
        <w:rPr>
          <w:i/>
          <w:iCs/>
        </w:rPr>
        <w:t>“Going back to the service provision […] it’s going to take 18 months or so for them to be seen […] I’ve made that referral, I’ve ticked that box so to speak, if that’s not counted… if I’ve got to look at that in another twelve months it may still be that that same referral is still pending to be actioned.” [GP, interview]</w:t>
      </w:r>
    </w:p>
    <w:p w14:paraId="1C3C19FF" w14:textId="7ED744D1" w:rsidR="00B47CD2" w:rsidRPr="00B47CD2" w:rsidRDefault="00B47CD2" w:rsidP="00B47CD2">
      <w:r w:rsidRPr="00B47CD2">
        <w:t>A survey respondent gave a similar comment which supports the proposed exclusion</w:t>
      </w:r>
      <w:r>
        <w:t>, relating to the local criteria for re-referral:</w:t>
      </w:r>
    </w:p>
    <w:p w14:paraId="78DF60DC" w14:textId="2C93D7E7" w:rsidR="00B47CD2" w:rsidRDefault="00B47CD2" w:rsidP="00B47CD2">
      <w:pPr>
        <w:spacing w:line="312" w:lineRule="auto"/>
      </w:pPr>
      <w:r w:rsidRPr="00B47CD2">
        <w:rPr>
          <w:i/>
          <w:iCs/>
        </w:rPr>
        <w:t xml:space="preserve">“If a patient has already been assessed by the weight management service or even just did not attend one appointment they are discharged from the service and not allowed to reapply till one year afterwards, thus the indicator may not be achieved. </w:t>
      </w:r>
      <w:r w:rsidRPr="00070FB6">
        <w:rPr>
          <w:i/>
          <w:iCs/>
        </w:rPr>
        <w:t xml:space="preserve">” [GP, </w:t>
      </w:r>
      <w:r>
        <w:rPr>
          <w:i/>
          <w:iCs/>
        </w:rPr>
        <w:t>survey</w:t>
      </w:r>
      <w:r w:rsidRPr="00070FB6">
        <w:rPr>
          <w:i/>
          <w:iCs/>
        </w:rPr>
        <w:t>]</w:t>
      </w:r>
    </w:p>
    <w:p w14:paraId="7E5E6819" w14:textId="36AF29B2" w:rsidR="000700B1" w:rsidRDefault="00070FB6" w:rsidP="00B47CD2">
      <w:pPr>
        <w:spacing w:line="312" w:lineRule="auto"/>
      </w:pPr>
      <w:r w:rsidRPr="00070FB6">
        <w:t>Another agreed with the exclusion on the basis that services are difficult to access:</w:t>
      </w:r>
    </w:p>
    <w:p w14:paraId="663046B8" w14:textId="30F18C97" w:rsidR="00070FB6" w:rsidRDefault="00070FB6" w:rsidP="00070FB6">
      <w:pPr>
        <w:spacing w:line="312" w:lineRule="auto"/>
        <w:rPr>
          <w:i/>
          <w:iCs/>
        </w:rPr>
      </w:pPr>
      <w:r>
        <w:rPr>
          <w:i/>
          <w:iCs/>
        </w:rPr>
        <w:t>“G</w:t>
      </w:r>
      <w:r w:rsidRPr="00070FB6">
        <w:rPr>
          <w:i/>
          <w:iCs/>
        </w:rPr>
        <w:t>iven the services are quite pushed, I wouldn’t want to keep referring patients back, I think, there’s other patients that then would be more deserving.” [GP, interview]</w:t>
      </w:r>
    </w:p>
    <w:p w14:paraId="0C3B57AD" w14:textId="551C2EF6" w:rsidR="009C0187" w:rsidRDefault="009C0187" w:rsidP="004D35FF">
      <w:r>
        <w:t>Other suggested exclusions included:</w:t>
      </w:r>
    </w:p>
    <w:p w14:paraId="4371E6E7" w14:textId="0EB09B83" w:rsidR="009C0187" w:rsidRDefault="009C0187" w:rsidP="000700B1">
      <w:pPr>
        <w:pStyle w:val="ListParagraph"/>
        <w:numPr>
          <w:ilvl w:val="0"/>
          <w:numId w:val="11"/>
        </w:numPr>
        <w:spacing w:line="312" w:lineRule="auto"/>
        <w:ind w:left="714" w:hanging="357"/>
      </w:pPr>
      <w:r>
        <w:t>Patients who have recently registered</w:t>
      </w:r>
      <w:r w:rsidR="00475BC7">
        <w:t xml:space="preserve"> </w:t>
      </w:r>
    </w:p>
    <w:p w14:paraId="68BC3F3B" w14:textId="014B7047" w:rsidR="000700B1" w:rsidRDefault="000700B1" w:rsidP="000700B1">
      <w:pPr>
        <w:pStyle w:val="ListParagraph"/>
        <w:numPr>
          <w:ilvl w:val="0"/>
          <w:numId w:val="11"/>
        </w:numPr>
        <w:spacing w:line="312" w:lineRule="auto"/>
        <w:ind w:left="714" w:hanging="357"/>
      </w:pPr>
      <w:r>
        <w:t>Patients recently diagnosed with cancer</w:t>
      </w:r>
    </w:p>
    <w:p w14:paraId="688B4BF0" w14:textId="46737DA5" w:rsidR="009C0187" w:rsidRDefault="009C0187" w:rsidP="000700B1">
      <w:pPr>
        <w:pStyle w:val="ListParagraph"/>
        <w:numPr>
          <w:ilvl w:val="0"/>
          <w:numId w:val="11"/>
        </w:numPr>
        <w:spacing w:line="312" w:lineRule="auto"/>
        <w:ind w:left="714" w:hanging="357"/>
      </w:pPr>
      <w:r>
        <w:t>House- or bed-bound patients</w:t>
      </w:r>
    </w:p>
    <w:p w14:paraId="642EA417" w14:textId="064A8652" w:rsidR="009C0187" w:rsidRDefault="009C0187" w:rsidP="000700B1">
      <w:pPr>
        <w:pStyle w:val="ListParagraph"/>
        <w:numPr>
          <w:ilvl w:val="0"/>
          <w:numId w:val="11"/>
        </w:numPr>
        <w:spacing w:line="312" w:lineRule="auto"/>
        <w:ind w:left="714" w:hanging="357"/>
      </w:pPr>
      <w:r>
        <w:t>Patients with SMI</w:t>
      </w:r>
    </w:p>
    <w:p w14:paraId="1A6627A4" w14:textId="74D6DFC8" w:rsidR="009C0187" w:rsidRDefault="009C0187" w:rsidP="000700B1">
      <w:pPr>
        <w:pStyle w:val="ListParagraph"/>
        <w:numPr>
          <w:ilvl w:val="0"/>
          <w:numId w:val="11"/>
        </w:numPr>
        <w:spacing w:line="312" w:lineRule="auto"/>
        <w:ind w:left="714" w:hanging="357"/>
      </w:pPr>
      <w:r>
        <w:t>Patients with eating disorders</w:t>
      </w:r>
    </w:p>
    <w:p w14:paraId="17D89C5E" w14:textId="1488DB7B" w:rsidR="009C0187" w:rsidRDefault="009C0187" w:rsidP="000700B1">
      <w:pPr>
        <w:pStyle w:val="ListParagraph"/>
        <w:numPr>
          <w:ilvl w:val="0"/>
          <w:numId w:val="11"/>
        </w:numPr>
        <w:spacing w:line="312" w:lineRule="auto"/>
        <w:ind w:left="714" w:hanging="357"/>
      </w:pPr>
      <w:r>
        <w:t>Pregnant women</w:t>
      </w:r>
    </w:p>
    <w:p w14:paraId="007AE28A" w14:textId="2709C666" w:rsidR="000700B1" w:rsidRPr="000700B1" w:rsidRDefault="009C0187" w:rsidP="000700B1">
      <w:pPr>
        <w:pStyle w:val="ListParagraph"/>
        <w:numPr>
          <w:ilvl w:val="0"/>
          <w:numId w:val="11"/>
        </w:numPr>
        <w:spacing w:line="312" w:lineRule="auto"/>
        <w:ind w:left="714" w:hanging="357"/>
      </w:pPr>
      <w:r w:rsidRPr="000700B1">
        <w:t xml:space="preserve">Patients with poor </w:t>
      </w:r>
      <w:r w:rsidR="004629DC" w:rsidRPr="004629DC">
        <w:t>anaesthe</w:t>
      </w:r>
      <w:r w:rsidR="004629DC">
        <w:t>sia</w:t>
      </w:r>
      <w:r w:rsidR="004629DC" w:rsidRPr="004629DC">
        <w:t xml:space="preserve"> </w:t>
      </w:r>
      <w:r w:rsidRPr="000700B1">
        <w:t>risk</w:t>
      </w:r>
    </w:p>
    <w:p w14:paraId="60DCC6FD" w14:textId="2B9F4287" w:rsidR="000700B1" w:rsidRDefault="000700B1" w:rsidP="000700B1">
      <w:pPr>
        <w:pStyle w:val="ListParagraph"/>
        <w:numPr>
          <w:ilvl w:val="0"/>
          <w:numId w:val="11"/>
        </w:numPr>
        <w:spacing w:line="312" w:lineRule="auto"/>
        <w:ind w:left="714" w:hanging="357"/>
      </w:pPr>
      <w:r w:rsidRPr="000700B1">
        <w:t xml:space="preserve">Patients with </w:t>
      </w:r>
      <w:r w:rsidR="009C0187" w:rsidRPr="000700B1">
        <w:t xml:space="preserve">unstable heart disease, end-stage lung disease, </w:t>
      </w:r>
      <w:r w:rsidR="00070FB6">
        <w:t xml:space="preserve">or </w:t>
      </w:r>
      <w:r w:rsidR="009C0187" w:rsidRPr="000700B1">
        <w:t>any terminal illness</w:t>
      </w:r>
    </w:p>
    <w:p w14:paraId="25A62055" w14:textId="5E724156" w:rsidR="000700B1" w:rsidRDefault="000700B1" w:rsidP="000700B1">
      <w:pPr>
        <w:pStyle w:val="ListParagraph"/>
        <w:numPr>
          <w:ilvl w:val="0"/>
          <w:numId w:val="11"/>
        </w:numPr>
        <w:spacing w:line="312" w:lineRule="auto"/>
        <w:ind w:left="714" w:hanging="357"/>
      </w:pPr>
      <w:r>
        <w:t xml:space="preserve">Patients with </w:t>
      </w:r>
      <w:r w:rsidR="009C0187" w:rsidRPr="000700B1">
        <w:t xml:space="preserve">alcohol or drug abuse. </w:t>
      </w:r>
    </w:p>
    <w:p w14:paraId="61F5F3A2" w14:textId="20FC8255" w:rsidR="000700B1" w:rsidRDefault="000700B1" w:rsidP="000700B1">
      <w:pPr>
        <w:pStyle w:val="ListParagraph"/>
        <w:numPr>
          <w:ilvl w:val="0"/>
          <w:numId w:val="11"/>
        </w:numPr>
        <w:spacing w:line="312" w:lineRule="auto"/>
        <w:ind w:left="714" w:hanging="357"/>
      </w:pPr>
      <w:r>
        <w:t>Patients on particular medications</w:t>
      </w:r>
    </w:p>
    <w:p w14:paraId="5E220F57" w14:textId="78C6FC5C" w:rsidR="00A63AC8" w:rsidRPr="000700B1" w:rsidRDefault="00A63AC8" w:rsidP="000700B1">
      <w:pPr>
        <w:pStyle w:val="ListParagraph"/>
        <w:numPr>
          <w:ilvl w:val="0"/>
          <w:numId w:val="11"/>
        </w:numPr>
        <w:spacing w:line="312" w:lineRule="auto"/>
        <w:ind w:left="714" w:hanging="357"/>
      </w:pPr>
      <w:r>
        <w:t>Those aged over 65 years</w:t>
      </w:r>
    </w:p>
    <w:p w14:paraId="6057F261" w14:textId="56B1B668" w:rsidR="000700B1" w:rsidRPr="000700B1" w:rsidRDefault="000700B1" w:rsidP="00945691">
      <w:r w:rsidRPr="000700B1">
        <w:t xml:space="preserve">One GP </w:t>
      </w:r>
      <w:r w:rsidR="00945691">
        <w:t>at interview suggested</w:t>
      </w:r>
      <w:r>
        <w:t xml:space="preserve"> there may already be</w:t>
      </w:r>
      <w:r w:rsidR="00945691">
        <w:t xml:space="preserve"> </w:t>
      </w:r>
      <w:r w:rsidR="00945691" w:rsidRPr="00945691">
        <w:t>guidelines of patient referral criteria</w:t>
      </w:r>
      <w:r w:rsidR="00945691">
        <w:t xml:space="preserve"> in existence</w:t>
      </w:r>
      <w:r w:rsidR="00945691" w:rsidRPr="00945691">
        <w:t xml:space="preserve"> </w:t>
      </w:r>
      <w:r>
        <w:t>which could inform the indicator exclusions.</w:t>
      </w:r>
    </w:p>
    <w:p w14:paraId="4490F42D" w14:textId="77777777" w:rsidR="004D35FF" w:rsidRPr="00331EF1" w:rsidRDefault="004D35FF" w:rsidP="004D35FF">
      <w:pPr>
        <w:pStyle w:val="Heading4"/>
        <w:rPr>
          <w:i/>
          <w:iCs w:val="0"/>
        </w:rPr>
      </w:pPr>
      <w:r w:rsidRPr="00CF4EF3">
        <w:rPr>
          <w:i/>
          <w:iCs w:val="0"/>
        </w:rPr>
        <w:lastRenderedPageBreak/>
        <w:t>Indicators 3 and 4: Nutritional status monitoring in primary care after bariatric surgery</w:t>
      </w:r>
    </w:p>
    <w:p w14:paraId="25029236" w14:textId="332C61A8" w:rsidR="00112643" w:rsidRDefault="00112643" w:rsidP="00112643">
      <w:r>
        <w:t>As for indicator 2, the proposal to explicitly exclude children and young people under the age of 18 years was explored in both the interviews and the surveys. Most survey respondents (70.2</w:t>
      </w:r>
      <w:r w:rsidRPr="00D35F5D">
        <w:t xml:space="preserve">%, </w:t>
      </w:r>
      <w:r>
        <w:t xml:space="preserve">40/52 for indicator 3 and 71.9%, 41/52 for indicator 4) agreed that it was appropriate to exclude children and young people, with 7 respondents (12.3%) unsure for both. 10 respondents (17.5%) said that it was not appropriate to exclude children and young people from indicator 3, and 9 respondents (15.8%) said that it was not appropriate to exclude children and young people from indicator 4 (all 9 had also said ‘no’ for indicator 3). Of these 9, </w:t>
      </w:r>
      <w:r w:rsidR="004A05D4">
        <w:t xml:space="preserve">comments were similar to those made for indicator 2 around the importance of caring for children and young people to prevent future complications. </w:t>
      </w:r>
    </w:p>
    <w:p w14:paraId="238DB23C" w14:textId="461D3A04" w:rsidR="00112643" w:rsidRDefault="004A05D4" w:rsidP="00112643">
      <w:r>
        <w:t>As for indicator 2, i</w:t>
      </w:r>
      <w:r w:rsidR="00112643">
        <w:t>nterviewees generally agreed with the exclusion of children and young people</w:t>
      </w:r>
      <w:r>
        <w:t xml:space="preserve"> from the indicators relating to post-surgical follow-up in primary care, with one view that children should be followed up by specialist services for longer than adults. One interviewee said they did not feel qualified to respond as they had no experience of children undergoing bariatric surgery.</w:t>
      </w:r>
    </w:p>
    <w:p w14:paraId="3BFEA854" w14:textId="3534C7B3" w:rsidR="00F971ED" w:rsidRDefault="00112643" w:rsidP="004A05D4">
      <w:r>
        <w:t>Other suggested exclusions included</w:t>
      </w:r>
      <w:r w:rsidR="004A05D4">
        <w:t xml:space="preserve"> patients </w:t>
      </w:r>
      <w:r w:rsidR="00F971ED">
        <w:t xml:space="preserve">receiving palliative care, and those patients </w:t>
      </w:r>
      <w:r w:rsidR="004A05D4">
        <w:t>with current eating disorders</w:t>
      </w:r>
      <w:r w:rsidR="00F971ED">
        <w:t>:</w:t>
      </w:r>
    </w:p>
    <w:p w14:paraId="2E3CF4E1" w14:textId="4DA908D8" w:rsidR="00F971ED" w:rsidRDefault="00F971ED" w:rsidP="0049485F">
      <w:pPr>
        <w:spacing w:line="312" w:lineRule="auto"/>
        <w:rPr>
          <w:i/>
          <w:iCs/>
        </w:rPr>
      </w:pPr>
      <w:r w:rsidRPr="00F971ED">
        <w:rPr>
          <w:i/>
          <w:iCs/>
        </w:rPr>
        <w:t>“Patients who've had this done and have a current eating disorder, because that's going to be quite complex management in terms of the interpretation of those bloods, their behaviour around it, their weight” [GP, interview]</w:t>
      </w:r>
    </w:p>
    <w:p w14:paraId="1ECF0430" w14:textId="77777777" w:rsidR="00F023A7" w:rsidRDefault="00F023A7">
      <w:pPr>
        <w:spacing w:after="160" w:line="259" w:lineRule="auto"/>
        <w:rPr>
          <w:rFonts w:eastAsiaTheme="majorEastAsia" w:cstheme="majorBidi"/>
          <w:b/>
          <w:sz w:val="32"/>
          <w:szCs w:val="32"/>
        </w:rPr>
      </w:pPr>
      <w:r>
        <w:br w:type="page"/>
      </w:r>
    </w:p>
    <w:p w14:paraId="67494598" w14:textId="796E7D6F" w:rsidR="00FC4D8C" w:rsidRPr="00AA0981" w:rsidRDefault="00FC4D8C" w:rsidP="00AA0981">
      <w:pPr>
        <w:pStyle w:val="Heading1"/>
      </w:pPr>
      <w:bookmarkStart w:id="21" w:name="_Toc198538518"/>
      <w:r w:rsidRPr="00AA0981">
        <w:lastRenderedPageBreak/>
        <w:t xml:space="preserve">Practices’ views on </w:t>
      </w:r>
      <w:r w:rsidR="004A7684" w:rsidRPr="00AA0981">
        <w:t xml:space="preserve">implementation issues </w:t>
      </w:r>
      <w:r w:rsidR="00A259AF" w:rsidRPr="00AA0981">
        <w:t>and impact</w:t>
      </w:r>
      <w:bookmarkEnd w:id="21"/>
    </w:p>
    <w:p w14:paraId="5358CDF8" w14:textId="6CB61A86" w:rsidR="00FD2694" w:rsidRPr="00F902C8" w:rsidRDefault="00446FFF" w:rsidP="00F902C8">
      <w:r w:rsidRPr="00BD58B1">
        <w:t>T</w:t>
      </w:r>
      <w:r w:rsidR="00F902C8" w:rsidRPr="00BD58B1">
        <w:t>his section covers practice views on: training requirements; workload, resource</w:t>
      </w:r>
      <w:r w:rsidR="00F902C8" w:rsidRPr="00F902C8">
        <w:t xml:space="preserve"> utilisation (including which healthcare professionals would be involved) and costs (including impact on appointment times); any changes required to practice organisation (e.g. </w:t>
      </w:r>
      <w:r w:rsidR="00FD2694" w:rsidRPr="00E41574">
        <w:t>setting up and use of clinical system protocols, recall systems</w:t>
      </w:r>
      <w:r w:rsidR="0069747A">
        <w:t>,</w:t>
      </w:r>
      <w:r w:rsidR="00FD2694" w:rsidRPr="00E41574">
        <w:t xml:space="preserve"> and templates</w:t>
      </w:r>
      <w:r w:rsidR="00F902C8" w:rsidRPr="00F902C8">
        <w:t>); any barriers to implementation; and any other overall views on implementation of the indicators (including unintended consequences).</w:t>
      </w:r>
    </w:p>
    <w:p w14:paraId="47783E5F" w14:textId="77777777" w:rsidR="000A7674" w:rsidRDefault="000A7674" w:rsidP="00AA0981">
      <w:pPr>
        <w:pStyle w:val="Heading2"/>
      </w:pPr>
      <w:bookmarkStart w:id="22" w:name="_Toc198538519"/>
      <w:r w:rsidRPr="001E245A">
        <w:t>Training requirements</w:t>
      </w:r>
      <w:bookmarkEnd w:id="22"/>
    </w:p>
    <w:p w14:paraId="4CF716FC" w14:textId="66F01571" w:rsidR="00ED65B6" w:rsidRDefault="00EE1199" w:rsidP="00EE1199">
      <w:r>
        <w:t xml:space="preserve">Practices were asked in the survey whether staff would need any additional training to implement the </w:t>
      </w:r>
      <w:r w:rsidR="002578A2">
        <w:t>indicator</w:t>
      </w:r>
      <w:r w:rsidR="004121AF">
        <w:t>s on the weight management topic</w:t>
      </w:r>
      <w:r w:rsidR="00FA1501">
        <w:t>.</w:t>
      </w:r>
      <w:r>
        <w:t xml:space="preserve"> </w:t>
      </w:r>
    </w:p>
    <w:p w14:paraId="20B058F9" w14:textId="6BB8345E" w:rsidR="00E37B51" w:rsidRDefault="004121AF" w:rsidP="00EE1199">
      <w:r>
        <w:t xml:space="preserve">Over 70% of </w:t>
      </w:r>
      <w:r w:rsidR="00EE1199">
        <w:t>survey respondents (</w:t>
      </w:r>
      <w:r>
        <w:t>72.5</w:t>
      </w:r>
      <w:r w:rsidR="00EE1199">
        <w:t xml:space="preserve">%, </w:t>
      </w:r>
      <w:r>
        <w:t>37/51</w:t>
      </w:r>
      <w:r w:rsidR="00EE1199">
        <w:t>)</w:t>
      </w:r>
      <w:r w:rsidR="008675B0">
        <w:t xml:space="preserve"> </w:t>
      </w:r>
      <w:r w:rsidR="00EE1199">
        <w:t xml:space="preserve">thought </w:t>
      </w:r>
      <w:r w:rsidR="00412C47">
        <w:t>clinical</w:t>
      </w:r>
      <w:r w:rsidR="00EE1199">
        <w:t xml:space="preserve"> staff would require additional training</w:t>
      </w:r>
      <w:r w:rsidR="00CF4EF3">
        <w:t xml:space="preserve">, and 56.9% (29/51) thought administrative staff would require additional training. </w:t>
      </w:r>
      <w:r w:rsidR="00F258E3">
        <w:t>Detail as to what this might include was limited, although o</w:t>
      </w:r>
      <w:r w:rsidR="0048218E">
        <w:t>ne survey respon</w:t>
      </w:r>
      <w:r w:rsidR="00CB1920">
        <w:t>dent</w:t>
      </w:r>
      <w:r w:rsidR="0048218E">
        <w:t xml:space="preserve"> mentioned that there was ‘no skill’ to support the weight management indicators, and another mentioned a lack of guidance on management.</w:t>
      </w:r>
    </w:p>
    <w:p w14:paraId="7D668C9B" w14:textId="77CFA6B9" w:rsidR="0048218E" w:rsidRPr="00EF3B97" w:rsidRDefault="00B47CD2" w:rsidP="00EE1199">
      <w:r w:rsidRPr="00EF3B97">
        <w:t>Relating to indicator 1, one interviewee stated that all their staff were trained in providing brief intervention, with a small number of other practices suggesting the proposed indicator fits well with their current practice.</w:t>
      </w:r>
    </w:p>
    <w:p w14:paraId="128F9F09" w14:textId="6CD3B755" w:rsidR="00B47CD2" w:rsidRDefault="00B47CD2" w:rsidP="00EE1199">
      <w:r w:rsidRPr="00EF3B97">
        <w:t>For indicators 3 and 4, relating to post-surgical monitoring, interviewees from eight practices suggested th</w:t>
      </w:r>
      <w:r w:rsidR="00EF3B97" w:rsidRPr="00EF3B97">
        <w:t>at GPs or other clinical practice staff</w:t>
      </w:r>
      <w:r w:rsidRPr="00EF3B97">
        <w:t xml:space="preserve"> would need further guidance, support or training to provide a comprehensive follow up for these patients in primary care</w:t>
      </w:r>
      <w:r w:rsidR="00EF3B97" w:rsidRPr="00EF3B97">
        <w:t>; there were also comments that these would be better to be carried out by other professionals entirely, for example, continuing within the surgical service, or by dietitians who could be employed by the PCN. Two survey respondents indicated that further training would be required for these indicators.</w:t>
      </w:r>
    </w:p>
    <w:p w14:paraId="09A26180" w14:textId="445656D5" w:rsidR="00EA6625" w:rsidRPr="00EA6625" w:rsidRDefault="00EA6625" w:rsidP="00EA6625">
      <w:pPr>
        <w:spacing w:after="0" w:line="312" w:lineRule="auto"/>
        <w:rPr>
          <w:i/>
          <w:iCs/>
        </w:rPr>
      </w:pPr>
      <w:r w:rsidRPr="00EA6625">
        <w:rPr>
          <w:i/>
          <w:iCs/>
        </w:rPr>
        <w:t>“We would do follow up bloods and (take their weight and discuss side effects) but I'm not also sure that we would have the necessary knowledge from our clinicians, to actually know about all the follow up tests that you have to do, so that would need training within our surgery […] this is another thing for general practice to do, and actually shouldn't that be part of the aftercare in bariatric surgery rather than passed down into primary care?” [GP, interview]</w:t>
      </w:r>
    </w:p>
    <w:p w14:paraId="0FD93AC0" w14:textId="27155380" w:rsidR="00BB43D3" w:rsidRPr="00B95AD0" w:rsidRDefault="00FC4D8C" w:rsidP="00AA0981">
      <w:pPr>
        <w:pStyle w:val="Heading2"/>
      </w:pPr>
      <w:bookmarkStart w:id="23" w:name="_Toc198538520"/>
      <w:r w:rsidRPr="00B95AD0">
        <w:lastRenderedPageBreak/>
        <w:t>Workload, r</w:t>
      </w:r>
      <w:r w:rsidR="00BB43D3" w:rsidRPr="00B95AD0">
        <w:t>esource utilisation and costs</w:t>
      </w:r>
      <w:bookmarkEnd w:id="23"/>
    </w:p>
    <w:p w14:paraId="460F1FFD" w14:textId="5D1F4FB5" w:rsidR="00E016E0" w:rsidRDefault="00076E90" w:rsidP="00AA0981">
      <w:pPr>
        <w:pStyle w:val="Heading3"/>
      </w:pPr>
      <w:r>
        <w:t>Clinical and administrative workload</w:t>
      </w:r>
    </w:p>
    <w:p w14:paraId="069A83ED" w14:textId="0C4EA65D" w:rsidR="0088676E" w:rsidRDefault="00990A91" w:rsidP="00FB118B">
      <w:r w:rsidRPr="00665CBC">
        <w:t xml:space="preserve">For all 4 indicators, </w:t>
      </w:r>
      <w:r w:rsidR="00665CBC" w:rsidRPr="00665CBC">
        <w:t>most</w:t>
      </w:r>
      <w:r w:rsidRPr="00665CBC">
        <w:t xml:space="preserve"> </w:t>
      </w:r>
      <w:r w:rsidR="0088676E" w:rsidRPr="00665CBC">
        <w:t xml:space="preserve">survey respondents felt that the indicator would generate </w:t>
      </w:r>
      <w:r w:rsidR="00842538">
        <w:t>both additional</w:t>
      </w:r>
      <w:r w:rsidR="00842538" w:rsidRPr="00665CBC">
        <w:t xml:space="preserve"> </w:t>
      </w:r>
      <w:r w:rsidR="0088676E" w:rsidRPr="00665CBC">
        <w:t>clinical workload</w:t>
      </w:r>
      <w:r w:rsidR="00842538">
        <w:t xml:space="preserve"> and</w:t>
      </w:r>
      <w:r w:rsidRPr="00665CBC">
        <w:t xml:space="preserve"> administrative workload</w:t>
      </w:r>
      <w:r w:rsidR="00665CBC">
        <w:t xml:space="preserve"> </w:t>
      </w:r>
      <w:r w:rsidR="0088676E">
        <w:t>(Table</w:t>
      </w:r>
      <w:r w:rsidR="0094530C">
        <w:t>s</w:t>
      </w:r>
      <w:r w:rsidR="0088676E">
        <w:t xml:space="preserve"> 5</w:t>
      </w:r>
      <w:r w:rsidR="0094530C">
        <w:t>a and 5b</w:t>
      </w:r>
      <w:r w:rsidR="0088676E">
        <w:t>).</w:t>
      </w:r>
      <w:r w:rsidR="00F906A3">
        <w:t xml:space="preserve"> A </w:t>
      </w:r>
      <w:r w:rsidR="00F023A7">
        <w:t xml:space="preserve">survey </w:t>
      </w:r>
      <w:r w:rsidR="00F906A3">
        <w:t xml:space="preserve">respondent </w:t>
      </w:r>
      <w:r w:rsidR="00F023A7">
        <w:t>suggested</w:t>
      </w:r>
      <w:r w:rsidR="00F906A3">
        <w:t xml:space="preserve"> </w:t>
      </w:r>
      <w:r w:rsidR="00F023A7">
        <w:t>all indicators would require</w:t>
      </w:r>
      <w:r w:rsidR="00F906A3">
        <w:t xml:space="preserve"> ‘huge extra input and time</w:t>
      </w:r>
      <w:r w:rsidR="00F023A7">
        <w:t>’.</w:t>
      </w:r>
    </w:p>
    <w:p w14:paraId="423B08E0" w14:textId="6406EFD6" w:rsidR="009A22AB" w:rsidRDefault="009A22AB" w:rsidP="009A22AB">
      <w:pPr>
        <w:spacing w:line="276" w:lineRule="auto"/>
        <w:rPr>
          <w:u w:val="single"/>
        </w:rPr>
      </w:pPr>
      <w:r w:rsidRPr="004B4482">
        <w:rPr>
          <w:u w:val="single"/>
        </w:rPr>
        <w:t>Table</w:t>
      </w:r>
      <w:r>
        <w:rPr>
          <w:u w:val="single"/>
        </w:rPr>
        <w:t xml:space="preserve"> </w:t>
      </w:r>
      <w:r w:rsidR="00C51B90">
        <w:rPr>
          <w:u w:val="single"/>
        </w:rPr>
        <w:t>5</w:t>
      </w:r>
      <w:r w:rsidR="0094530C">
        <w:rPr>
          <w:u w:val="single"/>
        </w:rPr>
        <w:t>a</w:t>
      </w:r>
      <w:r w:rsidRPr="004B4482">
        <w:rPr>
          <w:u w:val="single"/>
        </w:rPr>
        <w:t xml:space="preserve">: Views on </w:t>
      </w:r>
      <w:r>
        <w:rPr>
          <w:u w:val="single"/>
        </w:rPr>
        <w:t xml:space="preserve">additional </w:t>
      </w:r>
      <w:r w:rsidR="0094530C">
        <w:rPr>
          <w:u w:val="single"/>
        </w:rPr>
        <w:t xml:space="preserve">clinical </w:t>
      </w:r>
      <w:r>
        <w:rPr>
          <w:u w:val="single"/>
        </w:rPr>
        <w:t xml:space="preserve">workload generated by </w:t>
      </w:r>
      <w:r w:rsidR="0088676E">
        <w:rPr>
          <w:u w:val="single"/>
        </w:rPr>
        <w:t xml:space="preserve">the </w:t>
      </w:r>
      <w:r w:rsidR="00990A91">
        <w:rPr>
          <w:u w:val="single"/>
        </w:rPr>
        <w:t>weight management</w:t>
      </w:r>
      <w:r w:rsidR="00990A91" w:rsidRPr="007B0CB4">
        <w:rPr>
          <w:u w:val="single"/>
        </w:rPr>
        <w:t xml:space="preserve">-related </w:t>
      </w:r>
      <w:r w:rsidR="00990A91" w:rsidRPr="001556F6">
        <w:rPr>
          <w:u w:val="single"/>
        </w:rPr>
        <w:t>indicator</w:t>
      </w:r>
      <w:r w:rsidR="00990A91">
        <w:rPr>
          <w:u w:val="single"/>
        </w:rPr>
        <w:t>s</w:t>
      </w:r>
      <w:r w:rsidR="00990A91" w:rsidRPr="007B0CB4">
        <w:rPr>
          <w:u w:val="single"/>
        </w:rPr>
        <w:t xml:space="preserve"> </w:t>
      </w:r>
      <w:r w:rsidRPr="004B4482">
        <w:rPr>
          <w:u w:val="single"/>
        </w:rPr>
        <w:t>(survey)</w:t>
      </w:r>
    </w:p>
    <w:p w14:paraId="3305B8B2" w14:textId="637D323A" w:rsidR="00780FA2" w:rsidRDefault="00780FA2" w:rsidP="009A22AB">
      <w:pPr>
        <w:spacing w:line="276" w:lineRule="auto"/>
        <w:rPr>
          <w:u w:val="single"/>
        </w:rPr>
      </w:pPr>
      <w:r w:rsidRPr="008C7154">
        <w:rPr>
          <w:b/>
          <w:sz w:val="22"/>
        </w:rPr>
        <w:t xml:space="preserve">Will the requirements relating to </w:t>
      </w:r>
      <w:r>
        <w:rPr>
          <w:b/>
          <w:sz w:val="22"/>
        </w:rPr>
        <w:t>the</w:t>
      </w:r>
      <w:r w:rsidRPr="008C7154">
        <w:rPr>
          <w:b/>
          <w:sz w:val="22"/>
        </w:rPr>
        <w:t xml:space="preserve"> indicator generate additional </w:t>
      </w:r>
      <w:r>
        <w:rPr>
          <w:b/>
          <w:sz w:val="22"/>
        </w:rPr>
        <w:t>CLINICAL</w:t>
      </w:r>
      <w:r w:rsidRPr="008C7154">
        <w:rPr>
          <w:b/>
          <w:sz w:val="22"/>
        </w:rPr>
        <w:t xml:space="preserve"> workload?</w:t>
      </w:r>
    </w:p>
    <w:tbl>
      <w:tblPr>
        <w:tblStyle w:val="TableGrid"/>
        <w:tblW w:w="9351" w:type="dxa"/>
        <w:tblLook w:val="04A0" w:firstRow="1" w:lastRow="0" w:firstColumn="1" w:lastColumn="0" w:noHBand="0" w:noVBand="1"/>
      </w:tblPr>
      <w:tblGrid>
        <w:gridCol w:w="4285"/>
        <w:gridCol w:w="1132"/>
        <w:gridCol w:w="1129"/>
        <w:gridCol w:w="992"/>
        <w:gridCol w:w="987"/>
        <w:gridCol w:w="826"/>
      </w:tblGrid>
      <w:tr w:rsidR="009A22AB" w:rsidRPr="00527BAA" w14:paraId="5A52ED48" w14:textId="77777777" w:rsidTr="00FA6199">
        <w:tc>
          <w:tcPr>
            <w:tcW w:w="4285" w:type="dxa"/>
            <w:tcBorders>
              <w:top w:val="single" w:sz="4" w:space="0" w:color="auto"/>
              <w:left w:val="single" w:sz="4" w:space="0" w:color="auto"/>
              <w:bottom w:val="single" w:sz="4" w:space="0" w:color="auto"/>
              <w:right w:val="single" w:sz="4" w:space="0" w:color="auto"/>
            </w:tcBorders>
          </w:tcPr>
          <w:p w14:paraId="45D1F017" w14:textId="77777777" w:rsidR="009A22AB" w:rsidRPr="00527BAA" w:rsidRDefault="009A22AB" w:rsidP="00DD28EC">
            <w:pPr>
              <w:spacing w:before="60" w:after="60" w:line="240" w:lineRule="auto"/>
              <w:rPr>
                <w:rFonts w:cs="Arial"/>
                <w:sz w:val="22"/>
              </w:rPr>
            </w:pPr>
          </w:p>
        </w:tc>
        <w:tc>
          <w:tcPr>
            <w:tcW w:w="1132" w:type="dxa"/>
            <w:tcBorders>
              <w:top w:val="single" w:sz="4" w:space="0" w:color="auto"/>
              <w:left w:val="single" w:sz="4" w:space="0" w:color="auto"/>
              <w:bottom w:val="single" w:sz="4" w:space="0" w:color="auto"/>
              <w:right w:val="single" w:sz="4" w:space="0" w:color="auto"/>
            </w:tcBorders>
            <w:hideMark/>
          </w:tcPr>
          <w:p w14:paraId="21F47767" w14:textId="77777777" w:rsidR="009A22AB" w:rsidRPr="00527BAA" w:rsidRDefault="009A22AB" w:rsidP="00DD28EC">
            <w:pPr>
              <w:spacing w:before="60" w:after="60" w:line="240" w:lineRule="auto"/>
              <w:jc w:val="center"/>
              <w:rPr>
                <w:rFonts w:cs="Arial"/>
                <w:sz w:val="22"/>
              </w:rPr>
            </w:pPr>
            <w:r w:rsidRPr="00527BAA">
              <w:rPr>
                <w:rFonts w:cs="Arial"/>
                <w:sz w:val="22"/>
              </w:rPr>
              <w:t>Yes, definitely</w:t>
            </w:r>
          </w:p>
        </w:tc>
        <w:tc>
          <w:tcPr>
            <w:tcW w:w="1129" w:type="dxa"/>
            <w:tcBorders>
              <w:top w:val="single" w:sz="4" w:space="0" w:color="auto"/>
              <w:left w:val="single" w:sz="4" w:space="0" w:color="auto"/>
              <w:bottom w:val="single" w:sz="4" w:space="0" w:color="auto"/>
              <w:right w:val="single" w:sz="4" w:space="0" w:color="auto"/>
            </w:tcBorders>
            <w:hideMark/>
          </w:tcPr>
          <w:p w14:paraId="3A95641D" w14:textId="77777777" w:rsidR="009A22AB" w:rsidRPr="00527BAA" w:rsidRDefault="009A22AB" w:rsidP="00DD28EC">
            <w:pPr>
              <w:spacing w:before="60" w:after="60" w:line="240" w:lineRule="auto"/>
              <w:jc w:val="center"/>
              <w:rPr>
                <w:rFonts w:cs="Arial"/>
                <w:sz w:val="22"/>
              </w:rPr>
            </w:pPr>
            <w:r w:rsidRPr="00527BAA">
              <w:rPr>
                <w:rFonts w:cs="Arial"/>
                <w:sz w:val="22"/>
              </w:rPr>
              <w:t xml:space="preserve">Yes, to some extent </w:t>
            </w:r>
          </w:p>
        </w:tc>
        <w:tc>
          <w:tcPr>
            <w:tcW w:w="992" w:type="dxa"/>
            <w:tcBorders>
              <w:top w:val="single" w:sz="4" w:space="0" w:color="auto"/>
              <w:left w:val="single" w:sz="4" w:space="0" w:color="auto"/>
              <w:bottom w:val="single" w:sz="4" w:space="0" w:color="auto"/>
              <w:right w:val="single" w:sz="4" w:space="0" w:color="auto"/>
            </w:tcBorders>
            <w:hideMark/>
          </w:tcPr>
          <w:p w14:paraId="102E8122" w14:textId="77777777" w:rsidR="009A22AB" w:rsidRPr="00527BAA" w:rsidRDefault="009A22AB" w:rsidP="00DD28EC">
            <w:pPr>
              <w:spacing w:before="60" w:after="60" w:line="240" w:lineRule="auto"/>
              <w:jc w:val="center"/>
              <w:rPr>
                <w:rFonts w:cs="Arial"/>
                <w:sz w:val="22"/>
              </w:rPr>
            </w:pPr>
            <w:r w:rsidRPr="00527BAA">
              <w:rPr>
                <w:rFonts w:cs="Arial"/>
                <w:sz w:val="22"/>
              </w:rPr>
              <w:t>No</w:t>
            </w:r>
          </w:p>
        </w:tc>
        <w:tc>
          <w:tcPr>
            <w:tcW w:w="987" w:type="dxa"/>
            <w:tcBorders>
              <w:top w:val="single" w:sz="4" w:space="0" w:color="auto"/>
              <w:left w:val="single" w:sz="4" w:space="0" w:color="auto"/>
              <w:bottom w:val="single" w:sz="4" w:space="0" w:color="auto"/>
              <w:right w:val="single" w:sz="4" w:space="0" w:color="auto"/>
            </w:tcBorders>
          </w:tcPr>
          <w:p w14:paraId="631CAB99" w14:textId="77777777" w:rsidR="009A22AB" w:rsidRPr="00527BAA" w:rsidRDefault="009A22AB" w:rsidP="00DD28EC">
            <w:pPr>
              <w:spacing w:before="60" w:after="60" w:line="240" w:lineRule="auto"/>
              <w:jc w:val="center"/>
              <w:rPr>
                <w:rFonts w:cs="Arial"/>
                <w:sz w:val="22"/>
              </w:rPr>
            </w:pPr>
            <w:r w:rsidRPr="00527BAA">
              <w:rPr>
                <w:rFonts w:cs="Arial"/>
                <w:sz w:val="22"/>
              </w:rPr>
              <w:t>Unsure</w:t>
            </w:r>
          </w:p>
        </w:tc>
        <w:tc>
          <w:tcPr>
            <w:tcW w:w="826" w:type="dxa"/>
            <w:tcBorders>
              <w:top w:val="single" w:sz="4" w:space="0" w:color="auto"/>
              <w:left w:val="single" w:sz="4" w:space="0" w:color="auto"/>
              <w:bottom w:val="single" w:sz="4" w:space="0" w:color="auto"/>
              <w:right w:val="single" w:sz="4" w:space="0" w:color="auto"/>
            </w:tcBorders>
            <w:hideMark/>
          </w:tcPr>
          <w:p w14:paraId="5DEFF9E7" w14:textId="77777777" w:rsidR="009A22AB" w:rsidRPr="00527BAA" w:rsidRDefault="009A22AB" w:rsidP="00DD28EC">
            <w:pPr>
              <w:spacing w:before="60" w:after="60" w:line="240" w:lineRule="auto"/>
              <w:jc w:val="center"/>
              <w:rPr>
                <w:rFonts w:cs="Arial"/>
                <w:sz w:val="22"/>
              </w:rPr>
            </w:pPr>
            <w:r w:rsidRPr="00527BAA">
              <w:rPr>
                <w:rFonts w:cs="Arial"/>
                <w:sz w:val="22"/>
              </w:rPr>
              <w:t>Total</w:t>
            </w:r>
          </w:p>
        </w:tc>
      </w:tr>
      <w:tr w:rsidR="00990A91" w:rsidRPr="00527BAA" w14:paraId="463FF789" w14:textId="77777777" w:rsidTr="00990A91">
        <w:trPr>
          <w:trHeight w:val="804"/>
        </w:trPr>
        <w:tc>
          <w:tcPr>
            <w:tcW w:w="4285" w:type="dxa"/>
            <w:tcBorders>
              <w:top w:val="single" w:sz="4" w:space="0" w:color="auto"/>
              <w:left w:val="single" w:sz="4" w:space="0" w:color="auto"/>
              <w:bottom w:val="single" w:sz="4" w:space="0" w:color="auto"/>
              <w:right w:val="single" w:sz="4" w:space="0" w:color="auto"/>
            </w:tcBorders>
            <w:hideMark/>
          </w:tcPr>
          <w:p w14:paraId="3A65BF3E" w14:textId="004282AC" w:rsidR="00990A91" w:rsidRPr="00527BAA" w:rsidRDefault="00990A91" w:rsidP="00990A91">
            <w:pPr>
              <w:spacing w:before="60" w:after="60" w:line="240" w:lineRule="auto"/>
              <w:rPr>
                <w:rFonts w:cs="Arial"/>
                <w:sz w:val="22"/>
              </w:rPr>
            </w:pPr>
            <w:r w:rsidRPr="00527BAA">
              <w:rPr>
                <w:rFonts w:cs="Arial"/>
                <w:sz w:val="22"/>
              </w:rPr>
              <w:t>Indicator 1: Weight management advice</w:t>
            </w:r>
          </w:p>
        </w:tc>
        <w:tc>
          <w:tcPr>
            <w:tcW w:w="1132" w:type="dxa"/>
            <w:tcBorders>
              <w:top w:val="single" w:sz="4" w:space="0" w:color="auto"/>
              <w:left w:val="single" w:sz="4" w:space="0" w:color="auto"/>
              <w:bottom w:val="single" w:sz="4" w:space="0" w:color="auto"/>
              <w:right w:val="single" w:sz="4" w:space="0" w:color="auto"/>
            </w:tcBorders>
          </w:tcPr>
          <w:p w14:paraId="5751AF32" w14:textId="77777777" w:rsidR="00990A91" w:rsidRPr="00527BAA" w:rsidRDefault="00990A91" w:rsidP="00990A91">
            <w:pPr>
              <w:spacing w:before="60" w:after="60" w:line="240" w:lineRule="auto"/>
              <w:jc w:val="center"/>
              <w:rPr>
                <w:rFonts w:cs="Arial"/>
                <w:sz w:val="22"/>
              </w:rPr>
            </w:pPr>
            <w:r w:rsidRPr="00527BAA">
              <w:rPr>
                <w:rFonts w:cs="Arial"/>
                <w:sz w:val="22"/>
              </w:rPr>
              <w:t>26</w:t>
            </w:r>
          </w:p>
          <w:p w14:paraId="35BF9CCF" w14:textId="08A01DD1" w:rsidR="00990A91" w:rsidRPr="00527BAA" w:rsidRDefault="00990A91" w:rsidP="00990A91">
            <w:pPr>
              <w:spacing w:before="60" w:after="60" w:line="240" w:lineRule="auto"/>
              <w:jc w:val="center"/>
              <w:rPr>
                <w:rFonts w:cs="Arial"/>
                <w:sz w:val="22"/>
              </w:rPr>
            </w:pPr>
            <w:r w:rsidRPr="00527BAA">
              <w:rPr>
                <w:rFonts w:cs="Arial"/>
                <w:sz w:val="22"/>
              </w:rPr>
              <w:t>(50.0%)</w:t>
            </w:r>
          </w:p>
        </w:tc>
        <w:tc>
          <w:tcPr>
            <w:tcW w:w="1129" w:type="dxa"/>
            <w:tcBorders>
              <w:top w:val="single" w:sz="4" w:space="0" w:color="auto"/>
              <w:left w:val="single" w:sz="4" w:space="0" w:color="auto"/>
              <w:bottom w:val="single" w:sz="4" w:space="0" w:color="auto"/>
              <w:right w:val="single" w:sz="4" w:space="0" w:color="auto"/>
            </w:tcBorders>
          </w:tcPr>
          <w:p w14:paraId="6A635DA5" w14:textId="77777777" w:rsidR="00990A91" w:rsidRPr="00527BAA" w:rsidRDefault="00990A91" w:rsidP="00990A91">
            <w:pPr>
              <w:spacing w:before="60" w:after="60" w:line="240" w:lineRule="auto"/>
              <w:jc w:val="center"/>
              <w:rPr>
                <w:rFonts w:cs="Arial"/>
                <w:sz w:val="22"/>
              </w:rPr>
            </w:pPr>
            <w:r w:rsidRPr="00527BAA">
              <w:rPr>
                <w:rFonts w:cs="Arial"/>
                <w:sz w:val="22"/>
              </w:rPr>
              <w:t>18</w:t>
            </w:r>
          </w:p>
          <w:p w14:paraId="0AAA50D3" w14:textId="28A05254" w:rsidR="00990A91" w:rsidRPr="00527BAA" w:rsidRDefault="00990A91" w:rsidP="00990A91">
            <w:pPr>
              <w:spacing w:before="60" w:after="60" w:line="240" w:lineRule="auto"/>
              <w:jc w:val="center"/>
              <w:rPr>
                <w:rFonts w:cs="Arial"/>
                <w:sz w:val="22"/>
              </w:rPr>
            </w:pPr>
            <w:r w:rsidRPr="00527BAA">
              <w:rPr>
                <w:rFonts w:cs="Arial"/>
                <w:sz w:val="22"/>
              </w:rPr>
              <w:t>(34.6%)</w:t>
            </w:r>
          </w:p>
        </w:tc>
        <w:tc>
          <w:tcPr>
            <w:tcW w:w="992" w:type="dxa"/>
            <w:tcBorders>
              <w:top w:val="single" w:sz="4" w:space="0" w:color="auto"/>
              <w:left w:val="single" w:sz="4" w:space="0" w:color="auto"/>
              <w:bottom w:val="single" w:sz="4" w:space="0" w:color="auto"/>
              <w:right w:val="single" w:sz="4" w:space="0" w:color="auto"/>
            </w:tcBorders>
          </w:tcPr>
          <w:p w14:paraId="52FCAE91" w14:textId="77777777" w:rsidR="00990A91" w:rsidRPr="00527BAA" w:rsidRDefault="00990A91" w:rsidP="00990A91">
            <w:pPr>
              <w:spacing w:before="60" w:after="60" w:line="240" w:lineRule="auto"/>
              <w:jc w:val="center"/>
              <w:rPr>
                <w:rFonts w:cs="Arial"/>
                <w:sz w:val="22"/>
              </w:rPr>
            </w:pPr>
            <w:r w:rsidRPr="00527BAA">
              <w:rPr>
                <w:rFonts w:cs="Arial"/>
                <w:sz w:val="22"/>
              </w:rPr>
              <w:t>4</w:t>
            </w:r>
          </w:p>
          <w:p w14:paraId="5D8781FC" w14:textId="2BE17743" w:rsidR="00990A91" w:rsidRPr="00527BAA" w:rsidRDefault="00990A91" w:rsidP="00990A91">
            <w:pPr>
              <w:spacing w:before="60" w:after="60" w:line="240" w:lineRule="auto"/>
              <w:jc w:val="center"/>
              <w:rPr>
                <w:rFonts w:cs="Arial"/>
                <w:sz w:val="22"/>
              </w:rPr>
            </w:pPr>
            <w:r w:rsidRPr="00527BAA">
              <w:rPr>
                <w:rFonts w:cs="Arial"/>
                <w:sz w:val="22"/>
              </w:rPr>
              <w:t>(7.7%)</w:t>
            </w:r>
          </w:p>
        </w:tc>
        <w:tc>
          <w:tcPr>
            <w:tcW w:w="987" w:type="dxa"/>
            <w:tcBorders>
              <w:top w:val="single" w:sz="4" w:space="0" w:color="auto"/>
              <w:left w:val="single" w:sz="4" w:space="0" w:color="auto"/>
              <w:bottom w:val="single" w:sz="4" w:space="0" w:color="auto"/>
              <w:right w:val="single" w:sz="4" w:space="0" w:color="auto"/>
            </w:tcBorders>
          </w:tcPr>
          <w:p w14:paraId="2151EAEE" w14:textId="77777777" w:rsidR="00990A91" w:rsidRPr="00527BAA" w:rsidRDefault="00990A91" w:rsidP="00990A91">
            <w:pPr>
              <w:spacing w:before="60" w:after="60" w:line="240" w:lineRule="auto"/>
              <w:jc w:val="center"/>
              <w:rPr>
                <w:rFonts w:cs="Arial"/>
                <w:sz w:val="22"/>
              </w:rPr>
            </w:pPr>
            <w:r w:rsidRPr="00527BAA">
              <w:rPr>
                <w:rFonts w:cs="Arial"/>
                <w:sz w:val="22"/>
              </w:rPr>
              <w:t>4</w:t>
            </w:r>
          </w:p>
          <w:p w14:paraId="386DF9A3" w14:textId="5EAE6E8C" w:rsidR="00990A91" w:rsidRPr="00527BAA" w:rsidRDefault="00990A91" w:rsidP="00990A91">
            <w:pPr>
              <w:spacing w:before="60" w:after="60" w:line="240" w:lineRule="auto"/>
              <w:jc w:val="center"/>
              <w:rPr>
                <w:rFonts w:cs="Arial"/>
                <w:sz w:val="22"/>
              </w:rPr>
            </w:pPr>
            <w:r w:rsidRPr="00527BAA">
              <w:rPr>
                <w:rFonts w:cs="Arial"/>
                <w:sz w:val="22"/>
              </w:rPr>
              <w:t>(7.7%)</w:t>
            </w:r>
          </w:p>
        </w:tc>
        <w:tc>
          <w:tcPr>
            <w:tcW w:w="826" w:type="dxa"/>
            <w:tcBorders>
              <w:top w:val="single" w:sz="4" w:space="0" w:color="auto"/>
              <w:left w:val="single" w:sz="4" w:space="0" w:color="auto"/>
              <w:bottom w:val="single" w:sz="4" w:space="0" w:color="auto"/>
              <w:right w:val="single" w:sz="4" w:space="0" w:color="auto"/>
            </w:tcBorders>
          </w:tcPr>
          <w:p w14:paraId="6E0EBB9A" w14:textId="1D375A60" w:rsidR="00990A91" w:rsidRPr="00527BAA" w:rsidRDefault="00990A91" w:rsidP="00990A91">
            <w:pPr>
              <w:spacing w:before="60" w:after="60" w:line="240" w:lineRule="auto"/>
              <w:jc w:val="center"/>
              <w:rPr>
                <w:rFonts w:cs="Arial"/>
                <w:sz w:val="22"/>
              </w:rPr>
            </w:pPr>
            <w:r w:rsidRPr="00527BAA">
              <w:rPr>
                <w:rFonts w:cs="Arial"/>
                <w:sz w:val="22"/>
              </w:rPr>
              <w:t>52</w:t>
            </w:r>
          </w:p>
        </w:tc>
      </w:tr>
      <w:tr w:rsidR="00990A91" w:rsidRPr="00527BAA" w14:paraId="15C9D547" w14:textId="77777777" w:rsidTr="00FA6199">
        <w:trPr>
          <w:trHeight w:val="804"/>
        </w:trPr>
        <w:tc>
          <w:tcPr>
            <w:tcW w:w="4285" w:type="dxa"/>
            <w:tcBorders>
              <w:top w:val="single" w:sz="4" w:space="0" w:color="auto"/>
              <w:left w:val="single" w:sz="4" w:space="0" w:color="auto"/>
              <w:bottom w:val="single" w:sz="4" w:space="0" w:color="auto"/>
              <w:right w:val="single" w:sz="4" w:space="0" w:color="auto"/>
            </w:tcBorders>
          </w:tcPr>
          <w:p w14:paraId="45E45C00" w14:textId="129BAE32" w:rsidR="00990A91" w:rsidRPr="00527BAA" w:rsidRDefault="00990A91" w:rsidP="00990A91">
            <w:pPr>
              <w:spacing w:before="60" w:after="60" w:line="240" w:lineRule="auto"/>
              <w:rPr>
                <w:rFonts w:cs="Arial"/>
                <w:sz w:val="22"/>
              </w:rPr>
            </w:pPr>
            <w:r w:rsidRPr="00527BAA">
              <w:rPr>
                <w:rFonts w:cs="Arial"/>
                <w:sz w:val="22"/>
              </w:rPr>
              <w:t>Indicator 2: Referral for bariatric surgery</w:t>
            </w:r>
          </w:p>
        </w:tc>
        <w:tc>
          <w:tcPr>
            <w:tcW w:w="1132" w:type="dxa"/>
            <w:tcBorders>
              <w:top w:val="single" w:sz="4" w:space="0" w:color="auto"/>
              <w:left w:val="single" w:sz="4" w:space="0" w:color="auto"/>
              <w:bottom w:val="single" w:sz="4" w:space="0" w:color="auto"/>
              <w:right w:val="single" w:sz="4" w:space="0" w:color="auto"/>
            </w:tcBorders>
          </w:tcPr>
          <w:p w14:paraId="21EDB1D2" w14:textId="77777777" w:rsidR="00990A91" w:rsidRPr="00527BAA" w:rsidRDefault="00990A91" w:rsidP="00990A91">
            <w:pPr>
              <w:spacing w:before="60" w:after="60" w:line="240" w:lineRule="auto"/>
              <w:jc w:val="center"/>
              <w:rPr>
                <w:rFonts w:cs="Arial"/>
                <w:sz w:val="22"/>
              </w:rPr>
            </w:pPr>
            <w:r w:rsidRPr="00527BAA">
              <w:rPr>
                <w:rFonts w:cs="Arial"/>
                <w:sz w:val="22"/>
              </w:rPr>
              <w:t>29</w:t>
            </w:r>
          </w:p>
          <w:p w14:paraId="64AA49A9" w14:textId="3A3401F0" w:rsidR="00990A91" w:rsidRPr="00527BAA" w:rsidRDefault="00990A91" w:rsidP="00990A91">
            <w:pPr>
              <w:spacing w:before="60" w:after="60" w:line="240" w:lineRule="auto"/>
              <w:jc w:val="center"/>
              <w:rPr>
                <w:rFonts w:cs="Arial"/>
                <w:sz w:val="22"/>
              </w:rPr>
            </w:pPr>
            <w:r w:rsidRPr="00527BAA">
              <w:rPr>
                <w:rFonts w:cs="Arial"/>
                <w:sz w:val="22"/>
              </w:rPr>
              <w:t>(55.8%)</w:t>
            </w:r>
          </w:p>
        </w:tc>
        <w:tc>
          <w:tcPr>
            <w:tcW w:w="1129" w:type="dxa"/>
            <w:tcBorders>
              <w:top w:val="single" w:sz="4" w:space="0" w:color="auto"/>
              <w:left w:val="single" w:sz="4" w:space="0" w:color="auto"/>
              <w:bottom w:val="single" w:sz="4" w:space="0" w:color="auto"/>
              <w:right w:val="single" w:sz="4" w:space="0" w:color="auto"/>
            </w:tcBorders>
          </w:tcPr>
          <w:p w14:paraId="62A41E24" w14:textId="77777777" w:rsidR="00990A91" w:rsidRPr="00527BAA" w:rsidRDefault="00990A91" w:rsidP="00990A91">
            <w:pPr>
              <w:spacing w:before="60" w:after="60" w:line="240" w:lineRule="auto"/>
              <w:jc w:val="center"/>
              <w:rPr>
                <w:rFonts w:cs="Arial"/>
                <w:sz w:val="22"/>
              </w:rPr>
            </w:pPr>
            <w:r w:rsidRPr="00527BAA">
              <w:rPr>
                <w:rFonts w:cs="Arial"/>
                <w:sz w:val="22"/>
              </w:rPr>
              <w:t>18</w:t>
            </w:r>
          </w:p>
          <w:p w14:paraId="73D8B42E" w14:textId="4D252A03" w:rsidR="00990A91" w:rsidRPr="00527BAA" w:rsidRDefault="00990A91" w:rsidP="00990A91">
            <w:pPr>
              <w:spacing w:before="60" w:after="60" w:line="240" w:lineRule="auto"/>
              <w:jc w:val="center"/>
              <w:rPr>
                <w:rFonts w:cs="Arial"/>
                <w:sz w:val="22"/>
              </w:rPr>
            </w:pPr>
            <w:r w:rsidRPr="00527BAA">
              <w:rPr>
                <w:rFonts w:cs="Arial"/>
                <w:sz w:val="22"/>
              </w:rPr>
              <w:t>(34.6%)</w:t>
            </w:r>
          </w:p>
        </w:tc>
        <w:tc>
          <w:tcPr>
            <w:tcW w:w="992" w:type="dxa"/>
            <w:tcBorders>
              <w:top w:val="single" w:sz="4" w:space="0" w:color="auto"/>
              <w:left w:val="single" w:sz="4" w:space="0" w:color="auto"/>
              <w:bottom w:val="single" w:sz="4" w:space="0" w:color="auto"/>
              <w:right w:val="single" w:sz="4" w:space="0" w:color="auto"/>
            </w:tcBorders>
          </w:tcPr>
          <w:p w14:paraId="19C1267E" w14:textId="77777777" w:rsidR="00990A91" w:rsidRPr="00527BAA" w:rsidRDefault="00990A91" w:rsidP="00990A91">
            <w:pPr>
              <w:spacing w:before="60" w:after="60" w:line="240" w:lineRule="auto"/>
              <w:jc w:val="center"/>
              <w:rPr>
                <w:rFonts w:cs="Arial"/>
                <w:sz w:val="22"/>
              </w:rPr>
            </w:pPr>
            <w:r w:rsidRPr="00527BAA">
              <w:rPr>
                <w:rFonts w:cs="Arial"/>
                <w:sz w:val="22"/>
              </w:rPr>
              <w:t>1</w:t>
            </w:r>
          </w:p>
          <w:p w14:paraId="5B85361B" w14:textId="24B7D7A3" w:rsidR="00990A91" w:rsidRPr="00527BAA" w:rsidRDefault="00990A91" w:rsidP="00990A91">
            <w:pPr>
              <w:spacing w:before="60" w:after="60" w:line="240" w:lineRule="auto"/>
              <w:jc w:val="center"/>
              <w:rPr>
                <w:rFonts w:cs="Arial"/>
                <w:sz w:val="22"/>
              </w:rPr>
            </w:pPr>
            <w:r w:rsidRPr="00527BAA">
              <w:rPr>
                <w:rFonts w:cs="Arial"/>
                <w:sz w:val="22"/>
              </w:rPr>
              <w:t>(1.9%)</w:t>
            </w:r>
          </w:p>
        </w:tc>
        <w:tc>
          <w:tcPr>
            <w:tcW w:w="987" w:type="dxa"/>
            <w:tcBorders>
              <w:top w:val="single" w:sz="4" w:space="0" w:color="auto"/>
              <w:left w:val="single" w:sz="4" w:space="0" w:color="auto"/>
              <w:bottom w:val="single" w:sz="4" w:space="0" w:color="auto"/>
              <w:right w:val="single" w:sz="4" w:space="0" w:color="auto"/>
            </w:tcBorders>
          </w:tcPr>
          <w:p w14:paraId="2D44B8FE" w14:textId="77777777" w:rsidR="00990A91" w:rsidRPr="00527BAA" w:rsidRDefault="00990A91" w:rsidP="00990A91">
            <w:pPr>
              <w:spacing w:before="60" w:after="60" w:line="240" w:lineRule="auto"/>
              <w:jc w:val="center"/>
              <w:rPr>
                <w:rFonts w:cs="Arial"/>
                <w:sz w:val="22"/>
              </w:rPr>
            </w:pPr>
            <w:r w:rsidRPr="00527BAA">
              <w:rPr>
                <w:rFonts w:cs="Arial"/>
                <w:sz w:val="22"/>
              </w:rPr>
              <w:t>4</w:t>
            </w:r>
          </w:p>
          <w:p w14:paraId="20798B25" w14:textId="4079B2D4" w:rsidR="00990A91" w:rsidRPr="00527BAA" w:rsidRDefault="00990A91" w:rsidP="00990A91">
            <w:pPr>
              <w:spacing w:before="60" w:after="60" w:line="240" w:lineRule="auto"/>
              <w:jc w:val="center"/>
              <w:rPr>
                <w:rFonts w:cs="Arial"/>
                <w:sz w:val="22"/>
              </w:rPr>
            </w:pPr>
            <w:r w:rsidRPr="00527BAA">
              <w:rPr>
                <w:rFonts w:cs="Arial"/>
                <w:sz w:val="22"/>
              </w:rPr>
              <w:t>(7.7%)</w:t>
            </w:r>
          </w:p>
        </w:tc>
        <w:tc>
          <w:tcPr>
            <w:tcW w:w="826" w:type="dxa"/>
            <w:tcBorders>
              <w:top w:val="single" w:sz="4" w:space="0" w:color="auto"/>
              <w:left w:val="single" w:sz="4" w:space="0" w:color="auto"/>
              <w:bottom w:val="single" w:sz="4" w:space="0" w:color="auto"/>
              <w:right w:val="single" w:sz="4" w:space="0" w:color="auto"/>
            </w:tcBorders>
          </w:tcPr>
          <w:p w14:paraId="71DBBC0B" w14:textId="10161F42" w:rsidR="00990A91" w:rsidRPr="00527BAA" w:rsidRDefault="00990A91" w:rsidP="00990A91">
            <w:pPr>
              <w:spacing w:before="60" w:after="60" w:line="240" w:lineRule="auto"/>
              <w:jc w:val="center"/>
              <w:rPr>
                <w:rFonts w:cs="Arial"/>
                <w:sz w:val="22"/>
              </w:rPr>
            </w:pPr>
            <w:r w:rsidRPr="00527BAA">
              <w:rPr>
                <w:rFonts w:cs="Arial"/>
                <w:sz w:val="22"/>
              </w:rPr>
              <w:t>52</w:t>
            </w:r>
          </w:p>
        </w:tc>
      </w:tr>
      <w:tr w:rsidR="00990A91" w:rsidRPr="00527BAA" w14:paraId="438AECD3" w14:textId="77777777" w:rsidTr="00FA6199">
        <w:trPr>
          <w:trHeight w:val="804"/>
        </w:trPr>
        <w:tc>
          <w:tcPr>
            <w:tcW w:w="4285" w:type="dxa"/>
            <w:tcBorders>
              <w:top w:val="single" w:sz="4" w:space="0" w:color="auto"/>
              <w:left w:val="single" w:sz="4" w:space="0" w:color="auto"/>
              <w:bottom w:val="single" w:sz="4" w:space="0" w:color="auto"/>
              <w:right w:val="single" w:sz="4" w:space="0" w:color="auto"/>
            </w:tcBorders>
          </w:tcPr>
          <w:p w14:paraId="0C34E8D8" w14:textId="79765FFF" w:rsidR="00990A91" w:rsidRPr="00527BAA" w:rsidRDefault="00990A91" w:rsidP="00990A91">
            <w:pPr>
              <w:spacing w:before="60" w:after="60" w:line="240" w:lineRule="auto"/>
              <w:rPr>
                <w:rFonts w:cs="Arial"/>
                <w:sz w:val="22"/>
              </w:rPr>
            </w:pPr>
            <w:r w:rsidRPr="00527BAA">
              <w:rPr>
                <w:rFonts w:cs="Arial"/>
                <w:sz w:val="22"/>
              </w:rPr>
              <w:t>Indicator 3: Nutritional status monitoring in primary care after bariatric surgery (all patients)</w:t>
            </w:r>
          </w:p>
        </w:tc>
        <w:tc>
          <w:tcPr>
            <w:tcW w:w="1132" w:type="dxa"/>
            <w:tcBorders>
              <w:top w:val="single" w:sz="4" w:space="0" w:color="auto"/>
              <w:left w:val="single" w:sz="4" w:space="0" w:color="auto"/>
              <w:bottom w:val="single" w:sz="4" w:space="0" w:color="auto"/>
              <w:right w:val="single" w:sz="4" w:space="0" w:color="auto"/>
            </w:tcBorders>
          </w:tcPr>
          <w:p w14:paraId="1C3CF4C6" w14:textId="77777777" w:rsidR="00990A91" w:rsidRPr="00527BAA" w:rsidRDefault="00990A91" w:rsidP="00990A91">
            <w:pPr>
              <w:spacing w:before="60" w:after="60" w:line="240" w:lineRule="auto"/>
              <w:jc w:val="center"/>
              <w:rPr>
                <w:rFonts w:cs="Arial"/>
                <w:sz w:val="22"/>
              </w:rPr>
            </w:pPr>
            <w:r w:rsidRPr="00527BAA">
              <w:rPr>
                <w:rFonts w:cs="Arial"/>
                <w:sz w:val="22"/>
              </w:rPr>
              <w:t>28</w:t>
            </w:r>
          </w:p>
          <w:p w14:paraId="64D56E2C" w14:textId="0912B873" w:rsidR="00990A91" w:rsidRPr="00527BAA" w:rsidRDefault="00990A91" w:rsidP="00990A91">
            <w:pPr>
              <w:spacing w:before="60" w:after="60" w:line="240" w:lineRule="auto"/>
              <w:jc w:val="center"/>
              <w:rPr>
                <w:rFonts w:cs="Arial"/>
                <w:sz w:val="22"/>
              </w:rPr>
            </w:pPr>
            <w:r w:rsidRPr="00527BAA">
              <w:rPr>
                <w:rFonts w:cs="Arial"/>
                <w:sz w:val="22"/>
              </w:rPr>
              <w:t>(53.8%)</w:t>
            </w:r>
          </w:p>
        </w:tc>
        <w:tc>
          <w:tcPr>
            <w:tcW w:w="1129" w:type="dxa"/>
            <w:tcBorders>
              <w:top w:val="single" w:sz="4" w:space="0" w:color="auto"/>
              <w:left w:val="single" w:sz="4" w:space="0" w:color="auto"/>
              <w:bottom w:val="single" w:sz="4" w:space="0" w:color="auto"/>
              <w:right w:val="single" w:sz="4" w:space="0" w:color="auto"/>
            </w:tcBorders>
          </w:tcPr>
          <w:p w14:paraId="7F045722" w14:textId="77777777" w:rsidR="00990A91" w:rsidRPr="00527BAA" w:rsidRDefault="00990A91" w:rsidP="00990A91">
            <w:pPr>
              <w:spacing w:before="60" w:after="60" w:line="240" w:lineRule="auto"/>
              <w:jc w:val="center"/>
              <w:rPr>
                <w:rFonts w:cs="Arial"/>
                <w:sz w:val="22"/>
              </w:rPr>
            </w:pPr>
            <w:r w:rsidRPr="00527BAA">
              <w:rPr>
                <w:rFonts w:cs="Arial"/>
                <w:sz w:val="22"/>
              </w:rPr>
              <w:t>17</w:t>
            </w:r>
          </w:p>
          <w:p w14:paraId="6AF087AA" w14:textId="0DBFC748" w:rsidR="00990A91" w:rsidRPr="00527BAA" w:rsidRDefault="00990A91" w:rsidP="00990A91">
            <w:pPr>
              <w:spacing w:before="60" w:after="60" w:line="240" w:lineRule="auto"/>
              <w:jc w:val="center"/>
              <w:rPr>
                <w:rFonts w:cs="Arial"/>
                <w:sz w:val="22"/>
              </w:rPr>
            </w:pPr>
            <w:r w:rsidRPr="00527BAA">
              <w:rPr>
                <w:rFonts w:cs="Arial"/>
                <w:sz w:val="22"/>
              </w:rPr>
              <w:t>(32.7%)</w:t>
            </w:r>
          </w:p>
        </w:tc>
        <w:tc>
          <w:tcPr>
            <w:tcW w:w="992" w:type="dxa"/>
            <w:tcBorders>
              <w:top w:val="single" w:sz="4" w:space="0" w:color="auto"/>
              <w:left w:val="single" w:sz="4" w:space="0" w:color="auto"/>
              <w:bottom w:val="single" w:sz="4" w:space="0" w:color="auto"/>
              <w:right w:val="single" w:sz="4" w:space="0" w:color="auto"/>
            </w:tcBorders>
          </w:tcPr>
          <w:p w14:paraId="79D0CA58" w14:textId="77777777" w:rsidR="00990A91" w:rsidRPr="00527BAA" w:rsidRDefault="00990A91" w:rsidP="00990A91">
            <w:pPr>
              <w:spacing w:before="60" w:after="60" w:line="240" w:lineRule="auto"/>
              <w:jc w:val="center"/>
              <w:rPr>
                <w:rFonts w:cs="Arial"/>
                <w:sz w:val="22"/>
              </w:rPr>
            </w:pPr>
            <w:r w:rsidRPr="00527BAA">
              <w:rPr>
                <w:rFonts w:cs="Arial"/>
                <w:sz w:val="22"/>
              </w:rPr>
              <w:t>3</w:t>
            </w:r>
          </w:p>
          <w:p w14:paraId="2891845D" w14:textId="360BAD23" w:rsidR="00990A91" w:rsidRPr="00527BAA" w:rsidRDefault="00990A91" w:rsidP="00990A91">
            <w:pPr>
              <w:spacing w:before="60" w:after="60" w:line="240" w:lineRule="auto"/>
              <w:jc w:val="center"/>
              <w:rPr>
                <w:rFonts w:cs="Arial"/>
                <w:sz w:val="22"/>
              </w:rPr>
            </w:pPr>
            <w:r w:rsidRPr="00527BAA">
              <w:rPr>
                <w:rFonts w:cs="Arial"/>
                <w:sz w:val="22"/>
              </w:rPr>
              <w:t>(5.8%)</w:t>
            </w:r>
          </w:p>
        </w:tc>
        <w:tc>
          <w:tcPr>
            <w:tcW w:w="987" w:type="dxa"/>
            <w:tcBorders>
              <w:top w:val="single" w:sz="4" w:space="0" w:color="auto"/>
              <w:left w:val="single" w:sz="4" w:space="0" w:color="auto"/>
              <w:bottom w:val="single" w:sz="4" w:space="0" w:color="auto"/>
              <w:right w:val="single" w:sz="4" w:space="0" w:color="auto"/>
            </w:tcBorders>
          </w:tcPr>
          <w:p w14:paraId="5E43FCF2" w14:textId="77777777" w:rsidR="00990A91" w:rsidRPr="00527BAA" w:rsidRDefault="00990A91" w:rsidP="00990A91">
            <w:pPr>
              <w:spacing w:before="60" w:after="60" w:line="240" w:lineRule="auto"/>
              <w:jc w:val="center"/>
              <w:rPr>
                <w:rFonts w:cs="Arial"/>
                <w:sz w:val="22"/>
              </w:rPr>
            </w:pPr>
            <w:r w:rsidRPr="00527BAA">
              <w:rPr>
                <w:rFonts w:cs="Arial"/>
                <w:sz w:val="22"/>
              </w:rPr>
              <w:t>4</w:t>
            </w:r>
          </w:p>
          <w:p w14:paraId="718FA425" w14:textId="714BC4CD" w:rsidR="00990A91" w:rsidRPr="00527BAA" w:rsidRDefault="00990A91" w:rsidP="00990A91">
            <w:pPr>
              <w:spacing w:before="60" w:after="60" w:line="240" w:lineRule="auto"/>
              <w:jc w:val="center"/>
              <w:rPr>
                <w:rFonts w:cs="Arial"/>
                <w:sz w:val="22"/>
              </w:rPr>
            </w:pPr>
            <w:r w:rsidRPr="00527BAA">
              <w:rPr>
                <w:rFonts w:cs="Arial"/>
                <w:sz w:val="22"/>
              </w:rPr>
              <w:t>(7.7%)</w:t>
            </w:r>
          </w:p>
        </w:tc>
        <w:tc>
          <w:tcPr>
            <w:tcW w:w="826" w:type="dxa"/>
            <w:tcBorders>
              <w:top w:val="single" w:sz="4" w:space="0" w:color="auto"/>
              <w:left w:val="single" w:sz="4" w:space="0" w:color="auto"/>
              <w:bottom w:val="single" w:sz="4" w:space="0" w:color="auto"/>
              <w:right w:val="single" w:sz="4" w:space="0" w:color="auto"/>
            </w:tcBorders>
          </w:tcPr>
          <w:p w14:paraId="2E9920C5" w14:textId="673760B2" w:rsidR="00990A91" w:rsidRPr="00527BAA" w:rsidRDefault="00990A91" w:rsidP="00990A91">
            <w:pPr>
              <w:spacing w:before="60" w:after="60" w:line="240" w:lineRule="auto"/>
              <w:jc w:val="center"/>
              <w:rPr>
                <w:rFonts w:cs="Arial"/>
                <w:sz w:val="22"/>
              </w:rPr>
            </w:pPr>
            <w:r w:rsidRPr="00527BAA">
              <w:rPr>
                <w:rFonts w:cs="Arial"/>
                <w:sz w:val="22"/>
              </w:rPr>
              <w:t>52</w:t>
            </w:r>
          </w:p>
        </w:tc>
      </w:tr>
      <w:tr w:rsidR="00990A91" w:rsidRPr="00527BAA" w14:paraId="746F63CE" w14:textId="77777777" w:rsidTr="00FA6199">
        <w:trPr>
          <w:trHeight w:val="804"/>
        </w:trPr>
        <w:tc>
          <w:tcPr>
            <w:tcW w:w="4285" w:type="dxa"/>
            <w:tcBorders>
              <w:top w:val="single" w:sz="4" w:space="0" w:color="auto"/>
              <w:left w:val="single" w:sz="4" w:space="0" w:color="auto"/>
              <w:bottom w:val="single" w:sz="4" w:space="0" w:color="auto"/>
              <w:right w:val="single" w:sz="4" w:space="0" w:color="auto"/>
            </w:tcBorders>
          </w:tcPr>
          <w:p w14:paraId="5C3F1DE6" w14:textId="4D4DABCF" w:rsidR="00990A91" w:rsidRPr="00527BAA" w:rsidRDefault="00990A91" w:rsidP="00990A91">
            <w:pPr>
              <w:spacing w:before="60" w:after="60" w:line="240" w:lineRule="auto"/>
              <w:rPr>
                <w:rFonts w:cs="Arial"/>
                <w:sz w:val="22"/>
              </w:rPr>
            </w:pPr>
            <w:r w:rsidRPr="00527BAA">
              <w:rPr>
                <w:rFonts w:cs="Arial"/>
                <w:sz w:val="22"/>
              </w:rPr>
              <w:t>Indicator 4: Nutritional status monitoring in primary care after bariatric surgery (new patients)</w:t>
            </w:r>
          </w:p>
        </w:tc>
        <w:tc>
          <w:tcPr>
            <w:tcW w:w="1132" w:type="dxa"/>
            <w:tcBorders>
              <w:top w:val="single" w:sz="4" w:space="0" w:color="auto"/>
              <w:left w:val="single" w:sz="4" w:space="0" w:color="auto"/>
              <w:bottom w:val="single" w:sz="4" w:space="0" w:color="auto"/>
              <w:right w:val="single" w:sz="4" w:space="0" w:color="auto"/>
            </w:tcBorders>
          </w:tcPr>
          <w:p w14:paraId="564059BC" w14:textId="77777777" w:rsidR="00990A91" w:rsidRPr="00527BAA" w:rsidRDefault="00990A91" w:rsidP="00990A91">
            <w:pPr>
              <w:spacing w:before="60" w:after="60" w:line="240" w:lineRule="auto"/>
              <w:jc w:val="center"/>
              <w:rPr>
                <w:rFonts w:cs="Arial"/>
                <w:sz w:val="22"/>
              </w:rPr>
            </w:pPr>
            <w:r w:rsidRPr="00527BAA">
              <w:rPr>
                <w:rFonts w:cs="Arial"/>
                <w:sz w:val="22"/>
              </w:rPr>
              <w:t>27</w:t>
            </w:r>
          </w:p>
          <w:p w14:paraId="7C6AD72B" w14:textId="32C79BBE" w:rsidR="00990A91" w:rsidRPr="00527BAA" w:rsidRDefault="00990A91" w:rsidP="00990A91">
            <w:pPr>
              <w:spacing w:before="60" w:after="60" w:line="240" w:lineRule="auto"/>
              <w:jc w:val="center"/>
              <w:rPr>
                <w:rFonts w:cs="Arial"/>
                <w:sz w:val="22"/>
              </w:rPr>
            </w:pPr>
            <w:r w:rsidRPr="00527BAA">
              <w:rPr>
                <w:rFonts w:cs="Arial"/>
                <w:sz w:val="22"/>
              </w:rPr>
              <w:t>(51.9%)</w:t>
            </w:r>
          </w:p>
        </w:tc>
        <w:tc>
          <w:tcPr>
            <w:tcW w:w="1129" w:type="dxa"/>
            <w:tcBorders>
              <w:top w:val="single" w:sz="4" w:space="0" w:color="auto"/>
              <w:left w:val="single" w:sz="4" w:space="0" w:color="auto"/>
              <w:bottom w:val="single" w:sz="4" w:space="0" w:color="auto"/>
              <w:right w:val="single" w:sz="4" w:space="0" w:color="auto"/>
            </w:tcBorders>
          </w:tcPr>
          <w:p w14:paraId="314EBCEE" w14:textId="77777777" w:rsidR="00990A91" w:rsidRPr="00527BAA" w:rsidRDefault="00990A91" w:rsidP="00990A91">
            <w:pPr>
              <w:spacing w:before="60" w:after="60" w:line="240" w:lineRule="auto"/>
              <w:jc w:val="center"/>
              <w:rPr>
                <w:rFonts w:cs="Arial"/>
                <w:sz w:val="22"/>
              </w:rPr>
            </w:pPr>
            <w:r w:rsidRPr="00527BAA">
              <w:rPr>
                <w:rFonts w:cs="Arial"/>
                <w:sz w:val="22"/>
              </w:rPr>
              <w:t>19</w:t>
            </w:r>
          </w:p>
          <w:p w14:paraId="29CD8BED" w14:textId="62F3DB34" w:rsidR="00990A91" w:rsidRPr="00527BAA" w:rsidRDefault="00990A91" w:rsidP="00990A91">
            <w:pPr>
              <w:spacing w:before="60" w:after="60" w:line="240" w:lineRule="auto"/>
              <w:jc w:val="center"/>
              <w:rPr>
                <w:rFonts w:cs="Arial"/>
                <w:sz w:val="22"/>
              </w:rPr>
            </w:pPr>
            <w:r w:rsidRPr="00527BAA">
              <w:rPr>
                <w:rFonts w:cs="Arial"/>
                <w:sz w:val="22"/>
              </w:rPr>
              <w:t>(36.5%)</w:t>
            </w:r>
          </w:p>
        </w:tc>
        <w:tc>
          <w:tcPr>
            <w:tcW w:w="992" w:type="dxa"/>
            <w:tcBorders>
              <w:top w:val="single" w:sz="4" w:space="0" w:color="auto"/>
              <w:left w:val="single" w:sz="4" w:space="0" w:color="auto"/>
              <w:bottom w:val="single" w:sz="4" w:space="0" w:color="auto"/>
              <w:right w:val="single" w:sz="4" w:space="0" w:color="auto"/>
            </w:tcBorders>
          </w:tcPr>
          <w:p w14:paraId="44DCCF8E" w14:textId="77777777" w:rsidR="00990A91" w:rsidRPr="00527BAA" w:rsidRDefault="00990A91" w:rsidP="00990A91">
            <w:pPr>
              <w:spacing w:before="60" w:after="60" w:line="240" w:lineRule="auto"/>
              <w:jc w:val="center"/>
              <w:rPr>
                <w:rFonts w:cs="Arial"/>
                <w:sz w:val="22"/>
              </w:rPr>
            </w:pPr>
            <w:r w:rsidRPr="00527BAA">
              <w:rPr>
                <w:rFonts w:cs="Arial"/>
                <w:sz w:val="22"/>
              </w:rPr>
              <w:t>2</w:t>
            </w:r>
          </w:p>
          <w:p w14:paraId="4D7DCDF3" w14:textId="61417ED7" w:rsidR="00990A91" w:rsidRPr="00527BAA" w:rsidRDefault="00990A91" w:rsidP="00990A91">
            <w:pPr>
              <w:spacing w:before="60" w:after="60" w:line="240" w:lineRule="auto"/>
              <w:jc w:val="center"/>
              <w:rPr>
                <w:rFonts w:cs="Arial"/>
                <w:sz w:val="22"/>
              </w:rPr>
            </w:pPr>
            <w:r w:rsidRPr="00527BAA">
              <w:rPr>
                <w:rFonts w:cs="Arial"/>
                <w:sz w:val="22"/>
              </w:rPr>
              <w:t>(3.8%)</w:t>
            </w:r>
          </w:p>
        </w:tc>
        <w:tc>
          <w:tcPr>
            <w:tcW w:w="987" w:type="dxa"/>
            <w:tcBorders>
              <w:top w:val="single" w:sz="4" w:space="0" w:color="auto"/>
              <w:left w:val="single" w:sz="4" w:space="0" w:color="auto"/>
              <w:bottom w:val="single" w:sz="4" w:space="0" w:color="auto"/>
              <w:right w:val="single" w:sz="4" w:space="0" w:color="auto"/>
            </w:tcBorders>
          </w:tcPr>
          <w:p w14:paraId="13DAA504" w14:textId="77777777" w:rsidR="00990A91" w:rsidRPr="00527BAA" w:rsidRDefault="00990A91" w:rsidP="00990A91">
            <w:pPr>
              <w:spacing w:before="60" w:after="60" w:line="240" w:lineRule="auto"/>
              <w:jc w:val="center"/>
              <w:rPr>
                <w:rFonts w:cs="Arial"/>
                <w:sz w:val="22"/>
              </w:rPr>
            </w:pPr>
            <w:r w:rsidRPr="00527BAA">
              <w:rPr>
                <w:rFonts w:cs="Arial"/>
                <w:sz w:val="22"/>
              </w:rPr>
              <w:t>4</w:t>
            </w:r>
          </w:p>
          <w:p w14:paraId="6E52CEB9" w14:textId="45F94D71" w:rsidR="00990A91" w:rsidRPr="00527BAA" w:rsidRDefault="00990A91" w:rsidP="00990A91">
            <w:pPr>
              <w:spacing w:before="60" w:after="60" w:line="240" w:lineRule="auto"/>
              <w:jc w:val="center"/>
              <w:rPr>
                <w:rFonts w:cs="Arial"/>
                <w:sz w:val="22"/>
              </w:rPr>
            </w:pPr>
            <w:r w:rsidRPr="00527BAA">
              <w:rPr>
                <w:rFonts w:cs="Arial"/>
                <w:sz w:val="22"/>
              </w:rPr>
              <w:t>(7.7%)</w:t>
            </w:r>
          </w:p>
        </w:tc>
        <w:tc>
          <w:tcPr>
            <w:tcW w:w="826" w:type="dxa"/>
            <w:tcBorders>
              <w:top w:val="single" w:sz="4" w:space="0" w:color="auto"/>
              <w:left w:val="single" w:sz="4" w:space="0" w:color="auto"/>
              <w:bottom w:val="single" w:sz="4" w:space="0" w:color="auto"/>
              <w:right w:val="single" w:sz="4" w:space="0" w:color="auto"/>
            </w:tcBorders>
          </w:tcPr>
          <w:p w14:paraId="79D17B2D" w14:textId="63A30A0F" w:rsidR="00990A91" w:rsidRPr="00527BAA" w:rsidRDefault="00990A91" w:rsidP="00990A91">
            <w:pPr>
              <w:spacing w:before="60" w:after="60" w:line="240" w:lineRule="auto"/>
              <w:jc w:val="center"/>
              <w:rPr>
                <w:rFonts w:cs="Arial"/>
                <w:sz w:val="22"/>
              </w:rPr>
            </w:pPr>
            <w:r w:rsidRPr="00527BAA">
              <w:rPr>
                <w:rFonts w:cs="Arial"/>
                <w:sz w:val="22"/>
              </w:rPr>
              <w:t>52</w:t>
            </w:r>
          </w:p>
        </w:tc>
      </w:tr>
    </w:tbl>
    <w:p w14:paraId="3DEC76C7" w14:textId="77777777" w:rsidR="0094530C" w:rsidRPr="00CB5DF2" w:rsidRDefault="0094530C" w:rsidP="0094530C">
      <w:pPr>
        <w:spacing w:line="312" w:lineRule="auto"/>
        <w:rPr>
          <w:sz w:val="22"/>
        </w:rPr>
      </w:pPr>
      <w:r w:rsidRPr="00CB5DF2">
        <w:rPr>
          <w:sz w:val="22"/>
        </w:rPr>
        <w:t>Please note where percentages do not total 100%, this is as a result of rounding.</w:t>
      </w:r>
    </w:p>
    <w:p w14:paraId="7E74EFCA" w14:textId="77777777" w:rsidR="0094530C" w:rsidRDefault="0094530C">
      <w:pPr>
        <w:spacing w:after="160" w:line="259" w:lineRule="auto"/>
        <w:rPr>
          <w:u w:val="single"/>
        </w:rPr>
      </w:pPr>
      <w:r>
        <w:rPr>
          <w:u w:val="single"/>
        </w:rPr>
        <w:br w:type="page"/>
      </w:r>
    </w:p>
    <w:p w14:paraId="6D4A7E19" w14:textId="4050FFDF" w:rsidR="0094530C" w:rsidRDefault="0094530C" w:rsidP="0094530C">
      <w:pPr>
        <w:spacing w:line="276" w:lineRule="auto"/>
        <w:rPr>
          <w:u w:val="single"/>
        </w:rPr>
      </w:pPr>
      <w:r w:rsidRPr="004B4482">
        <w:rPr>
          <w:u w:val="single"/>
        </w:rPr>
        <w:lastRenderedPageBreak/>
        <w:t>Table</w:t>
      </w:r>
      <w:r>
        <w:rPr>
          <w:u w:val="single"/>
        </w:rPr>
        <w:t xml:space="preserve"> 5b</w:t>
      </w:r>
      <w:r w:rsidRPr="004B4482">
        <w:rPr>
          <w:u w:val="single"/>
        </w:rPr>
        <w:t xml:space="preserve">: Views on </w:t>
      </w:r>
      <w:r>
        <w:rPr>
          <w:u w:val="single"/>
        </w:rPr>
        <w:t>additional administrative workload generated by the weight management</w:t>
      </w:r>
      <w:r w:rsidRPr="007B0CB4">
        <w:rPr>
          <w:u w:val="single"/>
        </w:rPr>
        <w:t xml:space="preserve">-related </w:t>
      </w:r>
      <w:r w:rsidRPr="001556F6">
        <w:rPr>
          <w:u w:val="single"/>
        </w:rPr>
        <w:t>indicator</w:t>
      </w:r>
      <w:r>
        <w:rPr>
          <w:u w:val="single"/>
        </w:rPr>
        <w:t>s</w:t>
      </w:r>
      <w:r w:rsidRPr="007B0CB4">
        <w:rPr>
          <w:u w:val="single"/>
        </w:rPr>
        <w:t xml:space="preserve"> </w:t>
      </w:r>
      <w:r w:rsidRPr="004B4482">
        <w:rPr>
          <w:u w:val="single"/>
        </w:rPr>
        <w:t>(survey)</w:t>
      </w:r>
    </w:p>
    <w:p w14:paraId="00E39C65" w14:textId="36F38397" w:rsidR="00780FA2" w:rsidRDefault="00780FA2" w:rsidP="0094530C">
      <w:pPr>
        <w:spacing w:line="276" w:lineRule="auto"/>
        <w:rPr>
          <w:u w:val="single"/>
        </w:rPr>
      </w:pPr>
      <w:r w:rsidRPr="008C7154">
        <w:rPr>
          <w:b/>
          <w:sz w:val="22"/>
        </w:rPr>
        <w:t xml:space="preserve">Will the requirements relating to </w:t>
      </w:r>
      <w:r>
        <w:rPr>
          <w:b/>
          <w:sz w:val="22"/>
        </w:rPr>
        <w:t>the</w:t>
      </w:r>
      <w:r w:rsidRPr="008C7154">
        <w:rPr>
          <w:b/>
          <w:sz w:val="22"/>
        </w:rPr>
        <w:t xml:space="preserve"> indicator generate additional </w:t>
      </w:r>
      <w:r>
        <w:rPr>
          <w:b/>
          <w:sz w:val="22"/>
        </w:rPr>
        <w:t>ADMINISTRATIVE</w:t>
      </w:r>
      <w:r w:rsidRPr="008C7154">
        <w:rPr>
          <w:b/>
          <w:sz w:val="22"/>
        </w:rPr>
        <w:t xml:space="preserve"> workload?</w:t>
      </w:r>
    </w:p>
    <w:tbl>
      <w:tblPr>
        <w:tblStyle w:val="TableGrid"/>
        <w:tblW w:w="9351" w:type="dxa"/>
        <w:tblLook w:val="04A0" w:firstRow="1" w:lastRow="0" w:firstColumn="1" w:lastColumn="0" w:noHBand="0" w:noVBand="1"/>
      </w:tblPr>
      <w:tblGrid>
        <w:gridCol w:w="4285"/>
        <w:gridCol w:w="1132"/>
        <w:gridCol w:w="1129"/>
        <w:gridCol w:w="992"/>
        <w:gridCol w:w="987"/>
        <w:gridCol w:w="826"/>
      </w:tblGrid>
      <w:tr w:rsidR="0094530C" w:rsidRPr="00527BAA" w14:paraId="35A9CC63" w14:textId="77777777" w:rsidTr="00CA6237">
        <w:tc>
          <w:tcPr>
            <w:tcW w:w="4285" w:type="dxa"/>
            <w:tcBorders>
              <w:top w:val="single" w:sz="4" w:space="0" w:color="auto"/>
              <w:left w:val="single" w:sz="4" w:space="0" w:color="auto"/>
              <w:bottom w:val="single" w:sz="4" w:space="0" w:color="auto"/>
              <w:right w:val="single" w:sz="4" w:space="0" w:color="auto"/>
            </w:tcBorders>
          </w:tcPr>
          <w:p w14:paraId="785AD6B2" w14:textId="77777777" w:rsidR="0094530C" w:rsidRPr="00527BAA" w:rsidRDefault="0094530C" w:rsidP="00CA6237">
            <w:pPr>
              <w:spacing w:before="60" w:after="60" w:line="240" w:lineRule="auto"/>
              <w:rPr>
                <w:rFonts w:cs="Arial"/>
                <w:sz w:val="22"/>
              </w:rPr>
            </w:pPr>
          </w:p>
        </w:tc>
        <w:tc>
          <w:tcPr>
            <w:tcW w:w="1132" w:type="dxa"/>
            <w:tcBorders>
              <w:top w:val="single" w:sz="4" w:space="0" w:color="auto"/>
              <w:left w:val="single" w:sz="4" w:space="0" w:color="auto"/>
              <w:bottom w:val="single" w:sz="4" w:space="0" w:color="auto"/>
              <w:right w:val="single" w:sz="4" w:space="0" w:color="auto"/>
            </w:tcBorders>
            <w:hideMark/>
          </w:tcPr>
          <w:p w14:paraId="4FEB7462" w14:textId="77777777" w:rsidR="0094530C" w:rsidRPr="00527BAA" w:rsidRDefault="0094530C" w:rsidP="00CA6237">
            <w:pPr>
              <w:spacing w:before="60" w:after="60" w:line="240" w:lineRule="auto"/>
              <w:jc w:val="center"/>
              <w:rPr>
                <w:rFonts w:cs="Arial"/>
                <w:sz w:val="22"/>
              </w:rPr>
            </w:pPr>
            <w:r w:rsidRPr="00527BAA">
              <w:rPr>
                <w:rFonts w:cs="Arial"/>
                <w:sz w:val="22"/>
              </w:rPr>
              <w:t>Yes, definitely</w:t>
            </w:r>
          </w:p>
        </w:tc>
        <w:tc>
          <w:tcPr>
            <w:tcW w:w="1129" w:type="dxa"/>
            <w:tcBorders>
              <w:top w:val="single" w:sz="4" w:space="0" w:color="auto"/>
              <w:left w:val="single" w:sz="4" w:space="0" w:color="auto"/>
              <w:bottom w:val="single" w:sz="4" w:space="0" w:color="auto"/>
              <w:right w:val="single" w:sz="4" w:space="0" w:color="auto"/>
            </w:tcBorders>
            <w:hideMark/>
          </w:tcPr>
          <w:p w14:paraId="16DCA80C" w14:textId="77777777" w:rsidR="0094530C" w:rsidRPr="00527BAA" w:rsidRDefault="0094530C" w:rsidP="00CA6237">
            <w:pPr>
              <w:spacing w:before="60" w:after="60" w:line="240" w:lineRule="auto"/>
              <w:jc w:val="center"/>
              <w:rPr>
                <w:rFonts w:cs="Arial"/>
                <w:sz w:val="22"/>
              </w:rPr>
            </w:pPr>
            <w:r w:rsidRPr="00527BAA">
              <w:rPr>
                <w:rFonts w:cs="Arial"/>
                <w:sz w:val="22"/>
              </w:rPr>
              <w:t xml:space="preserve">Yes, to some extent </w:t>
            </w:r>
          </w:p>
        </w:tc>
        <w:tc>
          <w:tcPr>
            <w:tcW w:w="992" w:type="dxa"/>
            <w:tcBorders>
              <w:top w:val="single" w:sz="4" w:space="0" w:color="auto"/>
              <w:left w:val="single" w:sz="4" w:space="0" w:color="auto"/>
              <w:bottom w:val="single" w:sz="4" w:space="0" w:color="auto"/>
              <w:right w:val="single" w:sz="4" w:space="0" w:color="auto"/>
            </w:tcBorders>
            <w:hideMark/>
          </w:tcPr>
          <w:p w14:paraId="2A27A309" w14:textId="77777777" w:rsidR="0094530C" w:rsidRPr="00527BAA" w:rsidRDefault="0094530C" w:rsidP="00CA6237">
            <w:pPr>
              <w:spacing w:before="60" w:after="60" w:line="240" w:lineRule="auto"/>
              <w:jc w:val="center"/>
              <w:rPr>
                <w:rFonts w:cs="Arial"/>
                <w:sz w:val="22"/>
              </w:rPr>
            </w:pPr>
            <w:r w:rsidRPr="00527BAA">
              <w:rPr>
                <w:rFonts w:cs="Arial"/>
                <w:sz w:val="22"/>
              </w:rPr>
              <w:t>No</w:t>
            </w:r>
          </w:p>
        </w:tc>
        <w:tc>
          <w:tcPr>
            <w:tcW w:w="987" w:type="dxa"/>
            <w:tcBorders>
              <w:top w:val="single" w:sz="4" w:space="0" w:color="auto"/>
              <w:left w:val="single" w:sz="4" w:space="0" w:color="auto"/>
              <w:bottom w:val="single" w:sz="4" w:space="0" w:color="auto"/>
              <w:right w:val="single" w:sz="4" w:space="0" w:color="auto"/>
            </w:tcBorders>
          </w:tcPr>
          <w:p w14:paraId="4DA65F78" w14:textId="77777777" w:rsidR="0094530C" w:rsidRPr="00527BAA" w:rsidRDefault="0094530C" w:rsidP="00CA6237">
            <w:pPr>
              <w:spacing w:before="60" w:after="60" w:line="240" w:lineRule="auto"/>
              <w:jc w:val="center"/>
              <w:rPr>
                <w:rFonts w:cs="Arial"/>
                <w:sz w:val="22"/>
              </w:rPr>
            </w:pPr>
            <w:r w:rsidRPr="00527BAA">
              <w:rPr>
                <w:rFonts w:cs="Arial"/>
                <w:sz w:val="22"/>
              </w:rPr>
              <w:t>Unsure</w:t>
            </w:r>
          </w:p>
        </w:tc>
        <w:tc>
          <w:tcPr>
            <w:tcW w:w="826" w:type="dxa"/>
            <w:tcBorders>
              <w:top w:val="single" w:sz="4" w:space="0" w:color="auto"/>
              <w:left w:val="single" w:sz="4" w:space="0" w:color="auto"/>
              <w:bottom w:val="single" w:sz="4" w:space="0" w:color="auto"/>
              <w:right w:val="single" w:sz="4" w:space="0" w:color="auto"/>
            </w:tcBorders>
            <w:hideMark/>
          </w:tcPr>
          <w:p w14:paraId="02A95836" w14:textId="77777777" w:rsidR="0094530C" w:rsidRPr="00527BAA" w:rsidRDefault="0094530C" w:rsidP="00CA6237">
            <w:pPr>
              <w:spacing w:before="60" w:after="60" w:line="240" w:lineRule="auto"/>
              <w:jc w:val="center"/>
              <w:rPr>
                <w:rFonts w:cs="Arial"/>
                <w:sz w:val="22"/>
              </w:rPr>
            </w:pPr>
            <w:r w:rsidRPr="00527BAA">
              <w:rPr>
                <w:rFonts w:cs="Arial"/>
                <w:sz w:val="22"/>
              </w:rPr>
              <w:t>Total</w:t>
            </w:r>
          </w:p>
        </w:tc>
      </w:tr>
      <w:tr w:rsidR="0094530C" w:rsidRPr="00527BAA" w14:paraId="70E5E71C" w14:textId="77777777" w:rsidTr="00CA6237">
        <w:trPr>
          <w:trHeight w:val="804"/>
        </w:trPr>
        <w:tc>
          <w:tcPr>
            <w:tcW w:w="4285" w:type="dxa"/>
            <w:tcBorders>
              <w:top w:val="single" w:sz="4" w:space="0" w:color="auto"/>
              <w:left w:val="single" w:sz="4" w:space="0" w:color="auto"/>
              <w:bottom w:val="single" w:sz="4" w:space="0" w:color="auto"/>
              <w:right w:val="single" w:sz="4" w:space="0" w:color="auto"/>
            </w:tcBorders>
            <w:hideMark/>
          </w:tcPr>
          <w:p w14:paraId="4E12B15B" w14:textId="77777777" w:rsidR="0094530C" w:rsidRPr="00527BAA" w:rsidRDefault="0094530C" w:rsidP="00CA6237">
            <w:pPr>
              <w:spacing w:before="60" w:after="60" w:line="240" w:lineRule="auto"/>
              <w:rPr>
                <w:rFonts w:cs="Arial"/>
                <w:sz w:val="22"/>
              </w:rPr>
            </w:pPr>
            <w:r w:rsidRPr="00527BAA">
              <w:rPr>
                <w:rFonts w:cs="Arial"/>
                <w:sz w:val="22"/>
              </w:rPr>
              <w:t>Indicator 1: Weight management advice</w:t>
            </w:r>
          </w:p>
        </w:tc>
        <w:tc>
          <w:tcPr>
            <w:tcW w:w="1132" w:type="dxa"/>
            <w:tcBorders>
              <w:top w:val="single" w:sz="4" w:space="0" w:color="auto"/>
              <w:left w:val="single" w:sz="4" w:space="0" w:color="auto"/>
              <w:bottom w:val="single" w:sz="4" w:space="0" w:color="auto"/>
              <w:right w:val="single" w:sz="4" w:space="0" w:color="auto"/>
            </w:tcBorders>
          </w:tcPr>
          <w:p w14:paraId="3E2AD42A" w14:textId="77777777" w:rsidR="0094530C" w:rsidRPr="00527BAA" w:rsidRDefault="0094530C" w:rsidP="00CA6237">
            <w:pPr>
              <w:spacing w:before="60" w:after="60" w:line="240" w:lineRule="auto"/>
              <w:jc w:val="center"/>
              <w:rPr>
                <w:rFonts w:cs="Arial"/>
                <w:sz w:val="22"/>
              </w:rPr>
            </w:pPr>
            <w:r w:rsidRPr="00527BAA">
              <w:rPr>
                <w:rFonts w:cs="Arial"/>
                <w:sz w:val="22"/>
              </w:rPr>
              <w:t>27</w:t>
            </w:r>
          </w:p>
          <w:p w14:paraId="0C1A1C83" w14:textId="77777777" w:rsidR="0094530C" w:rsidRPr="00527BAA" w:rsidRDefault="0094530C" w:rsidP="00CA6237">
            <w:pPr>
              <w:spacing w:before="60" w:after="60" w:line="240" w:lineRule="auto"/>
              <w:jc w:val="center"/>
              <w:rPr>
                <w:rFonts w:cs="Arial"/>
                <w:sz w:val="22"/>
              </w:rPr>
            </w:pPr>
            <w:r w:rsidRPr="00527BAA">
              <w:rPr>
                <w:rFonts w:cs="Arial"/>
                <w:sz w:val="22"/>
              </w:rPr>
              <w:t>(51.9%)</w:t>
            </w:r>
          </w:p>
        </w:tc>
        <w:tc>
          <w:tcPr>
            <w:tcW w:w="1129" w:type="dxa"/>
            <w:tcBorders>
              <w:top w:val="single" w:sz="4" w:space="0" w:color="auto"/>
              <w:left w:val="single" w:sz="4" w:space="0" w:color="auto"/>
              <w:bottom w:val="single" w:sz="4" w:space="0" w:color="auto"/>
              <w:right w:val="single" w:sz="4" w:space="0" w:color="auto"/>
            </w:tcBorders>
          </w:tcPr>
          <w:p w14:paraId="60C48B7B" w14:textId="77777777" w:rsidR="0094530C" w:rsidRPr="00527BAA" w:rsidRDefault="0094530C" w:rsidP="00CA6237">
            <w:pPr>
              <w:spacing w:before="60" w:after="60" w:line="240" w:lineRule="auto"/>
              <w:jc w:val="center"/>
              <w:rPr>
                <w:rFonts w:cs="Arial"/>
                <w:sz w:val="22"/>
              </w:rPr>
            </w:pPr>
            <w:r w:rsidRPr="00527BAA">
              <w:rPr>
                <w:rFonts w:cs="Arial"/>
                <w:sz w:val="22"/>
              </w:rPr>
              <w:t>18</w:t>
            </w:r>
          </w:p>
          <w:p w14:paraId="6F27C8DE" w14:textId="77777777" w:rsidR="0094530C" w:rsidRPr="00527BAA" w:rsidRDefault="0094530C" w:rsidP="00CA6237">
            <w:pPr>
              <w:spacing w:before="60" w:after="60" w:line="240" w:lineRule="auto"/>
              <w:jc w:val="center"/>
              <w:rPr>
                <w:rFonts w:cs="Arial"/>
                <w:sz w:val="22"/>
              </w:rPr>
            </w:pPr>
            <w:r w:rsidRPr="00527BAA">
              <w:rPr>
                <w:rFonts w:cs="Arial"/>
                <w:sz w:val="22"/>
              </w:rPr>
              <w:t>(34.6%)</w:t>
            </w:r>
          </w:p>
        </w:tc>
        <w:tc>
          <w:tcPr>
            <w:tcW w:w="992" w:type="dxa"/>
            <w:tcBorders>
              <w:top w:val="single" w:sz="4" w:space="0" w:color="auto"/>
              <w:left w:val="single" w:sz="4" w:space="0" w:color="auto"/>
              <w:bottom w:val="single" w:sz="4" w:space="0" w:color="auto"/>
              <w:right w:val="single" w:sz="4" w:space="0" w:color="auto"/>
            </w:tcBorders>
          </w:tcPr>
          <w:p w14:paraId="6451EF06" w14:textId="77777777" w:rsidR="0094530C" w:rsidRPr="00527BAA" w:rsidRDefault="0094530C" w:rsidP="00CA6237">
            <w:pPr>
              <w:spacing w:before="60" w:after="60" w:line="240" w:lineRule="auto"/>
              <w:jc w:val="center"/>
              <w:rPr>
                <w:rFonts w:cs="Arial"/>
                <w:sz w:val="22"/>
              </w:rPr>
            </w:pPr>
            <w:r w:rsidRPr="00527BAA">
              <w:rPr>
                <w:rFonts w:cs="Arial"/>
                <w:sz w:val="22"/>
              </w:rPr>
              <w:t>3</w:t>
            </w:r>
          </w:p>
          <w:p w14:paraId="364B951E" w14:textId="77777777" w:rsidR="0094530C" w:rsidRPr="00527BAA" w:rsidRDefault="0094530C" w:rsidP="00CA6237">
            <w:pPr>
              <w:spacing w:before="60" w:after="60" w:line="240" w:lineRule="auto"/>
              <w:jc w:val="center"/>
              <w:rPr>
                <w:rFonts w:cs="Arial"/>
                <w:sz w:val="22"/>
              </w:rPr>
            </w:pPr>
            <w:r w:rsidRPr="00527BAA">
              <w:rPr>
                <w:rFonts w:cs="Arial"/>
                <w:sz w:val="22"/>
              </w:rPr>
              <w:t>(5.8%)</w:t>
            </w:r>
          </w:p>
        </w:tc>
        <w:tc>
          <w:tcPr>
            <w:tcW w:w="987" w:type="dxa"/>
            <w:tcBorders>
              <w:top w:val="single" w:sz="4" w:space="0" w:color="auto"/>
              <w:left w:val="single" w:sz="4" w:space="0" w:color="auto"/>
              <w:bottom w:val="single" w:sz="4" w:space="0" w:color="auto"/>
              <w:right w:val="single" w:sz="4" w:space="0" w:color="auto"/>
            </w:tcBorders>
          </w:tcPr>
          <w:p w14:paraId="0CA474DF" w14:textId="77777777" w:rsidR="0094530C" w:rsidRPr="00527BAA" w:rsidRDefault="0094530C" w:rsidP="00CA6237">
            <w:pPr>
              <w:spacing w:before="60" w:after="60" w:line="240" w:lineRule="auto"/>
              <w:jc w:val="center"/>
              <w:rPr>
                <w:rFonts w:cs="Arial"/>
                <w:sz w:val="22"/>
              </w:rPr>
            </w:pPr>
            <w:r w:rsidRPr="00527BAA">
              <w:rPr>
                <w:rFonts w:cs="Arial"/>
                <w:sz w:val="22"/>
              </w:rPr>
              <w:t>4</w:t>
            </w:r>
          </w:p>
          <w:p w14:paraId="1C2441BE" w14:textId="77777777" w:rsidR="0094530C" w:rsidRPr="00527BAA" w:rsidRDefault="0094530C" w:rsidP="00CA6237">
            <w:pPr>
              <w:spacing w:before="60" w:after="60" w:line="240" w:lineRule="auto"/>
              <w:jc w:val="center"/>
              <w:rPr>
                <w:rFonts w:cs="Arial"/>
                <w:sz w:val="22"/>
              </w:rPr>
            </w:pPr>
            <w:r w:rsidRPr="00527BAA">
              <w:rPr>
                <w:rFonts w:cs="Arial"/>
                <w:sz w:val="22"/>
              </w:rPr>
              <w:t>(7.7%)</w:t>
            </w:r>
          </w:p>
        </w:tc>
        <w:tc>
          <w:tcPr>
            <w:tcW w:w="826" w:type="dxa"/>
            <w:tcBorders>
              <w:top w:val="single" w:sz="4" w:space="0" w:color="auto"/>
              <w:left w:val="single" w:sz="4" w:space="0" w:color="auto"/>
              <w:bottom w:val="single" w:sz="4" w:space="0" w:color="auto"/>
              <w:right w:val="single" w:sz="4" w:space="0" w:color="auto"/>
            </w:tcBorders>
          </w:tcPr>
          <w:p w14:paraId="35FAC860" w14:textId="77777777" w:rsidR="0094530C" w:rsidRPr="00527BAA" w:rsidRDefault="0094530C" w:rsidP="00CA6237">
            <w:pPr>
              <w:spacing w:before="60" w:after="60" w:line="240" w:lineRule="auto"/>
              <w:jc w:val="center"/>
              <w:rPr>
                <w:rFonts w:cs="Arial"/>
                <w:sz w:val="22"/>
              </w:rPr>
            </w:pPr>
            <w:r w:rsidRPr="00527BAA">
              <w:rPr>
                <w:rFonts w:cs="Arial"/>
                <w:sz w:val="22"/>
              </w:rPr>
              <w:t>52</w:t>
            </w:r>
          </w:p>
        </w:tc>
      </w:tr>
      <w:tr w:rsidR="0094530C" w:rsidRPr="00527BAA" w14:paraId="570AC9FA" w14:textId="77777777" w:rsidTr="00CA6237">
        <w:trPr>
          <w:trHeight w:val="804"/>
        </w:trPr>
        <w:tc>
          <w:tcPr>
            <w:tcW w:w="4285" w:type="dxa"/>
            <w:tcBorders>
              <w:top w:val="single" w:sz="4" w:space="0" w:color="auto"/>
              <w:left w:val="single" w:sz="4" w:space="0" w:color="auto"/>
              <w:bottom w:val="single" w:sz="4" w:space="0" w:color="auto"/>
              <w:right w:val="single" w:sz="4" w:space="0" w:color="auto"/>
            </w:tcBorders>
          </w:tcPr>
          <w:p w14:paraId="3EE00E04" w14:textId="77777777" w:rsidR="0094530C" w:rsidRPr="00527BAA" w:rsidRDefault="0094530C" w:rsidP="00CA6237">
            <w:pPr>
              <w:spacing w:before="60" w:after="60" w:line="240" w:lineRule="auto"/>
              <w:rPr>
                <w:rFonts w:cs="Arial"/>
                <w:sz w:val="22"/>
              </w:rPr>
            </w:pPr>
            <w:r w:rsidRPr="00527BAA">
              <w:rPr>
                <w:rFonts w:cs="Arial"/>
                <w:sz w:val="22"/>
              </w:rPr>
              <w:t>Indicator 2: Referral for bariatric surgery</w:t>
            </w:r>
          </w:p>
        </w:tc>
        <w:tc>
          <w:tcPr>
            <w:tcW w:w="1132" w:type="dxa"/>
            <w:tcBorders>
              <w:top w:val="single" w:sz="4" w:space="0" w:color="auto"/>
              <w:left w:val="single" w:sz="4" w:space="0" w:color="auto"/>
              <w:bottom w:val="single" w:sz="4" w:space="0" w:color="auto"/>
              <w:right w:val="single" w:sz="4" w:space="0" w:color="auto"/>
            </w:tcBorders>
          </w:tcPr>
          <w:p w14:paraId="34867836" w14:textId="77777777" w:rsidR="0094530C" w:rsidRPr="00527BAA" w:rsidRDefault="0094530C" w:rsidP="00CA6237">
            <w:pPr>
              <w:spacing w:before="60" w:after="60" w:line="240" w:lineRule="auto"/>
              <w:jc w:val="center"/>
              <w:rPr>
                <w:rFonts w:cs="Arial"/>
                <w:sz w:val="22"/>
              </w:rPr>
            </w:pPr>
            <w:r w:rsidRPr="00527BAA">
              <w:rPr>
                <w:rFonts w:cs="Arial"/>
                <w:sz w:val="22"/>
              </w:rPr>
              <w:t>26</w:t>
            </w:r>
          </w:p>
          <w:p w14:paraId="25BE7168" w14:textId="77777777" w:rsidR="0094530C" w:rsidRPr="00527BAA" w:rsidRDefault="0094530C" w:rsidP="00CA6237">
            <w:pPr>
              <w:spacing w:before="60" w:after="60" w:line="240" w:lineRule="auto"/>
              <w:jc w:val="center"/>
              <w:rPr>
                <w:rFonts w:cs="Arial"/>
                <w:sz w:val="22"/>
              </w:rPr>
            </w:pPr>
            <w:r w:rsidRPr="00527BAA">
              <w:rPr>
                <w:rFonts w:cs="Arial"/>
                <w:sz w:val="22"/>
              </w:rPr>
              <w:t>(50.0%)</w:t>
            </w:r>
          </w:p>
        </w:tc>
        <w:tc>
          <w:tcPr>
            <w:tcW w:w="1129" w:type="dxa"/>
            <w:tcBorders>
              <w:top w:val="single" w:sz="4" w:space="0" w:color="auto"/>
              <w:left w:val="single" w:sz="4" w:space="0" w:color="auto"/>
              <w:bottom w:val="single" w:sz="4" w:space="0" w:color="auto"/>
              <w:right w:val="single" w:sz="4" w:space="0" w:color="auto"/>
            </w:tcBorders>
          </w:tcPr>
          <w:p w14:paraId="161168B1" w14:textId="77777777" w:rsidR="0094530C" w:rsidRPr="00527BAA" w:rsidRDefault="0094530C" w:rsidP="00CA6237">
            <w:pPr>
              <w:spacing w:before="60" w:after="60" w:line="240" w:lineRule="auto"/>
              <w:jc w:val="center"/>
              <w:rPr>
                <w:rFonts w:cs="Arial"/>
                <w:sz w:val="22"/>
              </w:rPr>
            </w:pPr>
            <w:r w:rsidRPr="00527BAA">
              <w:rPr>
                <w:rFonts w:cs="Arial"/>
                <w:sz w:val="22"/>
              </w:rPr>
              <w:t>20</w:t>
            </w:r>
          </w:p>
          <w:p w14:paraId="34EA13D6" w14:textId="77777777" w:rsidR="0094530C" w:rsidRPr="00527BAA" w:rsidRDefault="0094530C" w:rsidP="00CA6237">
            <w:pPr>
              <w:spacing w:before="60" w:after="60" w:line="240" w:lineRule="auto"/>
              <w:jc w:val="center"/>
              <w:rPr>
                <w:rFonts w:cs="Arial"/>
                <w:sz w:val="22"/>
              </w:rPr>
            </w:pPr>
            <w:r w:rsidRPr="00527BAA">
              <w:rPr>
                <w:rFonts w:cs="Arial"/>
                <w:sz w:val="22"/>
              </w:rPr>
              <w:t>(38.5%)</w:t>
            </w:r>
          </w:p>
        </w:tc>
        <w:tc>
          <w:tcPr>
            <w:tcW w:w="992" w:type="dxa"/>
            <w:tcBorders>
              <w:top w:val="single" w:sz="4" w:space="0" w:color="auto"/>
              <w:left w:val="single" w:sz="4" w:space="0" w:color="auto"/>
              <w:bottom w:val="single" w:sz="4" w:space="0" w:color="auto"/>
              <w:right w:val="single" w:sz="4" w:space="0" w:color="auto"/>
            </w:tcBorders>
          </w:tcPr>
          <w:p w14:paraId="1307C1CD" w14:textId="77777777" w:rsidR="0094530C" w:rsidRPr="00527BAA" w:rsidRDefault="0094530C" w:rsidP="00CA6237">
            <w:pPr>
              <w:spacing w:before="60" w:after="60" w:line="240" w:lineRule="auto"/>
              <w:jc w:val="center"/>
              <w:rPr>
                <w:rFonts w:cs="Arial"/>
                <w:sz w:val="22"/>
              </w:rPr>
            </w:pPr>
            <w:r w:rsidRPr="00527BAA">
              <w:rPr>
                <w:rFonts w:cs="Arial"/>
                <w:sz w:val="22"/>
              </w:rPr>
              <w:t>2</w:t>
            </w:r>
          </w:p>
          <w:p w14:paraId="2BA28CC5" w14:textId="77777777" w:rsidR="0094530C" w:rsidRPr="00527BAA" w:rsidRDefault="0094530C" w:rsidP="00CA6237">
            <w:pPr>
              <w:spacing w:before="60" w:after="60" w:line="240" w:lineRule="auto"/>
              <w:jc w:val="center"/>
              <w:rPr>
                <w:rFonts w:cs="Arial"/>
                <w:sz w:val="22"/>
              </w:rPr>
            </w:pPr>
            <w:r w:rsidRPr="00527BAA">
              <w:rPr>
                <w:rFonts w:cs="Arial"/>
                <w:sz w:val="22"/>
              </w:rPr>
              <w:t>(3.8%)</w:t>
            </w:r>
          </w:p>
        </w:tc>
        <w:tc>
          <w:tcPr>
            <w:tcW w:w="987" w:type="dxa"/>
            <w:tcBorders>
              <w:top w:val="single" w:sz="4" w:space="0" w:color="auto"/>
              <w:left w:val="single" w:sz="4" w:space="0" w:color="auto"/>
              <w:bottom w:val="single" w:sz="4" w:space="0" w:color="auto"/>
              <w:right w:val="single" w:sz="4" w:space="0" w:color="auto"/>
            </w:tcBorders>
          </w:tcPr>
          <w:p w14:paraId="15FF3D5B" w14:textId="77777777" w:rsidR="0094530C" w:rsidRPr="00527BAA" w:rsidRDefault="0094530C" w:rsidP="00CA6237">
            <w:pPr>
              <w:spacing w:before="60" w:after="60" w:line="240" w:lineRule="auto"/>
              <w:jc w:val="center"/>
              <w:rPr>
                <w:rFonts w:cs="Arial"/>
                <w:sz w:val="22"/>
              </w:rPr>
            </w:pPr>
            <w:r w:rsidRPr="00527BAA">
              <w:rPr>
                <w:rFonts w:cs="Arial"/>
                <w:sz w:val="22"/>
              </w:rPr>
              <w:t>4</w:t>
            </w:r>
          </w:p>
          <w:p w14:paraId="7BE19316" w14:textId="77777777" w:rsidR="0094530C" w:rsidRPr="00527BAA" w:rsidRDefault="0094530C" w:rsidP="00CA6237">
            <w:pPr>
              <w:spacing w:before="60" w:after="60" w:line="240" w:lineRule="auto"/>
              <w:jc w:val="center"/>
              <w:rPr>
                <w:rFonts w:cs="Arial"/>
                <w:sz w:val="22"/>
              </w:rPr>
            </w:pPr>
            <w:r w:rsidRPr="00527BAA">
              <w:rPr>
                <w:rFonts w:cs="Arial"/>
                <w:sz w:val="22"/>
              </w:rPr>
              <w:t>(7.7%)</w:t>
            </w:r>
          </w:p>
        </w:tc>
        <w:tc>
          <w:tcPr>
            <w:tcW w:w="826" w:type="dxa"/>
            <w:tcBorders>
              <w:top w:val="single" w:sz="4" w:space="0" w:color="auto"/>
              <w:left w:val="single" w:sz="4" w:space="0" w:color="auto"/>
              <w:bottom w:val="single" w:sz="4" w:space="0" w:color="auto"/>
              <w:right w:val="single" w:sz="4" w:space="0" w:color="auto"/>
            </w:tcBorders>
          </w:tcPr>
          <w:p w14:paraId="17D4BAB1" w14:textId="77777777" w:rsidR="0094530C" w:rsidRPr="00527BAA" w:rsidRDefault="0094530C" w:rsidP="00CA6237">
            <w:pPr>
              <w:spacing w:before="60" w:after="60" w:line="240" w:lineRule="auto"/>
              <w:jc w:val="center"/>
              <w:rPr>
                <w:rFonts w:cs="Arial"/>
                <w:sz w:val="22"/>
              </w:rPr>
            </w:pPr>
            <w:r w:rsidRPr="00527BAA">
              <w:rPr>
                <w:rFonts w:cs="Arial"/>
                <w:sz w:val="22"/>
              </w:rPr>
              <w:t>52</w:t>
            </w:r>
          </w:p>
        </w:tc>
      </w:tr>
      <w:tr w:rsidR="0094530C" w:rsidRPr="00527BAA" w14:paraId="2BC76973" w14:textId="77777777" w:rsidTr="00CA6237">
        <w:trPr>
          <w:trHeight w:val="804"/>
        </w:trPr>
        <w:tc>
          <w:tcPr>
            <w:tcW w:w="4285" w:type="dxa"/>
            <w:tcBorders>
              <w:top w:val="single" w:sz="4" w:space="0" w:color="auto"/>
              <w:left w:val="single" w:sz="4" w:space="0" w:color="auto"/>
              <w:bottom w:val="single" w:sz="4" w:space="0" w:color="auto"/>
              <w:right w:val="single" w:sz="4" w:space="0" w:color="auto"/>
            </w:tcBorders>
          </w:tcPr>
          <w:p w14:paraId="53F36611" w14:textId="77777777" w:rsidR="0094530C" w:rsidRPr="00527BAA" w:rsidRDefault="0094530C" w:rsidP="00CA6237">
            <w:pPr>
              <w:spacing w:before="60" w:after="60" w:line="240" w:lineRule="auto"/>
              <w:rPr>
                <w:rFonts w:cs="Arial"/>
                <w:sz w:val="22"/>
              </w:rPr>
            </w:pPr>
            <w:r w:rsidRPr="00527BAA">
              <w:rPr>
                <w:rFonts w:cs="Arial"/>
                <w:sz w:val="22"/>
              </w:rPr>
              <w:t>Indicator 3: Nutritional status monitoring in primary care after bariatric surgery (all patients)</w:t>
            </w:r>
          </w:p>
        </w:tc>
        <w:tc>
          <w:tcPr>
            <w:tcW w:w="1132" w:type="dxa"/>
            <w:tcBorders>
              <w:top w:val="single" w:sz="4" w:space="0" w:color="auto"/>
              <w:left w:val="single" w:sz="4" w:space="0" w:color="auto"/>
              <w:bottom w:val="single" w:sz="4" w:space="0" w:color="auto"/>
              <w:right w:val="single" w:sz="4" w:space="0" w:color="auto"/>
            </w:tcBorders>
          </w:tcPr>
          <w:p w14:paraId="3B9F89BF" w14:textId="77777777" w:rsidR="0094530C" w:rsidRPr="00527BAA" w:rsidRDefault="0094530C" w:rsidP="00CA6237">
            <w:pPr>
              <w:spacing w:before="60" w:after="60" w:line="240" w:lineRule="auto"/>
              <w:jc w:val="center"/>
              <w:rPr>
                <w:rFonts w:cs="Arial"/>
                <w:sz w:val="22"/>
              </w:rPr>
            </w:pPr>
            <w:r w:rsidRPr="00527BAA">
              <w:rPr>
                <w:rFonts w:cs="Arial"/>
                <w:sz w:val="22"/>
              </w:rPr>
              <w:t>26</w:t>
            </w:r>
          </w:p>
          <w:p w14:paraId="7274299E" w14:textId="77777777" w:rsidR="0094530C" w:rsidRPr="00527BAA" w:rsidRDefault="0094530C" w:rsidP="00CA6237">
            <w:pPr>
              <w:spacing w:before="60" w:after="60" w:line="240" w:lineRule="auto"/>
              <w:jc w:val="center"/>
              <w:rPr>
                <w:rFonts w:cs="Arial"/>
                <w:sz w:val="22"/>
              </w:rPr>
            </w:pPr>
            <w:r w:rsidRPr="00527BAA">
              <w:rPr>
                <w:rFonts w:cs="Arial"/>
                <w:sz w:val="22"/>
              </w:rPr>
              <w:t>(50.0%)</w:t>
            </w:r>
          </w:p>
        </w:tc>
        <w:tc>
          <w:tcPr>
            <w:tcW w:w="1129" w:type="dxa"/>
            <w:tcBorders>
              <w:top w:val="single" w:sz="4" w:space="0" w:color="auto"/>
              <w:left w:val="single" w:sz="4" w:space="0" w:color="auto"/>
              <w:bottom w:val="single" w:sz="4" w:space="0" w:color="auto"/>
              <w:right w:val="single" w:sz="4" w:space="0" w:color="auto"/>
            </w:tcBorders>
          </w:tcPr>
          <w:p w14:paraId="6D6D8C4E" w14:textId="77777777" w:rsidR="0094530C" w:rsidRPr="00527BAA" w:rsidRDefault="0094530C" w:rsidP="00CA6237">
            <w:pPr>
              <w:spacing w:before="60" w:after="60" w:line="240" w:lineRule="auto"/>
              <w:jc w:val="center"/>
              <w:rPr>
                <w:rFonts w:cs="Arial"/>
                <w:sz w:val="22"/>
              </w:rPr>
            </w:pPr>
            <w:r w:rsidRPr="00527BAA">
              <w:rPr>
                <w:rFonts w:cs="Arial"/>
                <w:sz w:val="22"/>
              </w:rPr>
              <w:t>18</w:t>
            </w:r>
          </w:p>
          <w:p w14:paraId="1EAC7A8F" w14:textId="77777777" w:rsidR="0094530C" w:rsidRPr="00527BAA" w:rsidRDefault="0094530C" w:rsidP="00CA6237">
            <w:pPr>
              <w:spacing w:before="60" w:after="60" w:line="240" w:lineRule="auto"/>
              <w:jc w:val="center"/>
              <w:rPr>
                <w:rFonts w:cs="Arial"/>
                <w:sz w:val="22"/>
              </w:rPr>
            </w:pPr>
            <w:r w:rsidRPr="00527BAA">
              <w:rPr>
                <w:rFonts w:cs="Arial"/>
                <w:sz w:val="22"/>
              </w:rPr>
              <w:t>(34.6%)</w:t>
            </w:r>
          </w:p>
        </w:tc>
        <w:tc>
          <w:tcPr>
            <w:tcW w:w="992" w:type="dxa"/>
            <w:tcBorders>
              <w:top w:val="single" w:sz="4" w:space="0" w:color="auto"/>
              <w:left w:val="single" w:sz="4" w:space="0" w:color="auto"/>
              <w:bottom w:val="single" w:sz="4" w:space="0" w:color="auto"/>
              <w:right w:val="single" w:sz="4" w:space="0" w:color="auto"/>
            </w:tcBorders>
          </w:tcPr>
          <w:p w14:paraId="59E67AEB" w14:textId="77777777" w:rsidR="0094530C" w:rsidRPr="00527BAA" w:rsidRDefault="0094530C" w:rsidP="00CA6237">
            <w:pPr>
              <w:spacing w:before="60" w:after="60" w:line="240" w:lineRule="auto"/>
              <w:jc w:val="center"/>
              <w:rPr>
                <w:rFonts w:cs="Arial"/>
                <w:sz w:val="22"/>
              </w:rPr>
            </w:pPr>
            <w:r w:rsidRPr="00527BAA">
              <w:rPr>
                <w:rFonts w:cs="Arial"/>
                <w:sz w:val="22"/>
              </w:rPr>
              <w:t>5</w:t>
            </w:r>
          </w:p>
          <w:p w14:paraId="7A066155" w14:textId="77777777" w:rsidR="0094530C" w:rsidRPr="00527BAA" w:rsidRDefault="0094530C" w:rsidP="00CA6237">
            <w:pPr>
              <w:spacing w:before="60" w:after="60" w:line="240" w:lineRule="auto"/>
              <w:jc w:val="center"/>
              <w:rPr>
                <w:rFonts w:cs="Arial"/>
                <w:sz w:val="22"/>
              </w:rPr>
            </w:pPr>
            <w:r w:rsidRPr="00527BAA">
              <w:rPr>
                <w:rFonts w:cs="Arial"/>
                <w:sz w:val="22"/>
              </w:rPr>
              <w:t>(9.6%)</w:t>
            </w:r>
          </w:p>
        </w:tc>
        <w:tc>
          <w:tcPr>
            <w:tcW w:w="987" w:type="dxa"/>
            <w:tcBorders>
              <w:top w:val="single" w:sz="4" w:space="0" w:color="auto"/>
              <w:left w:val="single" w:sz="4" w:space="0" w:color="auto"/>
              <w:bottom w:val="single" w:sz="4" w:space="0" w:color="auto"/>
              <w:right w:val="single" w:sz="4" w:space="0" w:color="auto"/>
            </w:tcBorders>
          </w:tcPr>
          <w:p w14:paraId="61D10385" w14:textId="77777777" w:rsidR="0094530C" w:rsidRPr="00527BAA" w:rsidRDefault="0094530C" w:rsidP="00CA6237">
            <w:pPr>
              <w:spacing w:before="60" w:after="60" w:line="240" w:lineRule="auto"/>
              <w:jc w:val="center"/>
              <w:rPr>
                <w:rFonts w:cs="Arial"/>
                <w:sz w:val="22"/>
              </w:rPr>
            </w:pPr>
            <w:r w:rsidRPr="00527BAA">
              <w:rPr>
                <w:rFonts w:cs="Arial"/>
                <w:sz w:val="22"/>
              </w:rPr>
              <w:t>3</w:t>
            </w:r>
          </w:p>
          <w:p w14:paraId="2A80F915" w14:textId="77777777" w:rsidR="0094530C" w:rsidRPr="00527BAA" w:rsidRDefault="0094530C" w:rsidP="00CA6237">
            <w:pPr>
              <w:spacing w:before="60" w:after="60" w:line="240" w:lineRule="auto"/>
              <w:jc w:val="center"/>
              <w:rPr>
                <w:rFonts w:cs="Arial"/>
                <w:sz w:val="22"/>
              </w:rPr>
            </w:pPr>
            <w:r w:rsidRPr="00527BAA">
              <w:rPr>
                <w:rFonts w:cs="Arial"/>
                <w:sz w:val="22"/>
              </w:rPr>
              <w:t>(5.8%)</w:t>
            </w:r>
          </w:p>
        </w:tc>
        <w:tc>
          <w:tcPr>
            <w:tcW w:w="826" w:type="dxa"/>
            <w:tcBorders>
              <w:top w:val="single" w:sz="4" w:space="0" w:color="auto"/>
              <w:left w:val="single" w:sz="4" w:space="0" w:color="auto"/>
              <w:bottom w:val="single" w:sz="4" w:space="0" w:color="auto"/>
              <w:right w:val="single" w:sz="4" w:space="0" w:color="auto"/>
            </w:tcBorders>
          </w:tcPr>
          <w:p w14:paraId="30E06675" w14:textId="77777777" w:rsidR="0094530C" w:rsidRPr="00527BAA" w:rsidRDefault="0094530C" w:rsidP="00CA6237">
            <w:pPr>
              <w:spacing w:before="60" w:after="60" w:line="240" w:lineRule="auto"/>
              <w:jc w:val="center"/>
              <w:rPr>
                <w:rFonts w:cs="Arial"/>
                <w:sz w:val="22"/>
              </w:rPr>
            </w:pPr>
            <w:r w:rsidRPr="00527BAA">
              <w:rPr>
                <w:rFonts w:cs="Arial"/>
                <w:sz w:val="22"/>
              </w:rPr>
              <w:t>52</w:t>
            </w:r>
          </w:p>
        </w:tc>
      </w:tr>
      <w:tr w:rsidR="0094530C" w:rsidRPr="00527BAA" w14:paraId="772EDEE1" w14:textId="77777777" w:rsidTr="00CA6237">
        <w:trPr>
          <w:trHeight w:val="804"/>
        </w:trPr>
        <w:tc>
          <w:tcPr>
            <w:tcW w:w="4285" w:type="dxa"/>
            <w:tcBorders>
              <w:top w:val="single" w:sz="4" w:space="0" w:color="auto"/>
              <w:left w:val="single" w:sz="4" w:space="0" w:color="auto"/>
              <w:bottom w:val="single" w:sz="4" w:space="0" w:color="auto"/>
              <w:right w:val="single" w:sz="4" w:space="0" w:color="auto"/>
            </w:tcBorders>
          </w:tcPr>
          <w:p w14:paraId="1C253D8B" w14:textId="77777777" w:rsidR="0094530C" w:rsidRPr="00527BAA" w:rsidRDefault="0094530C" w:rsidP="00CA6237">
            <w:pPr>
              <w:spacing w:before="60" w:after="60" w:line="240" w:lineRule="auto"/>
              <w:rPr>
                <w:rFonts w:cs="Arial"/>
                <w:sz w:val="22"/>
              </w:rPr>
            </w:pPr>
            <w:r w:rsidRPr="00527BAA">
              <w:rPr>
                <w:rFonts w:cs="Arial"/>
                <w:sz w:val="22"/>
              </w:rPr>
              <w:t>Indicator 4: Nutritional status monitoring in primary care after bariatric surgery (new patients)</w:t>
            </w:r>
          </w:p>
        </w:tc>
        <w:tc>
          <w:tcPr>
            <w:tcW w:w="1132" w:type="dxa"/>
            <w:tcBorders>
              <w:top w:val="single" w:sz="4" w:space="0" w:color="auto"/>
              <w:left w:val="single" w:sz="4" w:space="0" w:color="auto"/>
              <w:bottom w:val="single" w:sz="4" w:space="0" w:color="auto"/>
              <w:right w:val="single" w:sz="4" w:space="0" w:color="auto"/>
            </w:tcBorders>
          </w:tcPr>
          <w:p w14:paraId="5BB6AC06" w14:textId="77777777" w:rsidR="0094530C" w:rsidRPr="00527BAA" w:rsidRDefault="0094530C" w:rsidP="00CA6237">
            <w:pPr>
              <w:spacing w:before="60" w:after="60" w:line="240" w:lineRule="auto"/>
              <w:jc w:val="center"/>
              <w:rPr>
                <w:rFonts w:cs="Arial"/>
                <w:sz w:val="22"/>
              </w:rPr>
            </w:pPr>
            <w:r w:rsidRPr="00527BAA">
              <w:rPr>
                <w:rFonts w:cs="Arial"/>
                <w:sz w:val="22"/>
              </w:rPr>
              <w:t>27</w:t>
            </w:r>
          </w:p>
          <w:p w14:paraId="09F25AAB" w14:textId="77777777" w:rsidR="0094530C" w:rsidRPr="00527BAA" w:rsidRDefault="0094530C" w:rsidP="00CA6237">
            <w:pPr>
              <w:spacing w:before="60" w:after="60" w:line="240" w:lineRule="auto"/>
              <w:jc w:val="center"/>
              <w:rPr>
                <w:rFonts w:cs="Arial"/>
                <w:sz w:val="22"/>
              </w:rPr>
            </w:pPr>
            <w:r w:rsidRPr="00527BAA">
              <w:rPr>
                <w:rFonts w:cs="Arial"/>
                <w:sz w:val="22"/>
              </w:rPr>
              <w:t>(51.9%)</w:t>
            </w:r>
          </w:p>
        </w:tc>
        <w:tc>
          <w:tcPr>
            <w:tcW w:w="1129" w:type="dxa"/>
            <w:tcBorders>
              <w:top w:val="single" w:sz="4" w:space="0" w:color="auto"/>
              <w:left w:val="single" w:sz="4" w:space="0" w:color="auto"/>
              <w:bottom w:val="single" w:sz="4" w:space="0" w:color="auto"/>
              <w:right w:val="single" w:sz="4" w:space="0" w:color="auto"/>
            </w:tcBorders>
          </w:tcPr>
          <w:p w14:paraId="318D0898" w14:textId="77777777" w:rsidR="0094530C" w:rsidRPr="00527BAA" w:rsidRDefault="0094530C" w:rsidP="00CA6237">
            <w:pPr>
              <w:spacing w:before="60" w:after="60" w:line="240" w:lineRule="auto"/>
              <w:jc w:val="center"/>
              <w:rPr>
                <w:rFonts w:cs="Arial"/>
                <w:sz w:val="22"/>
              </w:rPr>
            </w:pPr>
            <w:r w:rsidRPr="00527BAA">
              <w:rPr>
                <w:rFonts w:cs="Arial"/>
                <w:sz w:val="22"/>
              </w:rPr>
              <w:t>20</w:t>
            </w:r>
          </w:p>
          <w:p w14:paraId="0A8F8B16" w14:textId="77777777" w:rsidR="0094530C" w:rsidRPr="00527BAA" w:rsidRDefault="0094530C" w:rsidP="00CA6237">
            <w:pPr>
              <w:spacing w:before="60" w:after="60" w:line="240" w:lineRule="auto"/>
              <w:jc w:val="center"/>
              <w:rPr>
                <w:rFonts w:cs="Arial"/>
                <w:sz w:val="22"/>
              </w:rPr>
            </w:pPr>
            <w:r w:rsidRPr="00527BAA">
              <w:rPr>
                <w:rFonts w:cs="Arial"/>
                <w:sz w:val="22"/>
              </w:rPr>
              <w:t>(38.5%)</w:t>
            </w:r>
          </w:p>
        </w:tc>
        <w:tc>
          <w:tcPr>
            <w:tcW w:w="992" w:type="dxa"/>
            <w:tcBorders>
              <w:top w:val="single" w:sz="4" w:space="0" w:color="auto"/>
              <w:left w:val="single" w:sz="4" w:space="0" w:color="auto"/>
              <w:bottom w:val="single" w:sz="4" w:space="0" w:color="auto"/>
              <w:right w:val="single" w:sz="4" w:space="0" w:color="auto"/>
            </w:tcBorders>
          </w:tcPr>
          <w:p w14:paraId="3FD772A1" w14:textId="77777777" w:rsidR="0094530C" w:rsidRPr="00527BAA" w:rsidRDefault="0094530C" w:rsidP="00CA6237">
            <w:pPr>
              <w:spacing w:before="60" w:after="60" w:line="240" w:lineRule="auto"/>
              <w:jc w:val="center"/>
              <w:rPr>
                <w:rFonts w:cs="Arial"/>
                <w:sz w:val="22"/>
              </w:rPr>
            </w:pPr>
            <w:r w:rsidRPr="00527BAA">
              <w:rPr>
                <w:rFonts w:cs="Arial"/>
                <w:sz w:val="22"/>
              </w:rPr>
              <w:t>2</w:t>
            </w:r>
          </w:p>
          <w:p w14:paraId="475567B3" w14:textId="77777777" w:rsidR="0094530C" w:rsidRPr="00527BAA" w:rsidRDefault="0094530C" w:rsidP="00CA6237">
            <w:pPr>
              <w:spacing w:before="60" w:after="60" w:line="240" w:lineRule="auto"/>
              <w:jc w:val="center"/>
              <w:rPr>
                <w:rFonts w:cs="Arial"/>
                <w:sz w:val="22"/>
              </w:rPr>
            </w:pPr>
            <w:r w:rsidRPr="00527BAA">
              <w:rPr>
                <w:rFonts w:cs="Arial"/>
                <w:sz w:val="22"/>
              </w:rPr>
              <w:t>(3.8%)</w:t>
            </w:r>
          </w:p>
        </w:tc>
        <w:tc>
          <w:tcPr>
            <w:tcW w:w="987" w:type="dxa"/>
            <w:tcBorders>
              <w:top w:val="single" w:sz="4" w:space="0" w:color="auto"/>
              <w:left w:val="single" w:sz="4" w:space="0" w:color="auto"/>
              <w:bottom w:val="single" w:sz="4" w:space="0" w:color="auto"/>
              <w:right w:val="single" w:sz="4" w:space="0" w:color="auto"/>
            </w:tcBorders>
          </w:tcPr>
          <w:p w14:paraId="3278165E" w14:textId="77777777" w:rsidR="0094530C" w:rsidRPr="00527BAA" w:rsidRDefault="0094530C" w:rsidP="00CA6237">
            <w:pPr>
              <w:spacing w:before="60" w:after="60" w:line="240" w:lineRule="auto"/>
              <w:jc w:val="center"/>
              <w:rPr>
                <w:rFonts w:cs="Arial"/>
                <w:sz w:val="22"/>
              </w:rPr>
            </w:pPr>
            <w:r w:rsidRPr="00527BAA">
              <w:rPr>
                <w:rFonts w:cs="Arial"/>
                <w:sz w:val="22"/>
              </w:rPr>
              <w:t>3</w:t>
            </w:r>
          </w:p>
          <w:p w14:paraId="43FEF3E8" w14:textId="77777777" w:rsidR="0094530C" w:rsidRPr="00527BAA" w:rsidRDefault="0094530C" w:rsidP="00CA6237">
            <w:pPr>
              <w:spacing w:before="60" w:after="60" w:line="240" w:lineRule="auto"/>
              <w:jc w:val="center"/>
              <w:rPr>
                <w:rFonts w:cs="Arial"/>
                <w:sz w:val="22"/>
              </w:rPr>
            </w:pPr>
            <w:r w:rsidRPr="00527BAA">
              <w:rPr>
                <w:rFonts w:cs="Arial"/>
                <w:sz w:val="22"/>
              </w:rPr>
              <w:t>(5.8%)</w:t>
            </w:r>
          </w:p>
        </w:tc>
        <w:tc>
          <w:tcPr>
            <w:tcW w:w="826" w:type="dxa"/>
            <w:tcBorders>
              <w:top w:val="single" w:sz="4" w:space="0" w:color="auto"/>
              <w:left w:val="single" w:sz="4" w:space="0" w:color="auto"/>
              <w:bottom w:val="single" w:sz="4" w:space="0" w:color="auto"/>
              <w:right w:val="single" w:sz="4" w:space="0" w:color="auto"/>
            </w:tcBorders>
          </w:tcPr>
          <w:p w14:paraId="26DFEA5E" w14:textId="77777777" w:rsidR="0094530C" w:rsidRPr="00527BAA" w:rsidRDefault="0094530C" w:rsidP="00CA6237">
            <w:pPr>
              <w:spacing w:before="60" w:after="60" w:line="240" w:lineRule="auto"/>
              <w:jc w:val="center"/>
              <w:rPr>
                <w:rFonts w:cs="Arial"/>
                <w:sz w:val="22"/>
              </w:rPr>
            </w:pPr>
            <w:r w:rsidRPr="00527BAA">
              <w:rPr>
                <w:rFonts w:cs="Arial"/>
                <w:sz w:val="22"/>
              </w:rPr>
              <w:t>52</w:t>
            </w:r>
          </w:p>
        </w:tc>
      </w:tr>
    </w:tbl>
    <w:p w14:paraId="6B6E7BCA" w14:textId="64A0EA07" w:rsidR="00807628" w:rsidRDefault="00616150" w:rsidP="00E32EAC">
      <w:pPr>
        <w:spacing w:before="240"/>
      </w:pPr>
      <w:r>
        <w:t xml:space="preserve">In relation to indicator 1, </w:t>
      </w:r>
      <w:r w:rsidR="005E1244">
        <w:t>two quotes from a GP</w:t>
      </w:r>
      <w:r>
        <w:t xml:space="preserve"> suggested how this might impact on </w:t>
      </w:r>
      <w:r w:rsidR="005E1244">
        <w:t xml:space="preserve">clinical and administrative </w:t>
      </w:r>
      <w:r>
        <w:t>workload:</w:t>
      </w:r>
    </w:p>
    <w:p w14:paraId="53546D2C" w14:textId="3F4E0D09" w:rsidR="00616150" w:rsidRPr="005E1244" w:rsidRDefault="00616150" w:rsidP="00E32EAC">
      <w:pPr>
        <w:spacing w:line="312" w:lineRule="auto"/>
        <w:rPr>
          <w:i/>
          <w:iCs/>
        </w:rPr>
      </w:pPr>
      <w:r w:rsidRPr="005E1244">
        <w:rPr>
          <w:i/>
          <w:iCs/>
        </w:rPr>
        <w:t>“I don't have time to do that. So I'm having a consultation about other things with that</w:t>
      </w:r>
      <w:r w:rsidR="005E1244">
        <w:rPr>
          <w:i/>
          <w:iCs/>
        </w:rPr>
        <w:t xml:space="preserve"> </w:t>
      </w:r>
      <w:r w:rsidRPr="005E1244">
        <w:rPr>
          <w:i/>
          <w:iCs/>
        </w:rPr>
        <w:t xml:space="preserve">patient. When I put their weight into notes, it will calculate a BMI and that is there, and you can trace that. The individual things that I'm talking to about that patient on the day will be kind of what takes priority and what's important for that person at that time. I'm not going to code every single thing that I say, and if I put smoking in </w:t>
      </w:r>
      <w:r w:rsidR="005E1244" w:rsidRPr="005E1244">
        <w:rPr>
          <w:i/>
          <w:iCs/>
        </w:rPr>
        <w:t>[…]</w:t>
      </w:r>
      <w:r w:rsidRPr="005E1244">
        <w:rPr>
          <w:i/>
          <w:iCs/>
        </w:rPr>
        <w:t xml:space="preserve"> there is </w:t>
      </w:r>
      <w:r w:rsidR="005E1244" w:rsidRPr="005E1244">
        <w:rPr>
          <w:i/>
          <w:iCs/>
        </w:rPr>
        <w:t>‘</w:t>
      </w:r>
      <w:r w:rsidRPr="005E1244">
        <w:rPr>
          <w:i/>
          <w:iCs/>
        </w:rPr>
        <w:t>smoking cessation advice offered</w:t>
      </w:r>
      <w:r w:rsidR="005E1244" w:rsidRPr="005E1244">
        <w:rPr>
          <w:i/>
          <w:iCs/>
        </w:rPr>
        <w:t>’</w:t>
      </w:r>
      <w:r w:rsidRPr="005E1244">
        <w:rPr>
          <w:i/>
          <w:iCs/>
        </w:rPr>
        <w:t xml:space="preserve">, but that's a really simple thing, that's, </w:t>
      </w:r>
      <w:r w:rsidR="005E1244" w:rsidRPr="005E1244">
        <w:rPr>
          <w:i/>
          <w:iCs/>
        </w:rPr>
        <w:t>“</w:t>
      </w:r>
      <w:r w:rsidRPr="005E1244">
        <w:rPr>
          <w:i/>
          <w:iCs/>
        </w:rPr>
        <w:t xml:space="preserve">did you know that there's quit smoking </w:t>
      </w:r>
      <w:r w:rsidR="005E1244" w:rsidRPr="005E1244">
        <w:rPr>
          <w:i/>
          <w:iCs/>
        </w:rPr>
        <w:t>(locally)”</w:t>
      </w:r>
      <w:r w:rsidRPr="005E1244">
        <w:rPr>
          <w:i/>
          <w:iCs/>
        </w:rPr>
        <w:t>? Have you thought about it? It doesn't require saying, "Oh, yeah, your weight's this. By the way, there's a weight management service." That's a different conversation.</w:t>
      </w:r>
      <w:r w:rsidR="005E1244" w:rsidRPr="005E1244">
        <w:rPr>
          <w:i/>
          <w:iCs/>
        </w:rPr>
        <w:t>”</w:t>
      </w:r>
      <w:r w:rsidR="005E1244" w:rsidRPr="00F971ED">
        <w:rPr>
          <w:i/>
          <w:iCs/>
        </w:rPr>
        <w:t xml:space="preserve"> [GP, interview]</w:t>
      </w:r>
    </w:p>
    <w:p w14:paraId="01A9310F" w14:textId="10714641" w:rsidR="00616150" w:rsidRDefault="005E1244" w:rsidP="00E32EAC">
      <w:pPr>
        <w:spacing w:line="312" w:lineRule="auto"/>
        <w:rPr>
          <w:i/>
          <w:iCs/>
        </w:rPr>
      </w:pPr>
      <w:r w:rsidRPr="005E1244">
        <w:rPr>
          <w:i/>
          <w:iCs/>
        </w:rPr>
        <w:t>“that becomes an exercise in retrospective coding for a lot of people to try and meet the numbers</w:t>
      </w:r>
      <w:r>
        <w:rPr>
          <w:i/>
          <w:iCs/>
        </w:rPr>
        <w:t xml:space="preserve"> […] </w:t>
      </w:r>
      <w:r w:rsidR="00616150" w:rsidRPr="00616150">
        <w:rPr>
          <w:i/>
          <w:iCs/>
        </w:rPr>
        <w:t>don't want whole thing to turn into an exercise of coding and exception finding</w:t>
      </w:r>
      <w:r w:rsidRPr="005E1244">
        <w:rPr>
          <w:i/>
          <w:iCs/>
        </w:rPr>
        <w:t>.”</w:t>
      </w:r>
      <w:r w:rsidRPr="00F971ED">
        <w:rPr>
          <w:i/>
          <w:iCs/>
        </w:rPr>
        <w:t xml:space="preserve"> [GP, interview]</w:t>
      </w:r>
    </w:p>
    <w:p w14:paraId="5D58B721" w14:textId="42E421AA" w:rsidR="00675DC6" w:rsidRDefault="00675DC6" w:rsidP="00E32EAC">
      <w:pPr>
        <w:spacing w:line="312" w:lineRule="auto"/>
      </w:pPr>
      <w:r>
        <w:t xml:space="preserve">Two practices noted that weight issues are complex, </w:t>
      </w:r>
      <w:r w:rsidR="009D30FE">
        <w:t xml:space="preserve">adding to the time and work needed to address the issue with the patient. </w:t>
      </w:r>
    </w:p>
    <w:p w14:paraId="78029CB6" w14:textId="0B6C519A" w:rsidR="00675DC6" w:rsidRPr="00675DC6" w:rsidRDefault="009D30FE" w:rsidP="00E32EAC">
      <w:pPr>
        <w:spacing w:line="312" w:lineRule="auto"/>
      </w:pPr>
      <w:r w:rsidRPr="00E70AF6">
        <w:t>Some p</w:t>
      </w:r>
      <w:r w:rsidR="00675DC6" w:rsidRPr="00E70AF6">
        <w:t xml:space="preserve">ractices also noted that this </w:t>
      </w:r>
      <w:r w:rsidRPr="00E70AF6">
        <w:t xml:space="preserve">indicator could involve a large number of patients (see </w:t>
      </w:r>
      <w:r w:rsidR="00E70AF6">
        <w:t xml:space="preserve">report </w:t>
      </w:r>
      <w:r w:rsidRPr="00E70AF6">
        <w:t>section 6.2.2 for detail), as well as the impact on appointment length, described in section 6.2.5.</w:t>
      </w:r>
    </w:p>
    <w:p w14:paraId="3B433363" w14:textId="0258F84D" w:rsidR="00076E90" w:rsidRDefault="00076E90" w:rsidP="00076E90">
      <w:pPr>
        <w:pStyle w:val="Heading3"/>
      </w:pPr>
      <w:r>
        <w:lastRenderedPageBreak/>
        <w:t>Estimates of likely numbers</w:t>
      </w:r>
    </w:p>
    <w:p w14:paraId="7C36DDF0" w14:textId="5085FAE0" w:rsidR="00E21870" w:rsidRDefault="00E21870" w:rsidP="00D8133B">
      <w:pPr>
        <w:spacing w:before="240"/>
        <w:rPr>
          <w:highlight w:val="yellow"/>
        </w:rPr>
      </w:pPr>
      <w:r w:rsidRPr="00F906A3">
        <w:t xml:space="preserve">Three practices provided estimates of how many registered patients they currently had who were severely obese (and therefore a rough estimate of the size of the cohort for indicator 2). One </w:t>
      </w:r>
      <w:r w:rsidR="006D211C">
        <w:t xml:space="preserve">small </w:t>
      </w:r>
      <w:r w:rsidRPr="00F906A3">
        <w:t>practice suggested the number would likely be over 100, one</w:t>
      </w:r>
      <w:r w:rsidR="006D211C">
        <w:t xml:space="preserve"> large practice</w:t>
      </w:r>
      <w:r w:rsidRPr="00F906A3">
        <w:t xml:space="preserve"> estimated between 100 and 200, and </w:t>
      </w:r>
      <w:r w:rsidR="006D211C">
        <w:t>another large practice</w:t>
      </w:r>
      <w:r w:rsidRPr="00F906A3">
        <w:t xml:space="preserve"> ran a clinical search while on the call and provided a number (which may include some patients aged under 18) of over 400</w:t>
      </w:r>
      <w:r w:rsidR="00115CBC">
        <w:t xml:space="preserve"> (the three practices are all in the ‘least deprived’ strata).</w:t>
      </w:r>
      <w:r w:rsidRPr="00F906A3">
        <w:t xml:space="preserve"> Estimates previously provided</w:t>
      </w:r>
      <w:r w:rsidR="00806899">
        <w:t xml:space="preserve"> </w:t>
      </w:r>
      <w:r w:rsidR="004876F2">
        <w:t>(</w:t>
      </w:r>
      <w:hyperlink r:id="rId16" w:history="1">
        <w:r w:rsidR="004876F2" w:rsidRPr="00E15BFD">
          <w:rPr>
            <w:rStyle w:val="Hyperlink"/>
          </w:rPr>
          <w:t>September 2023 indicator advisory committee meeting</w:t>
        </w:r>
      </w:hyperlink>
      <w:r w:rsidR="004876F2">
        <w:rPr>
          <w:szCs w:val="24"/>
        </w:rPr>
        <w:t>)</w:t>
      </w:r>
      <w:r w:rsidR="00F906A3" w:rsidRPr="00F906A3">
        <w:t xml:space="preserve"> </w:t>
      </w:r>
      <w:r w:rsidR="00806899">
        <w:t>of</w:t>
      </w:r>
      <w:r w:rsidRPr="00117AEF">
        <w:t xml:space="preserve"> morbid obesity </w:t>
      </w:r>
      <w:r>
        <w:t xml:space="preserve">suggest that approximately </w:t>
      </w:r>
      <w:r w:rsidRPr="00E21870">
        <w:t>266</w:t>
      </w:r>
      <w:r>
        <w:t xml:space="preserve"> adult patients in an average practice of 10,000 patients are likely to have a BMI of 40kg/m</w:t>
      </w:r>
      <w:r w:rsidRPr="000A4F50">
        <w:rPr>
          <w:vertAlign w:val="superscript"/>
        </w:rPr>
        <w:t xml:space="preserve">2 </w:t>
      </w:r>
      <w:r w:rsidRPr="000A4F50">
        <w:rPr>
          <w:rStyle w:val="Hyperlink"/>
          <w:rFonts w:eastAsia="Times New Roman"/>
          <w:color w:val="auto"/>
          <w:u w:val="none"/>
        </w:rPr>
        <w:t>or more, and therefore be eligible for bariatric surgery</w:t>
      </w:r>
      <w:r w:rsidR="00F906A3">
        <w:rPr>
          <w:rStyle w:val="Hyperlink"/>
          <w:rFonts w:eastAsia="Times New Roman"/>
          <w:color w:val="auto"/>
          <w:u w:val="none"/>
        </w:rPr>
        <w:t xml:space="preserve">, and therefore these practice estimates appear </w:t>
      </w:r>
      <w:r w:rsidR="006D211C">
        <w:rPr>
          <w:rStyle w:val="Hyperlink"/>
          <w:rFonts w:eastAsia="Times New Roman"/>
          <w:color w:val="auto"/>
          <w:u w:val="none"/>
        </w:rPr>
        <w:t>in line with that estimate</w:t>
      </w:r>
      <w:r w:rsidR="00F906A3">
        <w:rPr>
          <w:rStyle w:val="Hyperlink"/>
          <w:rFonts w:eastAsia="Times New Roman"/>
          <w:color w:val="auto"/>
          <w:u w:val="none"/>
        </w:rPr>
        <w:t>.</w:t>
      </w:r>
    </w:p>
    <w:p w14:paraId="454F5604" w14:textId="7A6845D8" w:rsidR="00CE02D7" w:rsidRPr="00F906A3" w:rsidRDefault="00F906A3" w:rsidP="00D8133B">
      <w:pPr>
        <w:spacing w:before="240"/>
      </w:pPr>
      <w:r w:rsidRPr="00F906A3">
        <w:t xml:space="preserve">When asked about the appropriate level for </w:t>
      </w:r>
      <w:r w:rsidRPr="00E70AF6">
        <w:t>indicator 2</w:t>
      </w:r>
      <w:r w:rsidR="00CE6D9F" w:rsidRPr="00E70AF6">
        <w:t xml:space="preserve"> (</w:t>
      </w:r>
      <w:r w:rsidR="00E70AF6">
        <w:t xml:space="preserve">report </w:t>
      </w:r>
      <w:r w:rsidR="00CE6D9F" w:rsidRPr="00E70AF6">
        <w:t>section 4.3.5 has more detail on this issue specifically)</w:t>
      </w:r>
      <w:r w:rsidRPr="00E70AF6">
        <w:t>, one respondent replied:</w:t>
      </w:r>
    </w:p>
    <w:p w14:paraId="51BDBE32" w14:textId="5A39DB0B" w:rsidR="00F906A3" w:rsidRPr="00F906A3" w:rsidRDefault="00F906A3" w:rsidP="00F906A3">
      <w:pPr>
        <w:pStyle w:val="Heading6"/>
      </w:pPr>
      <w:r>
        <w:t>“</w:t>
      </w:r>
      <w:r w:rsidRPr="00F906A3">
        <w:t>System all the way because this is such a big problem, basically. This is such a high number. It's a public health problem. It's not really even a primary care problem.</w:t>
      </w:r>
      <w:r>
        <w:t>” [GP, interview]</w:t>
      </w:r>
    </w:p>
    <w:p w14:paraId="50171DD1" w14:textId="0136576E" w:rsidR="003920A9" w:rsidRPr="003920A9" w:rsidRDefault="003920A9" w:rsidP="00F906A3">
      <w:pPr>
        <w:spacing w:before="240"/>
      </w:pPr>
      <w:r w:rsidRPr="003920A9">
        <w:t xml:space="preserve">While not specifically asked, six practices volunteered an idea of the numbers of patients who had undergone bariatric surgery </w:t>
      </w:r>
      <w:r>
        <w:t xml:space="preserve">and therefore would form the cohort for indicator 3 (all patients) and indicator 4 (new patients </w:t>
      </w:r>
      <w:r w:rsidR="00806899">
        <w:t>each</w:t>
      </w:r>
      <w:r>
        <w:t xml:space="preserve"> year). Please note these are likely to be underestimates, on the basis of the feedback received about the unknown numbers of patients travelling </w:t>
      </w:r>
      <w:r w:rsidRPr="00E70AF6">
        <w:t>abroad for surgery (see</w:t>
      </w:r>
      <w:r w:rsidR="00E70AF6">
        <w:t xml:space="preserve"> report</w:t>
      </w:r>
      <w:r w:rsidRPr="00E70AF6">
        <w:t xml:space="preserve"> section 4.3.5</w:t>
      </w:r>
      <w:r w:rsidR="00E70AF6">
        <w:t xml:space="preserve"> for detail</w:t>
      </w:r>
      <w:r w:rsidRPr="00E70AF6">
        <w:t>). Four practices did not provide numeric estimates, but indicated that numbers</w:t>
      </w:r>
      <w:r>
        <w:t xml:space="preserve"> were small, and a fifth suggested five or six patients per year. However, a large practice, suggested </w:t>
      </w:r>
      <w:r w:rsidRPr="00E70AF6">
        <w:t>the numbers were high enough that their pre</w:t>
      </w:r>
      <w:r w:rsidR="00806899" w:rsidRPr="00E70AF6">
        <w:t xml:space="preserve">ference for the appropriate level of indicator 4 (new patients each year) was for it to be at practice level (see </w:t>
      </w:r>
      <w:r w:rsidR="00E70AF6">
        <w:t xml:space="preserve">report </w:t>
      </w:r>
      <w:r w:rsidR="00806899" w:rsidRPr="00E70AF6">
        <w:t xml:space="preserve">section </w:t>
      </w:r>
      <w:r w:rsidR="00CE6D9F" w:rsidRPr="00E70AF6">
        <w:t>4.3.5</w:t>
      </w:r>
      <w:r w:rsidR="00806899" w:rsidRPr="00E70AF6">
        <w:t>).</w:t>
      </w:r>
    </w:p>
    <w:p w14:paraId="0DB5911D" w14:textId="6D109915" w:rsidR="00806899" w:rsidRDefault="00F906A3" w:rsidP="00D8133B">
      <w:pPr>
        <w:spacing w:before="240"/>
      </w:pPr>
      <w:r w:rsidRPr="00806899">
        <w:t xml:space="preserve">Estimates previously provided </w:t>
      </w:r>
      <w:r w:rsidR="00806899">
        <w:t>(</w:t>
      </w:r>
      <w:hyperlink r:id="rId17" w:history="1">
        <w:r w:rsidR="004876F2" w:rsidRPr="00E15BFD">
          <w:rPr>
            <w:rStyle w:val="Hyperlink"/>
          </w:rPr>
          <w:t>September 2023 indicator advisory committee meeting</w:t>
        </w:r>
      </w:hyperlink>
      <w:r w:rsidR="00806899">
        <w:rPr>
          <w:szCs w:val="24"/>
        </w:rPr>
        <w:t xml:space="preserve">) </w:t>
      </w:r>
      <w:r w:rsidR="00806899" w:rsidRPr="00806899">
        <w:t xml:space="preserve">show that </w:t>
      </w:r>
      <w:r w:rsidR="00806899">
        <w:t xml:space="preserve">in recent years </w:t>
      </w:r>
      <w:r w:rsidR="00806899" w:rsidRPr="00806899">
        <w:t xml:space="preserve">between 4,000 and 6,000 patients have </w:t>
      </w:r>
      <w:r w:rsidR="00806899">
        <w:t xml:space="preserve">had </w:t>
      </w:r>
      <w:r w:rsidR="00806899" w:rsidRPr="00806899">
        <w:t>at least one type of</w:t>
      </w:r>
      <w:r w:rsidR="00806899">
        <w:t xml:space="preserve"> bariatric surgical procedure per year, however this does not account for patients travelling abroad for surgery, or for unmet demand.</w:t>
      </w:r>
    </w:p>
    <w:p w14:paraId="67B059C1" w14:textId="543B6999" w:rsidR="00076E90" w:rsidRDefault="00076E90" w:rsidP="00076E90">
      <w:pPr>
        <w:pStyle w:val="Heading3"/>
      </w:pPr>
      <w:r>
        <w:lastRenderedPageBreak/>
        <w:t>Staff groups affected</w:t>
      </w:r>
    </w:p>
    <w:p w14:paraId="263E761F" w14:textId="6D70995C" w:rsidR="00F85D6D" w:rsidRDefault="00477065" w:rsidP="00665435">
      <w:pPr>
        <w:spacing w:before="240"/>
      </w:pPr>
      <w:r>
        <w:t xml:space="preserve">The survey asked for views as to which staff groups would be most affected by the clinical requirements of the </w:t>
      </w:r>
      <w:r w:rsidR="004D48E2">
        <w:t>weight management</w:t>
      </w:r>
      <w:r>
        <w:t xml:space="preserve"> indicator</w:t>
      </w:r>
      <w:r w:rsidR="004D48E2">
        <w:t>s</w:t>
      </w:r>
      <w:r>
        <w:t xml:space="preserve"> (Table 6). </w:t>
      </w:r>
      <w:r w:rsidR="00665435">
        <w:t>For indicator 1, 67.3% of respondents felt nursing staff would be most affected, and 42.3% felt GPs would be most affected.</w:t>
      </w:r>
    </w:p>
    <w:p w14:paraId="22B6F603" w14:textId="2602F5CE" w:rsidR="00665435" w:rsidRDefault="00665435" w:rsidP="00665435">
      <w:pPr>
        <w:spacing w:before="240"/>
      </w:pPr>
      <w:r>
        <w:t>For indicator 2, over two thirds</w:t>
      </w:r>
      <w:r w:rsidR="00AB01AA">
        <w:t xml:space="preserve"> (67.3%, 35/52)</w:t>
      </w:r>
      <w:r>
        <w:t xml:space="preserve"> thought GPs would be </w:t>
      </w:r>
      <w:r w:rsidR="00AB01AA">
        <w:t>most affected, and one half (50.0%, 26/52) felt nursing staff would be most affected.</w:t>
      </w:r>
    </w:p>
    <w:p w14:paraId="60DAD763" w14:textId="6A1B7E50" w:rsidR="00AB01AA" w:rsidRDefault="00AB01AA" w:rsidP="00665435">
      <w:pPr>
        <w:spacing w:before="240"/>
      </w:pPr>
      <w:r>
        <w:t>For indicators 3 and 4, around 60% felt GPs would be most affected (61.5%, 32/52 for indicator 3 and 59.6%, 31/52 for indicator 4), and slightly over half felt nursing staff would be most affected (53.8%, 28/52 for indicator 3 and 51.9%, 27/52 for indicator 4).</w:t>
      </w:r>
    </w:p>
    <w:p w14:paraId="6B24C759" w14:textId="4F9EC02D" w:rsidR="00CC7120" w:rsidRDefault="00CC7120" w:rsidP="00CC7120">
      <w:pPr>
        <w:spacing w:line="276" w:lineRule="auto"/>
        <w:rPr>
          <w:u w:val="single"/>
        </w:rPr>
      </w:pPr>
      <w:r w:rsidRPr="004B4482">
        <w:rPr>
          <w:u w:val="single"/>
        </w:rPr>
        <w:t xml:space="preserve">Table </w:t>
      </w:r>
      <w:r w:rsidR="00FA6199">
        <w:rPr>
          <w:u w:val="single"/>
        </w:rPr>
        <w:t>6</w:t>
      </w:r>
      <w:r w:rsidRPr="004B4482">
        <w:rPr>
          <w:u w:val="single"/>
        </w:rPr>
        <w:t xml:space="preserve">: Views on </w:t>
      </w:r>
      <w:r>
        <w:rPr>
          <w:u w:val="single"/>
        </w:rPr>
        <w:t>staff groups affected by the clinical requirements</w:t>
      </w:r>
      <w:r w:rsidRPr="004B4482">
        <w:rPr>
          <w:u w:val="single"/>
        </w:rPr>
        <w:t xml:space="preserve"> (</w:t>
      </w:r>
      <w:r w:rsidRPr="000A2255">
        <w:rPr>
          <w:u w:val="single"/>
        </w:rPr>
        <w:t>survey)</w:t>
      </w:r>
    </w:p>
    <w:p w14:paraId="3F662616" w14:textId="4CCFF10F" w:rsidR="00780FA2" w:rsidRPr="004B4482" w:rsidRDefault="00780FA2" w:rsidP="00CC7120">
      <w:pPr>
        <w:spacing w:line="276" w:lineRule="auto"/>
        <w:rPr>
          <w:u w:val="single"/>
        </w:rPr>
      </w:pPr>
      <w:r w:rsidRPr="008C7154">
        <w:rPr>
          <w:b/>
          <w:sz w:val="22"/>
        </w:rPr>
        <w:t xml:space="preserve">Which staff group(s) would be most affected by the clinical requirements of the </w:t>
      </w:r>
      <w:r>
        <w:rPr>
          <w:b/>
          <w:sz w:val="22"/>
        </w:rPr>
        <w:t>indicator</w:t>
      </w:r>
      <w:r w:rsidRPr="008C7154">
        <w:rPr>
          <w:b/>
          <w:sz w:val="22"/>
        </w:rPr>
        <w:t>?</w:t>
      </w:r>
      <w:r>
        <w:rPr>
          <w:b/>
          <w:sz w:val="22"/>
        </w:rPr>
        <w:t xml:space="preserve"> </w:t>
      </w:r>
      <w:r w:rsidRPr="00640816">
        <w:rPr>
          <w:b/>
          <w:i/>
          <w:iCs/>
          <w:sz w:val="22"/>
        </w:rPr>
        <w:t>Respondents selecting ‘Yes’</w:t>
      </w:r>
    </w:p>
    <w:tbl>
      <w:tblPr>
        <w:tblStyle w:val="TableGrid"/>
        <w:tblW w:w="9351" w:type="dxa"/>
        <w:tblLook w:val="04A0" w:firstRow="1" w:lastRow="0" w:firstColumn="1" w:lastColumn="0" w:noHBand="0" w:noVBand="1"/>
      </w:tblPr>
      <w:tblGrid>
        <w:gridCol w:w="2368"/>
        <w:gridCol w:w="987"/>
        <w:gridCol w:w="987"/>
        <w:gridCol w:w="1317"/>
        <w:gridCol w:w="1106"/>
        <w:gridCol w:w="987"/>
        <w:gridCol w:w="1599"/>
      </w:tblGrid>
      <w:tr w:rsidR="00CC7120" w:rsidRPr="00527BAA" w14:paraId="5FCE3D6C" w14:textId="77777777" w:rsidTr="00780FA2">
        <w:tc>
          <w:tcPr>
            <w:tcW w:w="2368" w:type="dxa"/>
          </w:tcPr>
          <w:p w14:paraId="424FAC33" w14:textId="77777777" w:rsidR="00CC7120" w:rsidRPr="00527BAA" w:rsidRDefault="00CC7120" w:rsidP="00DD28EC">
            <w:pPr>
              <w:spacing w:before="60" w:after="60" w:line="240" w:lineRule="auto"/>
              <w:rPr>
                <w:sz w:val="22"/>
              </w:rPr>
            </w:pPr>
          </w:p>
        </w:tc>
        <w:tc>
          <w:tcPr>
            <w:tcW w:w="987" w:type="dxa"/>
            <w:hideMark/>
          </w:tcPr>
          <w:p w14:paraId="058DF919" w14:textId="77777777" w:rsidR="00CC7120" w:rsidRPr="00527BAA" w:rsidRDefault="00CC7120" w:rsidP="00DD28EC">
            <w:pPr>
              <w:spacing w:before="60" w:after="60" w:line="240" w:lineRule="auto"/>
              <w:jc w:val="center"/>
              <w:rPr>
                <w:sz w:val="22"/>
              </w:rPr>
            </w:pPr>
            <w:r w:rsidRPr="00527BAA">
              <w:rPr>
                <w:sz w:val="22"/>
              </w:rPr>
              <w:t>GP</w:t>
            </w:r>
          </w:p>
        </w:tc>
        <w:tc>
          <w:tcPr>
            <w:tcW w:w="987" w:type="dxa"/>
            <w:hideMark/>
          </w:tcPr>
          <w:p w14:paraId="3299DC05" w14:textId="77777777" w:rsidR="00CC7120" w:rsidRPr="00527BAA" w:rsidRDefault="00CC7120" w:rsidP="00DD28EC">
            <w:pPr>
              <w:spacing w:before="60" w:after="60" w:line="240" w:lineRule="auto"/>
              <w:jc w:val="center"/>
              <w:rPr>
                <w:sz w:val="22"/>
              </w:rPr>
            </w:pPr>
            <w:r w:rsidRPr="00527BAA">
              <w:rPr>
                <w:sz w:val="22"/>
              </w:rPr>
              <w:t>Nursing</w:t>
            </w:r>
          </w:p>
        </w:tc>
        <w:tc>
          <w:tcPr>
            <w:tcW w:w="1317" w:type="dxa"/>
            <w:hideMark/>
          </w:tcPr>
          <w:p w14:paraId="539A7E89" w14:textId="77777777" w:rsidR="00CC7120" w:rsidRPr="00527BAA" w:rsidRDefault="00CC7120" w:rsidP="00DD28EC">
            <w:pPr>
              <w:spacing w:before="60" w:after="60" w:line="240" w:lineRule="auto"/>
              <w:jc w:val="center"/>
              <w:rPr>
                <w:sz w:val="22"/>
              </w:rPr>
            </w:pPr>
            <w:r w:rsidRPr="00527BAA">
              <w:rPr>
                <w:sz w:val="22"/>
              </w:rPr>
              <w:t>Pharmacist</w:t>
            </w:r>
          </w:p>
        </w:tc>
        <w:tc>
          <w:tcPr>
            <w:tcW w:w="1106" w:type="dxa"/>
          </w:tcPr>
          <w:p w14:paraId="68F53BFD" w14:textId="77777777" w:rsidR="00CC7120" w:rsidRPr="00527BAA" w:rsidRDefault="00CC7120" w:rsidP="00DD28EC">
            <w:pPr>
              <w:spacing w:before="60" w:after="60" w:line="240" w:lineRule="auto"/>
              <w:jc w:val="center"/>
              <w:rPr>
                <w:sz w:val="22"/>
              </w:rPr>
            </w:pPr>
            <w:r w:rsidRPr="00527BAA">
              <w:rPr>
                <w:sz w:val="22"/>
              </w:rPr>
              <w:t>Other Clinical</w:t>
            </w:r>
          </w:p>
        </w:tc>
        <w:tc>
          <w:tcPr>
            <w:tcW w:w="987" w:type="dxa"/>
            <w:hideMark/>
          </w:tcPr>
          <w:p w14:paraId="230B3A2B" w14:textId="77777777" w:rsidR="00CC7120" w:rsidRPr="00527BAA" w:rsidRDefault="00CC7120" w:rsidP="00DD28EC">
            <w:pPr>
              <w:spacing w:before="60" w:after="60" w:line="240" w:lineRule="auto"/>
              <w:jc w:val="center"/>
              <w:rPr>
                <w:sz w:val="22"/>
              </w:rPr>
            </w:pPr>
            <w:r w:rsidRPr="00527BAA">
              <w:rPr>
                <w:sz w:val="22"/>
              </w:rPr>
              <w:t>Unsure</w:t>
            </w:r>
          </w:p>
        </w:tc>
        <w:tc>
          <w:tcPr>
            <w:tcW w:w="1599" w:type="dxa"/>
          </w:tcPr>
          <w:p w14:paraId="00C3549F" w14:textId="30C33DDD" w:rsidR="00CC7120" w:rsidRPr="00527BAA" w:rsidRDefault="007368CE" w:rsidP="00DD28EC">
            <w:pPr>
              <w:spacing w:before="60" w:after="60" w:line="240" w:lineRule="auto"/>
              <w:jc w:val="center"/>
              <w:rPr>
                <w:sz w:val="22"/>
              </w:rPr>
            </w:pPr>
            <w:r w:rsidRPr="00527BAA">
              <w:rPr>
                <w:sz w:val="22"/>
              </w:rPr>
              <w:t xml:space="preserve">Total </w:t>
            </w:r>
            <w:r w:rsidR="00CC7120" w:rsidRPr="00527BAA">
              <w:rPr>
                <w:sz w:val="22"/>
              </w:rPr>
              <w:t>Respon</w:t>
            </w:r>
            <w:r w:rsidRPr="00527BAA">
              <w:rPr>
                <w:sz w:val="22"/>
              </w:rPr>
              <w:t>dents</w:t>
            </w:r>
            <w:r w:rsidR="00CC7120" w:rsidRPr="00527BAA">
              <w:rPr>
                <w:sz w:val="22"/>
              </w:rPr>
              <w:t>*</w:t>
            </w:r>
          </w:p>
          <w:p w14:paraId="609218CC" w14:textId="77777777" w:rsidR="00CC7120" w:rsidRPr="00527BAA" w:rsidRDefault="00CC7120" w:rsidP="00DD28EC">
            <w:pPr>
              <w:spacing w:before="60" w:after="60" w:line="240" w:lineRule="auto"/>
              <w:jc w:val="center"/>
              <w:rPr>
                <w:sz w:val="22"/>
              </w:rPr>
            </w:pPr>
            <w:r w:rsidRPr="00527BAA">
              <w:rPr>
                <w:sz w:val="22"/>
              </w:rPr>
              <w:t>(n)</w:t>
            </w:r>
          </w:p>
        </w:tc>
      </w:tr>
      <w:tr w:rsidR="004D48E2" w:rsidRPr="00527BAA" w14:paraId="6A46106C" w14:textId="77777777" w:rsidTr="00780FA2">
        <w:trPr>
          <w:trHeight w:val="804"/>
        </w:trPr>
        <w:tc>
          <w:tcPr>
            <w:tcW w:w="2368" w:type="dxa"/>
          </w:tcPr>
          <w:p w14:paraId="06175272" w14:textId="3CD43ACA" w:rsidR="004D48E2" w:rsidRPr="00527BAA" w:rsidRDefault="004D48E2" w:rsidP="004D48E2">
            <w:pPr>
              <w:spacing w:before="60" w:after="60" w:line="240" w:lineRule="auto"/>
              <w:rPr>
                <w:rFonts w:cs="Arial"/>
                <w:sz w:val="22"/>
              </w:rPr>
            </w:pPr>
            <w:r w:rsidRPr="00527BAA">
              <w:rPr>
                <w:sz w:val="22"/>
              </w:rPr>
              <w:t>Indicator 1: Weight management advice</w:t>
            </w:r>
          </w:p>
        </w:tc>
        <w:tc>
          <w:tcPr>
            <w:tcW w:w="987" w:type="dxa"/>
            <w:hideMark/>
          </w:tcPr>
          <w:p w14:paraId="10029590" w14:textId="421F0FEE" w:rsidR="004D48E2" w:rsidRPr="00527BAA" w:rsidRDefault="004D48E2" w:rsidP="004D48E2">
            <w:pPr>
              <w:spacing w:before="60" w:after="60" w:line="240" w:lineRule="auto"/>
              <w:jc w:val="center"/>
              <w:rPr>
                <w:rFonts w:cs="Arial"/>
                <w:sz w:val="22"/>
              </w:rPr>
            </w:pPr>
            <w:r w:rsidRPr="00527BAA">
              <w:rPr>
                <w:rFonts w:cs="Arial"/>
                <w:sz w:val="22"/>
              </w:rPr>
              <w:t>22</w:t>
            </w:r>
            <w:r w:rsidRPr="00527BAA">
              <w:rPr>
                <w:rFonts w:cs="Arial"/>
                <w:sz w:val="22"/>
              </w:rPr>
              <w:br/>
              <w:t>(42.3%)</w:t>
            </w:r>
          </w:p>
        </w:tc>
        <w:tc>
          <w:tcPr>
            <w:tcW w:w="987" w:type="dxa"/>
            <w:hideMark/>
          </w:tcPr>
          <w:p w14:paraId="31B5449E" w14:textId="3889B95C" w:rsidR="004D48E2" w:rsidRPr="00527BAA" w:rsidRDefault="004D48E2" w:rsidP="004D48E2">
            <w:pPr>
              <w:spacing w:before="60" w:after="60" w:line="240" w:lineRule="auto"/>
              <w:jc w:val="center"/>
              <w:rPr>
                <w:rFonts w:cs="Arial"/>
                <w:sz w:val="22"/>
              </w:rPr>
            </w:pPr>
            <w:r w:rsidRPr="00527BAA">
              <w:rPr>
                <w:rFonts w:cs="Arial"/>
                <w:sz w:val="22"/>
              </w:rPr>
              <w:t>35</w:t>
            </w:r>
            <w:r w:rsidRPr="00527BAA">
              <w:rPr>
                <w:rFonts w:cs="Arial"/>
                <w:sz w:val="22"/>
              </w:rPr>
              <w:br/>
              <w:t>(67.3%)</w:t>
            </w:r>
          </w:p>
        </w:tc>
        <w:tc>
          <w:tcPr>
            <w:tcW w:w="1317" w:type="dxa"/>
            <w:hideMark/>
          </w:tcPr>
          <w:p w14:paraId="77A99ED3" w14:textId="0214A3DA" w:rsidR="004D48E2" w:rsidRPr="00527BAA" w:rsidRDefault="004D48E2" w:rsidP="004D48E2">
            <w:pPr>
              <w:spacing w:before="60" w:after="60" w:line="240" w:lineRule="auto"/>
              <w:jc w:val="center"/>
              <w:rPr>
                <w:rFonts w:cs="Arial"/>
                <w:sz w:val="22"/>
              </w:rPr>
            </w:pPr>
            <w:r w:rsidRPr="00527BAA">
              <w:rPr>
                <w:rFonts w:cs="Arial"/>
                <w:sz w:val="22"/>
              </w:rPr>
              <w:t>10</w:t>
            </w:r>
            <w:r w:rsidRPr="00527BAA">
              <w:rPr>
                <w:rFonts w:cs="Arial"/>
                <w:sz w:val="22"/>
              </w:rPr>
              <w:br/>
              <w:t>(19.2%)</w:t>
            </w:r>
          </w:p>
        </w:tc>
        <w:tc>
          <w:tcPr>
            <w:tcW w:w="1106" w:type="dxa"/>
          </w:tcPr>
          <w:p w14:paraId="2740130A" w14:textId="2F99F642" w:rsidR="004D48E2" w:rsidRPr="00527BAA" w:rsidRDefault="004D48E2" w:rsidP="004D48E2">
            <w:pPr>
              <w:spacing w:before="60" w:after="60" w:line="240" w:lineRule="auto"/>
              <w:jc w:val="center"/>
              <w:rPr>
                <w:rFonts w:cs="Arial"/>
                <w:sz w:val="22"/>
              </w:rPr>
            </w:pPr>
            <w:r w:rsidRPr="00527BAA">
              <w:rPr>
                <w:rFonts w:cs="Arial"/>
                <w:sz w:val="22"/>
              </w:rPr>
              <w:t>20</w:t>
            </w:r>
            <w:r w:rsidRPr="00527BAA">
              <w:rPr>
                <w:rFonts w:cs="Arial"/>
                <w:sz w:val="22"/>
              </w:rPr>
              <w:br/>
              <w:t>(38.5%)</w:t>
            </w:r>
          </w:p>
        </w:tc>
        <w:tc>
          <w:tcPr>
            <w:tcW w:w="987" w:type="dxa"/>
            <w:hideMark/>
          </w:tcPr>
          <w:p w14:paraId="579D1048" w14:textId="659882A2" w:rsidR="004D48E2" w:rsidRPr="00527BAA" w:rsidRDefault="004D48E2" w:rsidP="004D48E2">
            <w:pPr>
              <w:spacing w:before="60" w:after="60" w:line="240" w:lineRule="auto"/>
              <w:jc w:val="center"/>
              <w:rPr>
                <w:rFonts w:cs="Arial"/>
                <w:sz w:val="22"/>
              </w:rPr>
            </w:pPr>
            <w:r w:rsidRPr="00527BAA">
              <w:rPr>
                <w:rFonts w:cs="Arial"/>
                <w:sz w:val="22"/>
              </w:rPr>
              <w:t>6</w:t>
            </w:r>
            <w:r w:rsidRPr="00527BAA">
              <w:rPr>
                <w:rFonts w:cs="Arial"/>
                <w:sz w:val="22"/>
              </w:rPr>
              <w:br/>
              <w:t>(11.5%)</w:t>
            </w:r>
          </w:p>
        </w:tc>
        <w:tc>
          <w:tcPr>
            <w:tcW w:w="1599" w:type="dxa"/>
          </w:tcPr>
          <w:p w14:paraId="5D741B31" w14:textId="77777777" w:rsidR="004D48E2" w:rsidRPr="00527BAA" w:rsidRDefault="004D48E2" w:rsidP="004D48E2">
            <w:pPr>
              <w:spacing w:before="60" w:after="60" w:line="240" w:lineRule="auto"/>
              <w:jc w:val="center"/>
              <w:rPr>
                <w:rFonts w:cs="Arial"/>
                <w:sz w:val="22"/>
              </w:rPr>
            </w:pPr>
            <w:r w:rsidRPr="00527BAA">
              <w:rPr>
                <w:rFonts w:cs="Arial"/>
                <w:sz w:val="22"/>
              </w:rPr>
              <w:t>52</w:t>
            </w:r>
          </w:p>
          <w:p w14:paraId="263C16DE" w14:textId="75C89DBF" w:rsidR="004D48E2" w:rsidRPr="00527BAA" w:rsidRDefault="004D48E2" w:rsidP="004D48E2">
            <w:pPr>
              <w:spacing w:before="60" w:after="60" w:line="240" w:lineRule="auto"/>
              <w:jc w:val="center"/>
              <w:rPr>
                <w:rFonts w:cs="Arial"/>
                <w:sz w:val="22"/>
              </w:rPr>
            </w:pPr>
          </w:p>
        </w:tc>
      </w:tr>
      <w:tr w:rsidR="004D48E2" w:rsidRPr="00527BAA" w14:paraId="43D83CA2" w14:textId="77777777" w:rsidTr="00780FA2">
        <w:trPr>
          <w:trHeight w:val="804"/>
        </w:trPr>
        <w:tc>
          <w:tcPr>
            <w:tcW w:w="2368" w:type="dxa"/>
          </w:tcPr>
          <w:p w14:paraId="461BB5BC" w14:textId="34E0363E" w:rsidR="004D48E2" w:rsidRPr="00527BAA" w:rsidRDefault="004D48E2" w:rsidP="004D48E2">
            <w:pPr>
              <w:spacing w:before="60" w:after="60" w:line="240" w:lineRule="auto"/>
              <w:rPr>
                <w:rFonts w:cs="Arial"/>
                <w:sz w:val="22"/>
              </w:rPr>
            </w:pPr>
            <w:r w:rsidRPr="00527BAA">
              <w:rPr>
                <w:sz w:val="22"/>
              </w:rPr>
              <w:t>Indicator 2: Referral for bariatric surgery</w:t>
            </w:r>
          </w:p>
        </w:tc>
        <w:tc>
          <w:tcPr>
            <w:tcW w:w="987" w:type="dxa"/>
          </w:tcPr>
          <w:p w14:paraId="3017C065" w14:textId="56E2358A" w:rsidR="004D48E2" w:rsidRPr="00527BAA" w:rsidRDefault="004D48E2" w:rsidP="004D48E2">
            <w:pPr>
              <w:spacing w:before="60" w:after="60" w:line="240" w:lineRule="auto"/>
              <w:jc w:val="center"/>
              <w:rPr>
                <w:rFonts w:cs="Arial"/>
                <w:sz w:val="22"/>
              </w:rPr>
            </w:pPr>
            <w:r w:rsidRPr="00527BAA">
              <w:rPr>
                <w:rFonts w:cs="Arial"/>
                <w:sz w:val="22"/>
              </w:rPr>
              <w:t>35</w:t>
            </w:r>
            <w:r w:rsidRPr="00527BAA">
              <w:rPr>
                <w:rFonts w:cs="Arial"/>
                <w:sz w:val="22"/>
              </w:rPr>
              <w:br/>
              <w:t>(67.3%)</w:t>
            </w:r>
          </w:p>
        </w:tc>
        <w:tc>
          <w:tcPr>
            <w:tcW w:w="987" w:type="dxa"/>
          </w:tcPr>
          <w:p w14:paraId="1A3CA707" w14:textId="3E9FB378" w:rsidR="004D48E2" w:rsidRPr="00527BAA" w:rsidRDefault="004D48E2" w:rsidP="004D48E2">
            <w:pPr>
              <w:spacing w:before="60" w:after="60" w:line="240" w:lineRule="auto"/>
              <w:jc w:val="center"/>
              <w:rPr>
                <w:rFonts w:cs="Arial"/>
                <w:sz w:val="22"/>
              </w:rPr>
            </w:pPr>
            <w:r w:rsidRPr="00527BAA">
              <w:rPr>
                <w:rFonts w:cs="Arial"/>
                <w:sz w:val="22"/>
              </w:rPr>
              <w:t>26</w:t>
            </w:r>
            <w:r w:rsidRPr="00527BAA">
              <w:rPr>
                <w:rFonts w:cs="Arial"/>
                <w:sz w:val="22"/>
              </w:rPr>
              <w:br/>
              <w:t>(50</w:t>
            </w:r>
            <w:r w:rsidR="00AB01AA" w:rsidRPr="00527BAA">
              <w:rPr>
                <w:rFonts w:cs="Arial"/>
                <w:sz w:val="22"/>
              </w:rPr>
              <w:t>.0</w:t>
            </w:r>
            <w:r w:rsidRPr="00527BAA">
              <w:rPr>
                <w:rFonts w:cs="Arial"/>
                <w:sz w:val="22"/>
              </w:rPr>
              <w:t>%)</w:t>
            </w:r>
          </w:p>
        </w:tc>
        <w:tc>
          <w:tcPr>
            <w:tcW w:w="1317" w:type="dxa"/>
          </w:tcPr>
          <w:p w14:paraId="23E08432" w14:textId="7AAD3215" w:rsidR="004D48E2" w:rsidRPr="00527BAA" w:rsidRDefault="004D48E2" w:rsidP="004D48E2">
            <w:pPr>
              <w:spacing w:before="60" w:after="60" w:line="240" w:lineRule="auto"/>
              <w:jc w:val="center"/>
              <w:rPr>
                <w:rFonts w:cs="Arial"/>
                <w:sz w:val="22"/>
              </w:rPr>
            </w:pPr>
            <w:r w:rsidRPr="00527BAA">
              <w:rPr>
                <w:rFonts w:cs="Arial"/>
                <w:sz w:val="22"/>
              </w:rPr>
              <w:t>10</w:t>
            </w:r>
            <w:r w:rsidRPr="00527BAA">
              <w:rPr>
                <w:rFonts w:cs="Arial"/>
                <w:sz w:val="22"/>
              </w:rPr>
              <w:br/>
              <w:t>(19.2%)</w:t>
            </w:r>
          </w:p>
        </w:tc>
        <w:tc>
          <w:tcPr>
            <w:tcW w:w="1106" w:type="dxa"/>
          </w:tcPr>
          <w:p w14:paraId="773C4508" w14:textId="52D8F6DA" w:rsidR="004D48E2" w:rsidRPr="00527BAA" w:rsidRDefault="004D48E2" w:rsidP="004D48E2">
            <w:pPr>
              <w:spacing w:before="60" w:after="60" w:line="240" w:lineRule="auto"/>
              <w:jc w:val="center"/>
              <w:rPr>
                <w:rFonts w:cs="Arial"/>
                <w:sz w:val="22"/>
              </w:rPr>
            </w:pPr>
            <w:r w:rsidRPr="00527BAA">
              <w:rPr>
                <w:rFonts w:cs="Arial"/>
                <w:sz w:val="22"/>
              </w:rPr>
              <w:t>14</w:t>
            </w:r>
            <w:r w:rsidRPr="00527BAA">
              <w:rPr>
                <w:rFonts w:cs="Arial"/>
                <w:sz w:val="22"/>
              </w:rPr>
              <w:br/>
              <w:t>(26.9%)</w:t>
            </w:r>
          </w:p>
        </w:tc>
        <w:tc>
          <w:tcPr>
            <w:tcW w:w="987" w:type="dxa"/>
          </w:tcPr>
          <w:p w14:paraId="5E314010" w14:textId="7EE5521B" w:rsidR="004D48E2" w:rsidRPr="00527BAA" w:rsidRDefault="004D48E2" w:rsidP="004D48E2">
            <w:pPr>
              <w:spacing w:before="60" w:after="60" w:line="240" w:lineRule="auto"/>
              <w:jc w:val="center"/>
              <w:rPr>
                <w:rFonts w:cs="Arial"/>
                <w:sz w:val="22"/>
              </w:rPr>
            </w:pPr>
            <w:r w:rsidRPr="00527BAA">
              <w:rPr>
                <w:rFonts w:cs="Arial"/>
                <w:sz w:val="22"/>
              </w:rPr>
              <w:t>5</w:t>
            </w:r>
            <w:r w:rsidRPr="00527BAA">
              <w:rPr>
                <w:rFonts w:cs="Arial"/>
                <w:sz w:val="22"/>
              </w:rPr>
              <w:br/>
              <w:t>(9.6%)</w:t>
            </w:r>
          </w:p>
        </w:tc>
        <w:tc>
          <w:tcPr>
            <w:tcW w:w="1599" w:type="dxa"/>
          </w:tcPr>
          <w:p w14:paraId="125B433C" w14:textId="77777777" w:rsidR="004D48E2" w:rsidRPr="00527BAA" w:rsidRDefault="004D48E2" w:rsidP="004D48E2">
            <w:pPr>
              <w:spacing w:before="60" w:after="60" w:line="240" w:lineRule="auto"/>
              <w:jc w:val="center"/>
              <w:rPr>
                <w:rFonts w:cs="Arial"/>
                <w:sz w:val="22"/>
              </w:rPr>
            </w:pPr>
            <w:r w:rsidRPr="00527BAA">
              <w:rPr>
                <w:rFonts w:cs="Arial"/>
                <w:sz w:val="22"/>
              </w:rPr>
              <w:t>52</w:t>
            </w:r>
          </w:p>
          <w:p w14:paraId="22737EE8" w14:textId="77777777" w:rsidR="004D48E2" w:rsidRPr="00527BAA" w:rsidRDefault="004D48E2" w:rsidP="004D48E2">
            <w:pPr>
              <w:spacing w:before="60" w:after="60" w:line="240" w:lineRule="auto"/>
              <w:jc w:val="center"/>
              <w:rPr>
                <w:rFonts w:cs="Arial"/>
                <w:sz w:val="22"/>
              </w:rPr>
            </w:pPr>
          </w:p>
        </w:tc>
      </w:tr>
      <w:tr w:rsidR="004D48E2" w:rsidRPr="00527BAA" w14:paraId="7BC899D0" w14:textId="77777777" w:rsidTr="00780FA2">
        <w:trPr>
          <w:trHeight w:val="804"/>
        </w:trPr>
        <w:tc>
          <w:tcPr>
            <w:tcW w:w="2368" w:type="dxa"/>
          </w:tcPr>
          <w:p w14:paraId="162B9449" w14:textId="188DC0B7" w:rsidR="004D48E2" w:rsidRPr="00527BAA" w:rsidRDefault="004D48E2" w:rsidP="004D48E2">
            <w:pPr>
              <w:spacing w:before="60" w:after="60" w:line="240" w:lineRule="auto"/>
              <w:rPr>
                <w:rFonts w:cs="Arial"/>
                <w:sz w:val="22"/>
              </w:rPr>
            </w:pPr>
            <w:r w:rsidRPr="00527BAA">
              <w:rPr>
                <w:sz w:val="22"/>
              </w:rPr>
              <w:t>Indicator 3: Nutritional status monitoring in primary care after bariatric surgery (all patients)</w:t>
            </w:r>
          </w:p>
        </w:tc>
        <w:tc>
          <w:tcPr>
            <w:tcW w:w="987" w:type="dxa"/>
          </w:tcPr>
          <w:p w14:paraId="20E464ED" w14:textId="1242896F" w:rsidR="004D48E2" w:rsidRPr="00527BAA" w:rsidRDefault="004D48E2" w:rsidP="004D48E2">
            <w:pPr>
              <w:spacing w:before="60" w:after="60" w:line="240" w:lineRule="auto"/>
              <w:jc w:val="center"/>
              <w:rPr>
                <w:rFonts w:cs="Arial"/>
                <w:sz w:val="22"/>
              </w:rPr>
            </w:pPr>
            <w:r w:rsidRPr="00527BAA">
              <w:rPr>
                <w:rFonts w:cs="Arial"/>
                <w:sz w:val="22"/>
              </w:rPr>
              <w:t>32</w:t>
            </w:r>
            <w:r w:rsidRPr="00527BAA">
              <w:rPr>
                <w:rFonts w:cs="Arial"/>
                <w:sz w:val="22"/>
              </w:rPr>
              <w:br/>
              <w:t>(61.5%)</w:t>
            </w:r>
          </w:p>
        </w:tc>
        <w:tc>
          <w:tcPr>
            <w:tcW w:w="987" w:type="dxa"/>
          </w:tcPr>
          <w:p w14:paraId="7500989C" w14:textId="7C721507" w:rsidR="004D48E2" w:rsidRPr="00527BAA" w:rsidRDefault="004D48E2" w:rsidP="004D48E2">
            <w:pPr>
              <w:spacing w:before="60" w:after="60" w:line="240" w:lineRule="auto"/>
              <w:jc w:val="center"/>
              <w:rPr>
                <w:rFonts w:cs="Arial"/>
                <w:sz w:val="22"/>
              </w:rPr>
            </w:pPr>
            <w:r w:rsidRPr="00527BAA">
              <w:rPr>
                <w:rFonts w:cs="Arial"/>
                <w:sz w:val="22"/>
              </w:rPr>
              <w:t>28</w:t>
            </w:r>
            <w:r w:rsidRPr="00527BAA">
              <w:rPr>
                <w:rFonts w:cs="Arial"/>
                <w:sz w:val="22"/>
              </w:rPr>
              <w:br/>
              <w:t>(53.8%)</w:t>
            </w:r>
          </w:p>
        </w:tc>
        <w:tc>
          <w:tcPr>
            <w:tcW w:w="1317" w:type="dxa"/>
          </w:tcPr>
          <w:p w14:paraId="32EB8193" w14:textId="1F9524C2" w:rsidR="004D48E2" w:rsidRPr="00527BAA" w:rsidRDefault="004D48E2" w:rsidP="004D48E2">
            <w:pPr>
              <w:spacing w:before="60" w:after="60" w:line="240" w:lineRule="auto"/>
              <w:jc w:val="center"/>
              <w:rPr>
                <w:rFonts w:cs="Arial"/>
                <w:sz w:val="22"/>
              </w:rPr>
            </w:pPr>
            <w:r w:rsidRPr="00527BAA">
              <w:rPr>
                <w:rFonts w:cs="Arial"/>
                <w:sz w:val="22"/>
              </w:rPr>
              <w:t>13</w:t>
            </w:r>
            <w:r w:rsidRPr="00527BAA">
              <w:rPr>
                <w:rFonts w:cs="Arial"/>
                <w:sz w:val="22"/>
              </w:rPr>
              <w:br/>
              <w:t>(25%)</w:t>
            </w:r>
          </w:p>
        </w:tc>
        <w:tc>
          <w:tcPr>
            <w:tcW w:w="1106" w:type="dxa"/>
          </w:tcPr>
          <w:p w14:paraId="0FD6A345" w14:textId="73A4B0A4" w:rsidR="004D48E2" w:rsidRPr="00527BAA" w:rsidRDefault="004D48E2" w:rsidP="004D48E2">
            <w:pPr>
              <w:spacing w:before="60" w:after="60" w:line="240" w:lineRule="auto"/>
              <w:jc w:val="center"/>
              <w:rPr>
                <w:rFonts w:cs="Arial"/>
                <w:sz w:val="22"/>
              </w:rPr>
            </w:pPr>
            <w:r w:rsidRPr="00527BAA">
              <w:rPr>
                <w:rFonts w:cs="Arial"/>
                <w:sz w:val="22"/>
              </w:rPr>
              <w:t>16</w:t>
            </w:r>
            <w:r w:rsidRPr="00527BAA">
              <w:rPr>
                <w:rFonts w:cs="Arial"/>
                <w:sz w:val="22"/>
              </w:rPr>
              <w:br/>
              <w:t>(30.8%)</w:t>
            </w:r>
          </w:p>
        </w:tc>
        <w:tc>
          <w:tcPr>
            <w:tcW w:w="987" w:type="dxa"/>
          </w:tcPr>
          <w:p w14:paraId="384250C1" w14:textId="3D20C9FE" w:rsidR="004D48E2" w:rsidRPr="00527BAA" w:rsidRDefault="004D48E2" w:rsidP="004D48E2">
            <w:pPr>
              <w:spacing w:before="60" w:after="60" w:line="240" w:lineRule="auto"/>
              <w:jc w:val="center"/>
              <w:rPr>
                <w:rFonts w:cs="Arial"/>
                <w:sz w:val="22"/>
              </w:rPr>
            </w:pPr>
            <w:r w:rsidRPr="00527BAA">
              <w:rPr>
                <w:rFonts w:cs="Arial"/>
                <w:sz w:val="22"/>
              </w:rPr>
              <w:t>5</w:t>
            </w:r>
            <w:r w:rsidRPr="00527BAA">
              <w:rPr>
                <w:rFonts w:cs="Arial"/>
                <w:sz w:val="22"/>
              </w:rPr>
              <w:br/>
              <w:t>(9.6%)</w:t>
            </w:r>
          </w:p>
        </w:tc>
        <w:tc>
          <w:tcPr>
            <w:tcW w:w="1599" w:type="dxa"/>
          </w:tcPr>
          <w:p w14:paraId="6F9485BE" w14:textId="77777777" w:rsidR="004D48E2" w:rsidRPr="00527BAA" w:rsidRDefault="004D48E2" w:rsidP="004D48E2">
            <w:pPr>
              <w:spacing w:before="60" w:after="60" w:line="240" w:lineRule="auto"/>
              <w:jc w:val="center"/>
              <w:rPr>
                <w:rFonts w:cs="Arial"/>
                <w:sz w:val="22"/>
              </w:rPr>
            </w:pPr>
            <w:r w:rsidRPr="00527BAA">
              <w:rPr>
                <w:rFonts w:cs="Arial"/>
                <w:sz w:val="22"/>
              </w:rPr>
              <w:t>52</w:t>
            </w:r>
          </w:p>
          <w:p w14:paraId="6320C8EA" w14:textId="77777777" w:rsidR="004D48E2" w:rsidRPr="00527BAA" w:rsidRDefault="004D48E2" w:rsidP="004D48E2">
            <w:pPr>
              <w:spacing w:before="60" w:after="60" w:line="240" w:lineRule="auto"/>
              <w:jc w:val="center"/>
              <w:rPr>
                <w:rFonts w:cs="Arial"/>
                <w:sz w:val="22"/>
              </w:rPr>
            </w:pPr>
          </w:p>
        </w:tc>
      </w:tr>
      <w:tr w:rsidR="004D48E2" w:rsidRPr="00527BAA" w14:paraId="2CDEE958" w14:textId="77777777" w:rsidTr="00780FA2">
        <w:trPr>
          <w:trHeight w:val="804"/>
        </w:trPr>
        <w:tc>
          <w:tcPr>
            <w:tcW w:w="2368" w:type="dxa"/>
          </w:tcPr>
          <w:p w14:paraId="39A000DC" w14:textId="1126FE4E" w:rsidR="004D48E2" w:rsidRPr="00527BAA" w:rsidRDefault="004D48E2" w:rsidP="004D48E2">
            <w:pPr>
              <w:spacing w:before="60" w:after="60" w:line="240" w:lineRule="auto"/>
              <w:rPr>
                <w:rFonts w:cs="Arial"/>
                <w:sz w:val="22"/>
              </w:rPr>
            </w:pPr>
            <w:r w:rsidRPr="00527BAA">
              <w:rPr>
                <w:sz w:val="22"/>
              </w:rPr>
              <w:t>Indicator 4: Nutritional status monitoring in primary care after bariatric surgery (new patients)</w:t>
            </w:r>
          </w:p>
        </w:tc>
        <w:tc>
          <w:tcPr>
            <w:tcW w:w="987" w:type="dxa"/>
          </w:tcPr>
          <w:p w14:paraId="4A4DC579" w14:textId="368010EC" w:rsidR="004D48E2" w:rsidRPr="00527BAA" w:rsidRDefault="004D48E2" w:rsidP="004D48E2">
            <w:pPr>
              <w:spacing w:before="60" w:after="60" w:line="240" w:lineRule="auto"/>
              <w:jc w:val="center"/>
              <w:rPr>
                <w:rFonts w:cs="Arial"/>
                <w:sz w:val="22"/>
              </w:rPr>
            </w:pPr>
            <w:r w:rsidRPr="00527BAA">
              <w:rPr>
                <w:rFonts w:cs="Arial"/>
                <w:sz w:val="22"/>
              </w:rPr>
              <w:t>31</w:t>
            </w:r>
            <w:r w:rsidRPr="00527BAA">
              <w:rPr>
                <w:rFonts w:cs="Arial"/>
                <w:sz w:val="22"/>
              </w:rPr>
              <w:br/>
              <w:t>(59.6%)</w:t>
            </w:r>
          </w:p>
        </w:tc>
        <w:tc>
          <w:tcPr>
            <w:tcW w:w="987" w:type="dxa"/>
          </w:tcPr>
          <w:p w14:paraId="249D8CB9" w14:textId="68EE526D" w:rsidR="004D48E2" w:rsidRPr="00527BAA" w:rsidRDefault="004D48E2" w:rsidP="004D48E2">
            <w:pPr>
              <w:spacing w:before="60" w:after="60" w:line="240" w:lineRule="auto"/>
              <w:jc w:val="center"/>
              <w:rPr>
                <w:rFonts w:cs="Arial"/>
                <w:sz w:val="22"/>
              </w:rPr>
            </w:pPr>
            <w:r w:rsidRPr="00527BAA">
              <w:rPr>
                <w:rFonts w:cs="Arial"/>
                <w:sz w:val="22"/>
              </w:rPr>
              <w:t>27</w:t>
            </w:r>
            <w:r w:rsidRPr="00527BAA">
              <w:rPr>
                <w:rFonts w:cs="Arial"/>
                <w:sz w:val="22"/>
              </w:rPr>
              <w:br/>
              <w:t>(51.9%)</w:t>
            </w:r>
          </w:p>
        </w:tc>
        <w:tc>
          <w:tcPr>
            <w:tcW w:w="1317" w:type="dxa"/>
          </w:tcPr>
          <w:p w14:paraId="4B2C5FE9" w14:textId="529872F7" w:rsidR="004D48E2" w:rsidRPr="00527BAA" w:rsidRDefault="004D48E2" w:rsidP="004D48E2">
            <w:pPr>
              <w:spacing w:before="60" w:after="60" w:line="240" w:lineRule="auto"/>
              <w:jc w:val="center"/>
              <w:rPr>
                <w:rFonts w:cs="Arial"/>
                <w:sz w:val="22"/>
              </w:rPr>
            </w:pPr>
            <w:r w:rsidRPr="00527BAA">
              <w:rPr>
                <w:rFonts w:cs="Arial"/>
                <w:sz w:val="22"/>
              </w:rPr>
              <w:t>13</w:t>
            </w:r>
            <w:r w:rsidRPr="00527BAA">
              <w:rPr>
                <w:rFonts w:cs="Arial"/>
                <w:sz w:val="22"/>
              </w:rPr>
              <w:br/>
              <w:t>(25%)</w:t>
            </w:r>
          </w:p>
        </w:tc>
        <w:tc>
          <w:tcPr>
            <w:tcW w:w="1106" w:type="dxa"/>
          </w:tcPr>
          <w:p w14:paraId="00684B29" w14:textId="55E3E97B" w:rsidR="004D48E2" w:rsidRPr="00527BAA" w:rsidRDefault="004D48E2" w:rsidP="004D48E2">
            <w:pPr>
              <w:spacing w:before="60" w:after="60" w:line="240" w:lineRule="auto"/>
              <w:jc w:val="center"/>
              <w:rPr>
                <w:rFonts w:cs="Arial"/>
                <w:sz w:val="22"/>
              </w:rPr>
            </w:pPr>
            <w:r w:rsidRPr="00527BAA">
              <w:rPr>
                <w:rFonts w:cs="Arial"/>
                <w:sz w:val="22"/>
              </w:rPr>
              <w:t>16</w:t>
            </w:r>
            <w:r w:rsidRPr="00527BAA">
              <w:rPr>
                <w:rFonts w:cs="Arial"/>
                <w:sz w:val="22"/>
              </w:rPr>
              <w:br/>
              <w:t>(30.8%)</w:t>
            </w:r>
          </w:p>
        </w:tc>
        <w:tc>
          <w:tcPr>
            <w:tcW w:w="987" w:type="dxa"/>
          </w:tcPr>
          <w:p w14:paraId="3C180B62" w14:textId="22C92F01" w:rsidR="004D48E2" w:rsidRPr="00527BAA" w:rsidRDefault="004D48E2" w:rsidP="004D48E2">
            <w:pPr>
              <w:spacing w:before="60" w:after="60" w:line="240" w:lineRule="auto"/>
              <w:jc w:val="center"/>
              <w:rPr>
                <w:rFonts w:cs="Arial"/>
                <w:sz w:val="22"/>
              </w:rPr>
            </w:pPr>
            <w:r w:rsidRPr="00527BAA">
              <w:rPr>
                <w:rFonts w:cs="Arial"/>
                <w:sz w:val="22"/>
              </w:rPr>
              <w:t>5</w:t>
            </w:r>
            <w:r w:rsidRPr="00527BAA">
              <w:rPr>
                <w:rFonts w:cs="Arial"/>
                <w:sz w:val="22"/>
              </w:rPr>
              <w:br/>
              <w:t>(9.6%)</w:t>
            </w:r>
          </w:p>
        </w:tc>
        <w:tc>
          <w:tcPr>
            <w:tcW w:w="1599" w:type="dxa"/>
          </w:tcPr>
          <w:p w14:paraId="59E2EB02" w14:textId="77777777" w:rsidR="004D48E2" w:rsidRPr="00527BAA" w:rsidRDefault="004D48E2" w:rsidP="004D48E2">
            <w:pPr>
              <w:spacing w:before="60" w:after="60" w:line="240" w:lineRule="auto"/>
              <w:jc w:val="center"/>
              <w:rPr>
                <w:rFonts w:cs="Arial"/>
                <w:sz w:val="22"/>
              </w:rPr>
            </w:pPr>
            <w:r w:rsidRPr="00527BAA">
              <w:rPr>
                <w:rFonts w:cs="Arial"/>
                <w:sz w:val="22"/>
              </w:rPr>
              <w:t>52</w:t>
            </w:r>
          </w:p>
          <w:p w14:paraId="01797DE2" w14:textId="77777777" w:rsidR="004D48E2" w:rsidRPr="00527BAA" w:rsidRDefault="004D48E2" w:rsidP="004D48E2">
            <w:pPr>
              <w:spacing w:before="60" w:after="60" w:line="240" w:lineRule="auto"/>
              <w:jc w:val="center"/>
              <w:rPr>
                <w:rFonts w:cs="Arial"/>
                <w:sz w:val="22"/>
              </w:rPr>
            </w:pPr>
          </w:p>
        </w:tc>
      </w:tr>
    </w:tbl>
    <w:p w14:paraId="1AEE9D99" w14:textId="5590E581" w:rsidR="002E4005" w:rsidRDefault="002E4005" w:rsidP="00AD409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cs="Arial"/>
          <w:sz w:val="20"/>
          <w:szCs w:val="20"/>
        </w:rPr>
      </w:pPr>
      <w:r w:rsidRPr="007D7D94">
        <w:rPr>
          <w:rFonts w:cs="Arial"/>
          <w:sz w:val="20"/>
          <w:szCs w:val="20"/>
        </w:rPr>
        <w:t xml:space="preserve">* </w:t>
      </w:r>
      <w:r>
        <w:rPr>
          <w:rFonts w:cs="Arial"/>
          <w:sz w:val="20"/>
          <w:szCs w:val="20"/>
        </w:rPr>
        <w:t>This</w:t>
      </w:r>
      <w:r w:rsidRPr="007D7D94">
        <w:rPr>
          <w:rFonts w:cs="Arial"/>
          <w:sz w:val="20"/>
          <w:szCs w:val="20"/>
        </w:rPr>
        <w:t xml:space="preserve"> is a multiple response question, </w:t>
      </w:r>
      <w:r>
        <w:rPr>
          <w:rFonts w:cs="Arial"/>
          <w:sz w:val="20"/>
          <w:szCs w:val="20"/>
        </w:rPr>
        <w:t xml:space="preserve">so </w:t>
      </w:r>
      <w:r w:rsidRPr="00AE7C73">
        <w:rPr>
          <w:rFonts w:cs="Arial"/>
          <w:sz w:val="20"/>
          <w:szCs w:val="20"/>
        </w:rPr>
        <w:t xml:space="preserve">the number of responses per indicator/row </w:t>
      </w:r>
      <w:r>
        <w:rPr>
          <w:rFonts w:cs="Arial"/>
          <w:sz w:val="20"/>
          <w:szCs w:val="20"/>
        </w:rPr>
        <w:t>totals</w:t>
      </w:r>
      <w:r w:rsidRPr="00AE7C73">
        <w:rPr>
          <w:rFonts w:cs="Arial"/>
          <w:sz w:val="20"/>
          <w:szCs w:val="20"/>
        </w:rPr>
        <w:t xml:space="preserve"> more than </w:t>
      </w:r>
      <w:r w:rsidR="004D48E2">
        <w:rPr>
          <w:rFonts w:cs="Arial"/>
          <w:sz w:val="20"/>
          <w:szCs w:val="20"/>
        </w:rPr>
        <w:t>52</w:t>
      </w:r>
      <w:r>
        <w:rPr>
          <w:rFonts w:cs="Arial"/>
          <w:sz w:val="20"/>
          <w:szCs w:val="20"/>
        </w:rPr>
        <w:t>,</w:t>
      </w:r>
      <w:r w:rsidRPr="00AE7C73">
        <w:rPr>
          <w:rFonts w:cs="Arial"/>
          <w:sz w:val="20"/>
          <w:szCs w:val="20"/>
        </w:rPr>
        <w:t xml:space="preserve"> as respondents could select more than one response</w:t>
      </w:r>
    </w:p>
    <w:p w14:paraId="315E0F14" w14:textId="32443F94" w:rsidR="00CC7120" w:rsidRDefault="00CC7120" w:rsidP="00AA0981">
      <w:pPr>
        <w:pStyle w:val="Heading3"/>
      </w:pPr>
      <w:r>
        <w:lastRenderedPageBreak/>
        <w:t>Time pressure</w:t>
      </w:r>
      <w:r w:rsidR="00076E90">
        <w:t xml:space="preserve"> and</w:t>
      </w:r>
      <w:r>
        <w:t xml:space="preserve"> appointment capacity </w:t>
      </w:r>
    </w:p>
    <w:p w14:paraId="494A9331" w14:textId="776EF9CB" w:rsidR="00BB2FBB" w:rsidRDefault="00F4106E" w:rsidP="00A77B89">
      <w:r>
        <w:t xml:space="preserve">Just over </w:t>
      </w:r>
      <w:r w:rsidR="00BB2FBB">
        <w:t>two</w:t>
      </w:r>
      <w:r>
        <w:t xml:space="preserve"> third</w:t>
      </w:r>
      <w:r w:rsidR="00BB2FBB">
        <w:t>s</w:t>
      </w:r>
      <w:r>
        <w:t xml:space="preserve"> of</w:t>
      </w:r>
      <w:r w:rsidR="00997ECD">
        <w:t xml:space="preserve"> respondents to the survey</w:t>
      </w:r>
      <w:r w:rsidR="00BB2FBB">
        <w:t xml:space="preserve"> (67.3%, 35/52)</w:t>
      </w:r>
      <w:r w:rsidR="00997ECD">
        <w:t xml:space="preserve"> thought there would be time pressure issues in the practice </w:t>
      </w:r>
      <w:r w:rsidR="00BB2FBB">
        <w:t>relating to all four weight management indicators</w:t>
      </w:r>
      <w:r w:rsidR="00962F32">
        <w:t xml:space="preserve"> (Table 7)</w:t>
      </w:r>
      <w:r w:rsidR="00BB2FBB">
        <w:t>. 21.2% (11/52) thought there would not be in relation to indicators 1 and 2, with 19.2% (10/52) saying no for indicator 3 and 17.3% (9/52) saying no for indicator 4. The remainder were unsure.</w:t>
      </w:r>
    </w:p>
    <w:p w14:paraId="71A0EAAB" w14:textId="5415395B" w:rsidR="00CC7120" w:rsidRDefault="00CC7120" w:rsidP="00CC7120">
      <w:pPr>
        <w:spacing w:line="276" w:lineRule="auto"/>
        <w:rPr>
          <w:u w:val="single"/>
        </w:rPr>
      </w:pPr>
      <w:r w:rsidRPr="004B4482">
        <w:rPr>
          <w:u w:val="single"/>
        </w:rPr>
        <w:t xml:space="preserve">Table </w:t>
      </w:r>
      <w:r w:rsidR="00FA6199">
        <w:rPr>
          <w:u w:val="single"/>
        </w:rPr>
        <w:t>7</w:t>
      </w:r>
      <w:r w:rsidRPr="004B4482">
        <w:rPr>
          <w:u w:val="single"/>
        </w:rPr>
        <w:t xml:space="preserve">: Views on </w:t>
      </w:r>
      <w:r>
        <w:rPr>
          <w:u w:val="single"/>
        </w:rPr>
        <w:t xml:space="preserve">time pressure issues in the practice relating to the indicators </w:t>
      </w:r>
      <w:r w:rsidRPr="004B4482">
        <w:rPr>
          <w:u w:val="single"/>
        </w:rPr>
        <w:t>(survey)</w:t>
      </w:r>
    </w:p>
    <w:p w14:paraId="6915F1F0" w14:textId="09EF71A9" w:rsidR="00780FA2" w:rsidRPr="004B4482" w:rsidRDefault="00780FA2" w:rsidP="00CC7120">
      <w:pPr>
        <w:spacing w:line="276" w:lineRule="auto"/>
        <w:rPr>
          <w:u w:val="single"/>
        </w:rPr>
      </w:pPr>
      <w:r w:rsidRPr="008C7154">
        <w:rPr>
          <w:rFonts w:cs="Arial"/>
          <w:b/>
          <w:bCs/>
          <w:color w:val="010205"/>
          <w:sz w:val="22"/>
        </w:rPr>
        <w:t>Can you foresee any other time pressure issues in the practice relating to the indicator</w:t>
      </w:r>
      <w:r>
        <w:rPr>
          <w:rFonts w:cs="Arial"/>
          <w:b/>
          <w:bCs/>
          <w:color w:val="010205"/>
          <w:sz w:val="22"/>
        </w:rPr>
        <w:t>s?</w:t>
      </w:r>
    </w:p>
    <w:tbl>
      <w:tblPr>
        <w:tblStyle w:val="TableGrid"/>
        <w:tblW w:w="9209" w:type="dxa"/>
        <w:tblLook w:val="04A0" w:firstRow="1" w:lastRow="0" w:firstColumn="1" w:lastColumn="0" w:noHBand="0" w:noVBand="1"/>
      </w:tblPr>
      <w:tblGrid>
        <w:gridCol w:w="4815"/>
        <w:gridCol w:w="1241"/>
        <w:gridCol w:w="1169"/>
        <w:gridCol w:w="1234"/>
        <w:gridCol w:w="750"/>
      </w:tblGrid>
      <w:tr w:rsidR="00CC7120" w:rsidRPr="00527BAA" w14:paraId="513A9136" w14:textId="77777777" w:rsidTr="00DD28EC">
        <w:tc>
          <w:tcPr>
            <w:tcW w:w="4815" w:type="dxa"/>
            <w:tcBorders>
              <w:top w:val="single" w:sz="4" w:space="0" w:color="auto"/>
              <w:left w:val="single" w:sz="4" w:space="0" w:color="auto"/>
              <w:bottom w:val="single" w:sz="4" w:space="0" w:color="auto"/>
              <w:right w:val="single" w:sz="4" w:space="0" w:color="auto"/>
            </w:tcBorders>
          </w:tcPr>
          <w:p w14:paraId="4AF46505" w14:textId="77777777" w:rsidR="00CC7120" w:rsidRPr="00527BAA" w:rsidRDefault="00CC7120" w:rsidP="00DD28EC">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1CD45167" w14:textId="77777777" w:rsidR="00CC7120" w:rsidRPr="00527BAA" w:rsidRDefault="00CC7120" w:rsidP="00DD28EC">
            <w:pPr>
              <w:spacing w:before="60" w:after="60" w:line="240" w:lineRule="auto"/>
              <w:jc w:val="center"/>
              <w:rPr>
                <w:sz w:val="22"/>
              </w:rPr>
            </w:pPr>
            <w:r w:rsidRPr="00527BAA">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18439511" w14:textId="77777777" w:rsidR="00CC7120" w:rsidRPr="00527BAA" w:rsidRDefault="00CC7120" w:rsidP="00DD28EC">
            <w:pPr>
              <w:spacing w:before="60" w:after="60" w:line="240" w:lineRule="auto"/>
              <w:jc w:val="center"/>
              <w:rPr>
                <w:sz w:val="22"/>
              </w:rPr>
            </w:pPr>
            <w:r w:rsidRPr="00527BAA">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73BA6CF0" w14:textId="77777777" w:rsidR="00CC7120" w:rsidRPr="00527BAA" w:rsidRDefault="00CC7120" w:rsidP="00DD28EC">
            <w:pPr>
              <w:spacing w:before="60" w:after="60" w:line="240" w:lineRule="auto"/>
              <w:jc w:val="center"/>
              <w:rPr>
                <w:sz w:val="22"/>
              </w:rPr>
            </w:pPr>
            <w:r w:rsidRPr="00527BAA">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51F22321" w14:textId="77777777" w:rsidR="00CC7120" w:rsidRPr="00527BAA" w:rsidRDefault="00CC7120" w:rsidP="00DD28EC">
            <w:pPr>
              <w:spacing w:before="60" w:after="60" w:line="240" w:lineRule="auto"/>
              <w:jc w:val="center"/>
              <w:rPr>
                <w:sz w:val="22"/>
              </w:rPr>
            </w:pPr>
            <w:r w:rsidRPr="00527BAA">
              <w:rPr>
                <w:sz w:val="22"/>
              </w:rPr>
              <w:t>Total</w:t>
            </w:r>
          </w:p>
        </w:tc>
      </w:tr>
      <w:tr w:rsidR="00310C1E" w:rsidRPr="00527BAA" w14:paraId="6C537178" w14:textId="77777777" w:rsidTr="00DD28EC">
        <w:trPr>
          <w:trHeight w:val="804"/>
        </w:trPr>
        <w:tc>
          <w:tcPr>
            <w:tcW w:w="4815" w:type="dxa"/>
            <w:tcBorders>
              <w:top w:val="single" w:sz="4" w:space="0" w:color="auto"/>
              <w:left w:val="single" w:sz="4" w:space="0" w:color="auto"/>
              <w:bottom w:val="single" w:sz="4" w:space="0" w:color="auto"/>
              <w:right w:val="single" w:sz="4" w:space="0" w:color="auto"/>
            </w:tcBorders>
            <w:hideMark/>
          </w:tcPr>
          <w:p w14:paraId="4EE1B7DB" w14:textId="32AC0037" w:rsidR="00310C1E" w:rsidRPr="00527BAA" w:rsidRDefault="00310C1E" w:rsidP="00310C1E">
            <w:pPr>
              <w:spacing w:before="60" w:after="60" w:line="240" w:lineRule="auto"/>
              <w:rPr>
                <w:sz w:val="22"/>
              </w:rPr>
            </w:pPr>
            <w:r w:rsidRPr="00527BAA">
              <w:rPr>
                <w:sz w:val="22"/>
              </w:rPr>
              <w:t>Indicator 1: Weight management advice</w:t>
            </w:r>
          </w:p>
        </w:tc>
        <w:tc>
          <w:tcPr>
            <w:tcW w:w="1241" w:type="dxa"/>
            <w:tcBorders>
              <w:top w:val="single" w:sz="4" w:space="0" w:color="auto"/>
              <w:left w:val="single" w:sz="4" w:space="0" w:color="auto"/>
              <w:bottom w:val="single" w:sz="4" w:space="0" w:color="auto"/>
              <w:right w:val="single" w:sz="4" w:space="0" w:color="auto"/>
            </w:tcBorders>
            <w:hideMark/>
          </w:tcPr>
          <w:p w14:paraId="6E850B6A" w14:textId="77777777" w:rsidR="00310C1E" w:rsidRPr="00527BAA" w:rsidRDefault="00310C1E" w:rsidP="00310C1E">
            <w:pPr>
              <w:spacing w:before="60" w:after="60" w:line="240" w:lineRule="auto"/>
              <w:jc w:val="center"/>
              <w:rPr>
                <w:sz w:val="22"/>
              </w:rPr>
            </w:pPr>
            <w:r w:rsidRPr="00527BAA">
              <w:rPr>
                <w:sz w:val="22"/>
              </w:rPr>
              <w:t>35</w:t>
            </w:r>
          </w:p>
          <w:p w14:paraId="607F90AC" w14:textId="53F1C7F2" w:rsidR="00310C1E" w:rsidRPr="00527BAA" w:rsidRDefault="00310C1E" w:rsidP="00310C1E">
            <w:pPr>
              <w:spacing w:before="60" w:after="60" w:line="240" w:lineRule="auto"/>
              <w:jc w:val="center"/>
              <w:rPr>
                <w:sz w:val="22"/>
              </w:rPr>
            </w:pPr>
            <w:r w:rsidRPr="00527BAA">
              <w:rPr>
                <w:sz w:val="22"/>
              </w:rPr>
              <w:t>(67.3%)</w:t>
            </w:r>
          </w:p>
        </w:tc>
        <w:tc>
          <w:tcPr>
            <w:tcW w:w="1169" w:type="dxa"/>
            <w:tcBorders>
              <w:top w:val="single" w:sz="4" w:space="0" w:color="auto"/>
              <w:left w:val="single" w:sz="4" w:space="0" w:color="auto"/>
              <w:bottom w:val="single" w:sz="4" w:space="0" w:color="auto"/>
              <w:right w:val="single" w:sz="4" w:space="0" w:color="auto"/>
            </w:tcBorders>
            <w:hideMark/>
          </w:tcPr>
          <w:p w14:paraId="273FD194" w14:textId="77777777" w:rsidR="00310C1E" w:rsidRPr="00527BAA" w:rsidRDefault="00310C1E" w:rsidP="00310C1E">
            <w:pPr>
              <w:spacing w:before="60" w:after="60" w:line="240" w:lineRule="auto"/>
              <w:jc w:val="center"/>
              <w:rPr>
                <w:sz w:val="22"/>
              </w:rPr>
            </w:pPr>
            <w:r w:rsidRPr="00527BAA">
              <w:rPr>
                <w:sz w:val="22"/>
              </w:rPr>
              <w:t>11</w:t>
            </w:r>
          </w:p>
          <w:p w14:paraId="1564F14F" w14:textId="6E0B582E" w:rsidR="00310C1E" w:rsidRPr="00527BAA" w:rsidRDefault="00310C1E" w:rsidP="00310C1E">
            <w:pPr>
              <w:spacing w:before="60" w:after="60" w:line="240" w:lineRule="auto"/>
              <w:jc w:val="center"/>
              <w:rPr>
                <w:sz w:val="22"/>
              </w:rPr>
            </w:pPr>
            <w:r w:rsidRPr="00527BAA">
              <w:rPr>
                <w:sz w:val="22"/>
              </w:rPr>
              <w:t>(21.2%)</w:t>
            </w:r>
          </w:p>
        </w:tc>
        <w:tc>
          <w:tcPr>
            <w:tcW w:w="1234" w:type="dxa"/>
            <w:tcBorders>
              <w:top w:val="single" w:sz="4" w:space="0" w:color="auto"/>
              <w:left w:val="single" w:sz="4" w:space="0" w:color="auto"/>
              <w:bottom w:val="single" w:sz="4" w:space="0" w:color="auto"/>
              <w:right w:val="single" w:sz="4" w:space="0" w:color="auto"/>
            </w:tcBorders>
            <w:hideMark/>
          </w:tcPr>
          <w:p w14:paraId="05C5E1B4" w14:textId="77777777" w:rsidR="00310C1E" w:rsidRPr="00527BAA" w:rsidRDefault="00310C1E" w:rsidP="00310C1E">
            <w:pPr>
              <w:spacing w:before="60" w:after="60" w:line="240" w:lineRule="auto"/>
              <w:jc w:val="center"/>
              <w:rPr>
                <w:sz w:val="22"/>
              </w:rPr>
            </w:pPr>
            <w:r w:rsidRPr="00527BAA">
              <w:rPr>
                <w:sz w:val="22"/>
              </w:rPr>
              <w:t>6</w:t>
            </w:r>
          </w:p>
          <w:p w14:paraId="3BDE0608" w14:textId="1460D653" w:rsidR="00310C1E" w:rsidRPr="00527BAA" w:rsidRDefault="00310C1E" w:rsidP="00310C1E">
            <w:pPr>
              <w:spacing w:before="60" w:after="60" w:line="240" w:lineRule="auto"/>
              <w:jc w:val="center"/>
              <w:rPr>
                <w:sz w:val="22"/>
              </w:rPr>
            </w:pPr>
            <w:r w:rsidRPr="00527BAA">
              <w:rPr>
                <w:sz w:val="22"/>
              </w:rPr>
              <w:t>(11.5%)</w:t>
            </w:r>
          </w:p>
        </w:tc>
        <w:tc>
          <w:tcPr>
            <w:tcW w:w="750" w:type="dxa"/>
            <w:tcBorders>
              <w:top w:val="single" w:sz="4" w:space="0" w:color="auto"/>
              <w:left w:val="single" w:sz="4" w:space="0" w:color="auto"/>
              <w:bottom w:val="single" w:sz="4" w:space="0" w:color="auto"/>
              <w:right w:val="single" w:sz="4" w:space="0" w:color="auto"/>
            </w:tcBorders>
            <w:hideMark/>
          </w:tcPr>
          <w:p w14:paraId="4F9A44EF" w14:textId="5B61565D" w:rsidR="00310C1E" w:rsidRPr="00527BAA" w:rsidRDefault="00310C1E" w:rsidP="00310C1E">
            <w:pPr>
              <w:spacing w:before="60" w:after="60" w:line="240" w:lineRule="auto"/>
              <w:jc w:val="center"/>
              <w:rPr>
                <w:sz w:val="22"/>
              </w:rPr>
            </w:pPr>
            <w:r w:rsidRPr="00527BAA">
              <w:rPr>
                <w:sz w:val="22"/>
              </w:rPr>
              <w:t>52</w:t>
            </w:r>
          </w:p>
        </w:tc>
      </w:tr>
      <w:tr w:rsidR="00310C1E" w:rsidRPr="00527BAA" w14:paraId="05BAB204" w14:textId="77777777" w:rsidTr="00DD28EC">
        <w:trPr>
          <w:trHeight w:val="804"/>
        </w:trPr>
        <w:tc>
          <w:tcPr>
            <w:tcW w:w="4815" w:type="dxa"/>
            <w:tcBorders>
              <w:top w:val="single" w:sz="4" w:space="0" w:color="auto"/>
              <w:left w:val="single" w:sz="4" w:space="0" w:color="auto"/>
              <w:bottom w:val="single" w:sz="4" w:space="0" w:color="auto"/>
              <w:right w:val="single" w:sz="4" w:space="0" w:color="auto"/>
            </w:tcBorders>
          </w:tcPr>
          <w:p w14:paraId="38871FB3" w14:textId="0B9103E4" w:rsidR="00310C1E" w:rsidRPr="00527BAA" w:rsidRDefault="00310C1E" w:rsidP="00310C1E">
            <w:pPr>
              <w:spacing w:before="60" w:after="60" w:line="240" w:lineRule="auto"/>
              <w:rPr>
                <w:rFonts w:cs="Arial"/>
                <w:sz w:val="22"/>
              </w:rPr>
            </w:pPr>
            <w:r w:rsidRPr="00527BAA">
              <w:rPr>
                <w:sz w:val="22"/>
              </w:rPr>
              <w:t>Indicator 2: Referral for bariatric surgery</w:t>
            </w:r>
          </w:p>
        </w:tc>
        <w:tc>
          <w:tcPr>
            <w:tcW w:w="1241" w:type="dxa"/>
            <w:tcBorders>
              <w:top w:val="single" w:sz="4" w:space="0" w:color="auto"/>
              <w:left w:val="single" w:sz="4" w:space="0" w:color="auto"/>
              <w:bottom w:val="single" w:sz="4" w:space="0" w:color="auto"/>
              <w:right w:val="single" w:sz="4" w:space="0" w:color="auto"/>
            </w:tcBorders>
          </w:tcPr>
          <w:p w14:paraId="24168D03" w14:textId="77777777" w:rsidR="00310C1E" w:rsidRPr="00527BAA" w:rsidRDefault="00310C1E" w:rsidP="00310C1E">
            <w:pPr>
              <w:spacing w:before="60" w:after="60" w:line="240" w:lineRule="auto"/>
              <w:jc w:val="center"/>
              <w:rPr>
                <w:sz w:val="22"/>
              </w:rPr>
            </w:pPr>
            <w:r w:rsidRPr="00527BAA">
              <w:rPr>
                <w:sz w:val="22"/>
              </w:rPr>
              <w:t>35</w:t>
            </w:r>
          </w:p>
          <w:p w14:paraId="32D7F21E" w14:textId="102C77FF" w:rsidR="00310C1E" w:rsidRPr="00527BAA" w:rsidRDefault="00310C1E" w:rsidP="00310C1E">
            <w:pPr>
              <w:spacing w:before="60" w:after="60" w:line="240" w:lineRule="auto"/>
              <w:jc w:val="center"/>
              <w:rPr>
                <w:sz w:val="22"/>
              </w:rPr>
            </w:pPr>
            <w:r w:rsidRPr="00527BAA">
              <w:rPr>
                <w:sz w:val="22"/>
              </w:rPr>
              <w:t>(67.3%)</w:t>
            </w:r>
          </w:p>
        </w:tc>
        <w:tc>
          <w:tcPr>
            <w:tcW w:w="1169" w:type="dxa"/>
            <w:tcBorders>
              <w:top w:val="single" w:sz="4" w:space="0" w:color="auto"/>
              <w:left w:val="single" w:sz="4" w:space="0" w:color="auto"/>
              <w:bottom w:val="single" w:sz="4" w:space="0" w:color="auto"/>
              <w:right w:val="single" w:sz="4" w:space="0" w:color="auto"/>
            </w:tcBorders>
          </w:tcPr>
          <w:p w14:paraId="3243BB68" w14:textId="77777777" w:rsidR="00310C1E" w:rsidRPr="00527BAA" w:rsidRDefault="00310C1E" w:rsidP="00310C1E">
            <w:pPr>
              <w:spacing w:before="60" w:after="60" w:line="240" w:lineRule="auto"/>
              <w:jc w:val="center"/>
              <w:rPr>
                <w:sz w:val="22"/>
              </w:rPr>
            </w:pPr>
            <w:r w:rsidRPr="00527BAA">
              <w:rPr>
                <w:sz w:val="22"/>
              </w:rPr>
              <w:t>11</w:t>
            </w:r>
          </w:p>
          <w:p w14:paraId="21702571" w14:textId="6B794E5C" w:rsidR="00310C1E" w:rsidRPr="00527BAA" w:rsidRDefault="00310C1E" w:rsidP="00310C1E">
            <w:pPr>
              <w:spacing w:before="60" w:after="60" w:line="240" w:lineRule="auto"/>
              <w:jc w:val="center"/>
              <w:rPr>
                <w:sz w:val="22"/>
              </w:rPr>
            </w:pPr>
            <w:r w:rsidRPr="00527BAA">
              <w:rPr>
                <w:sz w:val="22"/>
              </w:rPr>
              <w:t>(21.2%)</w:t>
            </w:r>
          </w:p>
        </w:tc>
        <w:tc>
          <w:tcPr>
            <w:tcW w:w="1234" w:type="dxa"/>
            <w:tcBorders>
              <w:top w:val="single" w:sz="4" w:space="0" w:color="auto"/>
              <w:left w:val="single" w:sz="4" w:space="0" w:color="auto"/>
              <w:bottom w:val="single" w:sz="4" w:space="0" w:color="auto"/>
              <w:right w:val="single" w:sz="4" w:space="0" w:color="auto"/>
            </w:tcBorders>
          </w:tcPr>
          <w:p w14:paraId="56A120E7" w14:textId="77777777" w:rsidR="00310C1E" w:rsidRPr="00527BAA" w:rsidRDefault="00310C1E" w:rsidP="00310C1E">
            <w:pPr>
              <w:spacing w:before="60" w:after="60" w:line="240" w:lineRule="auto"/>
              <w:jc w:val="center"/>
              <w:rPr>
                <w:sz w:val="22"/>
              </w:rPr>
            </w:pPr>
            <w:r w:rsidRPr="00527BAA">
              <w:rPr>
                <w:sz w:val="22"/>
              </w:rPr>
              <w:t>6</w:t>
            </w:r>
          </w:p>
          <w:p w14:paraId="665930E5" w14:textId="7E782BE9" w:rsidR="00310C1E" w:rsidRPr="00527BAA" w:rsidRDefault="00310C1E" w:rsidP="00310C1E">
            <w:pPr>
              <w:spacing w:before="60" w:after="60" w:line="240" w:lineRule="auto"/>
              <w:jc w:val="center"/>
              <w:rPr>
                <w:sz w:val="22"/>
              </w:rPr>
            </w:pPr>
            <w:r w:rsidRPr="00527BAA">
              <w:rPr>
                <w:sz w:val="22"/>
              </w:rPr>
              <w:t>(11.5%)</w:t>
            </w:r>
          </w:p>
        </w:tc>
        <w:tc>
          <w:tcPr>
            <w:tcW w:w="750" w:type="dxa"/>
            <w:tcBorders>
              <w:top w:val="single" w:sz="4" w:space="0" w:color="auto"/>
              <w:left w:val="single" w:sz="4" w:space="0" w:color="auto"/>
              <w:bottom w:val="single" w:sz="4" w:space="0" w:color="auto"/>
              <w:right w:val="single" w:sz="4" w:space="0" w:color="auto"/>
            </w:tcBorders>
          </w:tcPr>
          <w:p w14:paraId="06B5C106" w14:textId="226C144C" w:rsidR="00310C1E" w:rsidRPr="00527BAA" w:rsidRDefault="00310C1E" w:rsidP="00310C1E">
            <w:pPr>
              <w:spacing w:before="60" w:after="60" w:line="240" w:lineRule="auto"/>
              <w:jc w:val="center"/>
              <w:rPr>
                <w:sz w:val="22"/>
              </w:rPr>
            </w:pPr>
            <w:r w:rsidRPr="00527BAA">
              <w:rPr>
                <w:sz w:val="22"/>
              </w:rPr>
              <w:t>52</w:t>
            </w:r>
          </w:p>
        </w:tc>
      </w:tr>
      <w:tr w:rsidR="00310C1E" w:rsidRPr="00527BAA" w14:paraId="4E63940C" w14:textId="77777777" w:rsidTr="00DD28EC">
        <w:trPr>
          <w:trHeight w:val="804"/>
        </w:trPr>
        <w:tc>
          <w:tcPr>
            <w:tcW w:w="4815" w:type="dxa"/>
            <w:tcBorders>
              <w:top w:val="single" w:sz="4" w:space="0" w:color="auto"/>
              <w:left w:val="single" w:sz="4" w:space="0" w:color="auto"/>
              <w:bottom w:val="single" w:sz="4" w:space="0" w:color="auto"/>
              <w:right w:val="single" w:sz="4" w:space="0" w:color="auto"/>
            </w:tcBorders>
          </w:tcPr>
          <w:p w14:paraId="65BBB4F2" w14:textId="554F075C" w:rsidR="00310C1E" w:rsidRPr="00527BAA" w:rsidRDefault="00310C1E" w:rsidP="00310C1E">
            <w:pPr>
              <w:spacing w:before="60" w:after="60" w:line="240" w:lineRule="auto"/>
              <w:rPr>
                <w:rFonts w:cs="Arial"/>
                <w:sz w:val="22"/>
              </w:rPr>
            </w:pPr>
            <w:r w:rsidRPr="00527BAA">
              <w:rPr>
                <w:sz w:val="22"/>
              </w:rPr>
              <w:t>Indicator 3: Nutritional status monitoring in primary care after bariatric surgery (all patients)</w:t>
            </w:r>
          </w:p>
        </w:tc>
        <w:tc>
          <w:tcPr>
            <w:tcW w:w="1241" w:type="dxa"/>
            <w:tcBorders>
              <w:top w:val="single" w:sz="4" w:space="0" w:color="auto"/>
              <w:left w:val="single" w:sz="4" w:space="0" w:color="auto"/>
              <w:bottom w:val="single" w:sz="4" w:space="0" w:color="auto"/>
              <w:right w:val="single" w:sz="4" w:space="0" w:color="auto"/>
            </w:tcBorders>
          </w:tcPr>
          <w:p w14:paraId="5B137B14" w14:textId="77777777" w:rsidR="00310C1E" w:rsidRPr="00527BAA" w:rsidRDefault="00310C1E" w:rsidP="00310C1E">
            <w:pPr>
              <w:spacing w:before="60" w:after="60" w:line="240" w:lineRule="auto"/>
              <w:jc w:val="center"/>
              <w:rPr>
                <w:sz w:val="22"/>
              </w:rPr>
            </w:pPr>
            <w:r w:rsidRPr="00527BAA">
              <w:rPr>
                <w:sz w:val="22"/>
              </w:rPr>
              <w:t>35</w:t>
            </w:r>
          </w:p>
          <w:p w14:paraId="6D1989D8" w14:textId="15658389" w:rsidR="00310C1E" w:rsidRPr="00527BAA" w:rsidRDefault="00310C1E" w:rsidP="00310C1E">
            <w:pPr>
              <w:spacing w:before="60" w:after="60" w:line="240" w:lineRule="auto"/>
              <w:jc w:val="center"/>
              <w:rPr>
                <w:sz w:val="22"/>
              </w:rPr>
            </w:pPr>
            <w:r w:rsidRPr="00527BAA">
              <w:rPr>
                <w:sz w:val="22"/>
              </w:rPr>
              <w:t>(67.3%)</w:t>
            </w:r>
          </w:p>
        </w:tc>
        <w:tc>
          <w:tcPr>
            <w:tcW w:w="1169" w:type="dxa"/>
            <w:tcBorders>
              <w:top w:val="single" w:sz="4" w:space="0" w:color="auto"/>
              <w:left w:val="single" w:sz="4" w:space="0" w:color="auto"/>
              <w:bottom w:val="single" w:sz="4" w:space="0" w:color="auto"/>
              <w:right w:val="single" w:sz="4" w:space="0" w:color="auto"/>
            </w:tcBorders>
          </w:tcPr>
          <w:p w14:paraId="25423A4A" w14:textId="77777777" w:rsidR="00310C1E" w:rsidRPr="00527BAA" w:rsidRDefault="00310C1E" w:rsidP="00310C1E">
            <w:pPr>
              <w:spacing w:before="60" w:after="60" w:line="240" w:lineRule="auto"/>
              <w:jc w:val="center"/>
              <w:rPr>
                <w:sz w:val="22"/>
              </w:rPr>
            </w:pPr>
            <w:r w:rsidRPr="00527BAA">
              <w:rPr>
                <w:sz w:val="22"/>
              </w:rPr>
              <w:t>10</w:t>
            </w:r>
          </w:p>
          <w:p w14:paraId="07CA0CD2" w14:textId="0ECC6254" w:rsidR="00310C1E" w:rsidRPr="00527BAA" w:rsidRDefault="00310C1E" w:rsidP="00310C1E">
            <w:pPr>
              <w:spacing w:before="60" w:after="60" w:line="240" w:lineRule="auto"/>
              <w:jc w:val="center"/>
              <w:rPr>
                <w:sz w:val="22"/>
              </w:rPr>
            </w:pPr>
            <w:r w:rsidRPr="00527BAA">
              <w:rPr>
                <w:sz w:val="22"/>
              </w:rPr>
              <w:t>(19.2%)</w:t>
            </w:r>
          </w:p>
        </w:tc>
        <w:tc>
          <w:tcPr>
            <w:tcW w:w="1234" w:type="dxa"/>
            <w:tcBorders>
              <w:top w:val="single" w:sz="4" w:space="0" w:color="auto"/>
              <w:left w:val="single" w:sz="4" w:space="0" w:color="auto"/>
              <w:bottom w:val="single" w:sz="4" w:space="0" w:color="auto"/>
              <w:right w:val="single" w:sz="4" w:space="0" w:color="auto"/>
            </w:tcBorders>
          </w:tcPr>
          <w:p w14:paraId="69A30387" w14:textId="77777777" w:rsidR="00310C1E" w:rsidRPr="00527BAA" w:rsidRDefault="00310C1E" w:rsidP="00310C1E">
            <w:pPr>
              <w:spacing w:before="60" w:after="60" w:line="240" w:lineRule="auto"/>
              <w:jc w:val="center"/>
              <w:rPr>
                <w:sz w:val="22"/>
              </w:rPr>
            </w:pPr>
            <w:r w:rsidRPr="00527BAA">
              <w:rPr>
                <w:sz w:val="22"/>
              </w:rPr>
              <w:t>7</w:t>
            </w:r>
          </w:p>
          <w:p w14:paraId="6D5A96BF" w14:textId="20777A3C" w:rsidR="00310C1E" w:rsidRPr="00527BAA" w:rsidRDefault="00310C1E" w:rsidP="00310C1E">
            <w:pPr>
              <w:spacing w:before="60" w:after="60" w:line="240" w:lineRule="auto"/>
              <w:jc w:val="center"/>
              <w:rPr>
                <w:sz w:val="22"/>
              </w:rPr>
            </w:pPr>
            <w:r w:rsidRPr="00527BAA">
              <w:rPr>
                <w:sz w:val="22"/>
              </w:rPr>
              <w:t>(13.5%)</w:t>
            </w:r>
          </w:p>
        </w:tc>
        <w:tc>
          <w:tcPr>
            <w:tcW w:w="750" w:type="dxa"/>
            <w:tcBorders>
              <w:top w:val="single" w:sz="4" w:space="0" w:color="auto"/>
              <w:left w:val="single" w:sz="4" w:space="0" w:color="auto"/>
              <w:bottom w:val="single" w:sz="4" w:space="0" w:color="auto"/>
              <w:right w:val="single" w:sz="4" w:space="0" w:color="auto"/>
            </w:tcBorders>
          </w:tcPr>
          <w:p w14:paraId="47562202" w14:textId="275375D6" w:rsidR="00310C1E" w:rsidRPr="00527BAA" w:rsidRDefault="00310C1E" w:rsidP="00310C1E">
            <w:pPr>
              <w:spacing w:before="60" w:after="60" w:line="240" w:lineRule="auto"/>
              <w:jc w:val="center"/>
              <w:rPr>
                <w:sz w:val="22"/>
              </w:rPr>
            </w:pPr>
            <w:r w:rsidRPr="00527BAA">
              <w:rPr>
                <w:sz w:val="22"/>
              </w:rPr>
              <w:t>52</w:t>
            </w:r>
          </w:p>
        </w:tc>
      </w:tr>
      <w:tr w:rsidR="00310C1E" w:rsidRPr="00527BAA" w14:paraId="3C9CD4F4" w14:textId="77777777" w:rsidTr="00DD28EC">
        <w:trPr>
          <w:trHeight w:val="804"/>
        </w:trPr>
        <w:tc>
          <w:tcPr>
            <w:tcW w:w="4815" w:type="dxa"/>
            <w:tcBorders>
              <w:top w:val="single" w:sz="4" w:space="0" w:color="auto"/>
              <w:left w:val="single" w:sz="4" w:space="0" w:color="auto"/>
              <w:bottom w:val="single" w:sz="4" w:space="0" w:color="auto"/>
              <w:right w:val="single" w:sz="4" w:space="0" w:color="auto"/>
            </w:tcBorders>
          </w:tcPr>
          <w:p w14:paraId="2082CCC3" w14:textId="53DA43D7" w:rsidR="00310C1E" w:rsidRPr="00527BAA" w:rsidRDefault="00310C1E" w:rsidP="00310C1E">
            <w:pPr>
              <w:spacing w:before="60" w:after="60" w:line="240" w:lineRule="auto"/>
              <w:rPr>
                <w:rFonts w:cs="Arial"/>
                <w:sz w:val="22"/>
              </w:rPr>
            </w:pPr>
            <w:r w:rsidRPr="00527BAA">
              <w:rPr>
                <w:sz w:val="22"/>
              </w:rPr>
              <w:t>Indicator 4: Nutritional status monitoring in primary care after bariatric surgery (new patients)</w:t>
            </w:r>
          </w:p>
        </w:tc>
        <w:tc>
          <w:tcPr>
            <w:tcW w:w="1241" w:type="dxa"/>
            <w:tcBorders>
              <w:top w:val="single" w:sz="4" w:space="0" w:color="auto"/>
              <w:left w:val="single" w:sz="4" w:space="0" w:color="auto"/>
              <w:bottom w:val="single" w:sz="4" w:space="0" w:color="auto"/>
              <w:right w:val="single" w:sz="4" w:space="0" w:color="auto"/>
            </w:tcBorders>
          </w:tcPr>
          <w:p w14:paraId="64661DBE" w14:textId="77777777" w:rsidR="00310C1E" w:rsidRPr="00527BAA" w:rsidRDefault="00310C1E" w:rsidP="00310C1E">
            <w:pPr>
              <w:spacing w:before="60" w:after="60" w:line="240" w:lineRule="auto"/>
              <w:jc w:val="center"/>
              <w:rPr>
                <w:sz w:val="22"/>
              </w:rPr>
            </w:pPr>
            <w:r w:rsidRPr="00527BAA">
              <w:rPr>
                <w:sz w:val="22"/>
              </w:rPr>
              <w:t>35</w:t>
            </w:r>
          </w:p>
          <w:p w14:paraId="54F620D1" w14:textId="3C8FDFC2" w:rsidR="00310C1E" w:rsidRPr="00527BAA" w:rsidRDefault="00310C1E" w:rsidP="00310C1E">
            <w:pPr>
              <w:spacing w:before="60" w:after="60" w:line="240" w:lineRule="auto"/>
              <w:jc w:val="center"/>
              <w:rPr>
                <w:sz w:val="22"/>
              </w:rPr>
            </w:pPr>
            <w:r w:rsidRPr="00527BAA">
              <w:rPr>
                <w:sz w:val="22"/>
              </w:rPr>
              <w:t>(67.3%)</w:t>
            </w:r>
          </w:p>
        </w:tc>
        <w:tc>
          <w:tcPr>
            <w:tcW w:w="1169" w:type="dxa"/>
            <w:tcBorders>
              <w:top w:val="single" w:sz="4" w:space="0" w:color="auto"/>
              <w:left w:val="single" w:sz="4" w:space="0" w:color="auto"/>
              <w:bottom w:val="single" w:sz="4" w:space="0" w:color="auto"/>
              <w:right w:val="single" w:sz="4" w:space="0" w:color="auto"/>
            </w:tcBorders>
          </w:tcPr>
          <w:p w14:paraId="2F43B5A7" w14:textId="77777777" w:rsidR="00310C1E" w:rsidRPr="00527BAA" w:rsidRDefault="00310C1E" w:rsidP="00310C1E">
            <w:pPr>
              <w:spacing w:before="60" w:after="60" w:line="240" w:lineRule="auto"/>
              <w:jc w:val="center"/>
              <w:rPr>
                <w:sz w:val="22"/>
              </w:rPr>
            </w:pPr>
            <w:r w:rsidRPr="00527BAA">
              <w:rPr>
                <w:sz w:val="22"/>
              </w:rPr>
              <w:t>9</w:t>
            </w:r>
          </w:p>
          <w:p w14:paraId="0155D2D0" w14:textId="67D26472" w:rsidR="00310C1E" w:rsidRPr="00527BAA" w:rsidRDefault="00310C1E" w:rsidP="00310C1E">
            <w:pPr>
              <w:spacing w:before="60" w:after="60" w:line="240" w:lineRule="auto"/>
              <w:jc w:val="center"/>
              <w:rPr>
                <w:sz w:val="22"/>
              </w:rPr>
            </w:pPr>
            <w:r w:rsidRPr="00527BAA">
              <w:rPr>
                <w:sz w:val="22"/>
              </w:rPr>
              <w:t>(17.3%)</w:t>
            </w:r>
          </w:p>
        </w:tc>
        <w:tc>
          <w:tcPr>
            <w:tcW w:w="1234" w:type="dxa"/>
            <w:tcBorders>
              <w:top w:val="single" w:sz="4" w:space="0" w:color="auto"/>
              <w:left w:val="single" w:sz="4" w:space="0" w:color="auto"/>
              <w:bottom w:val="single" w:sz="4" w:space="0" w:color="auto"/>
              <w:right w:val="single" w:sz="4" w:space="0" w:color="auto"/>
            </w:tcBorders>
          </w:tcPr>
          <w:p w14:paraId="3829A9B7" w14:textId="77777777" w:rsidR="00310C1E" w:rsidRPr="00527BAA" w:rsidRDefault="00310C1E" w:rsidP="00310C1E">
            <w:pPr>
              <w:spacing w:before="60" w:after="60" w:line="240" w:lineRule="auto"/>
              <w:jc w:val="center"/>
              <w:rPr>
                <w:sz w:val="22"/>
              </w:rPr>
            </w:pPr>
            <w:r w:rsidRPr="00527BAA">
              <w:rPr>
                <w:sz w:val="22"/>
              </w:rPr>
              <w:t>8</w:t>
            </w:r>
          </w:p>
          <w:p w14:paraId="548523B8" w14:textId="20C19D34" w:rsidR="00310C1E" w:rsidRPr="00527BAA" w:rsidRDefault="00310C1E" w:rsidP="00310C1E">
            <w:pPr>
              <w:spacing w:before="60" w:after="60" w:line="240" w:lineRule="auto"/>
              <w:jc w:val="center"/>
              <w:rPr>
                <w:sz w:val="22"/>
              </w:rPr>
            </w:pPr>
            <w:r w:rsidRPr="00527BAA">
              <w:rPr>
                <w:sz w:val="22"/>
              </w:rPr>
              <w:t>(15.4%)</w:t>
            </w:r>
          </w:p>
        </w:tc>
        <w:tc>
          <w:tcPr>
            <w:tcW w:w="750" w:type="dxa"/>
            <w:tcBorders>
              <w:top w:val="single" w:sz="4" w:space="0" w:color="auto"/>
              <w:left w:val="single" w:sz="4" w:space="0" w:color="auto"/>
              <w:bottom w:val="single" w:sz="4" w:space="0" w:color="auto"/>
              <w:right w:val="single" w:sz="4" w:space="0" w:color="auto"/>
            </w:tcBorders>
          </w:tcPr>
          <w:p w14:paraId="12B81F7E" w14:textId="47DC5E7F" w:rsidR="00310C1E" w:rsidRPr="00527BAA" w:rsidRDefault="00310C1E" w:rsidP="00310C1E">
            <w:pPr>
              <w:spacing w:before="60" w:after="60" w:line="240" w:lineRule="auto"/>
              <w:jc w:val="center"/>
              <w:rPr>
                <w:sz w:val="22"/>
              </w:rPr>
            </w:pPr>
            <w:r w:rsidRPr="00527BAA">
              <w:rPr>
                <w:sz w:val="22"/>
              </w:rPr>
              <w:t>52</w:t>
            </w:r>
          </w:p>
        </w:tc>
      </w:tr>
    </w:tbl>
    <w:p w14:paraId="750DCF04" w14:textId="77777777" w:rsidR="00EF3B97" w:rsidRDefault="00EF3B97" w:rsidP="00310C1E">
      <w:pPr>
        <w:rPr>
          <w:highlight w:val="yellow"/>
        </w:rPr>
      </w:pPr>
    </w:p>
    <w:p w14:paraId="6B36562B" w14:textId="021D33D9" w:rsidR="00310C1E" w:rsidRPr="001D24C8" w:rsidRDefault="00EF3B97" w:rsidP="00310C1E">
      <w:r w:rsidRPr="001D24C8">
        <w:t xml:space="preserve">As previously mentioned, </w:t>
      </w:r>
      <w:r w:rsidR="001D24C8" w:rsidRPr="001D24C8">
        <w:t>some</w:t>
      </w:r>
      <w:r w:rsidR="00310C1E" w:rsidRPr="001D24C8">
        <w:t xml:space="preserve"> practices stated they were already doing the intervention described by indicator 1</w:t>
      </w:r>
      <w:r w:rsidRPr="001D24C8">
        <w:t xml:space="preserve">, others </w:t>
      </w:r>
      <w:r w:rsidR="001D24C8">
        <w:t>we</w:t>
      </w:r>
      <w:r w:rsidRPr="001D24C8">
        <w:t xml:space="preserve">re not. </w:t>
      </w:r>
    </w:p>
    <w:p w14:paraId="437AD952" w14:textId="77777777" w:rsidR="001D24C8" w:rsidRDefault="001D24C8" w:rsidP="00675DC6">
      <w:pPr>
        <w:spacing w:line="312" w:lineRule="auto"/>
        <w:rPr>
          <w:i/>
          <w:iCs/>
        </w:rPr>
      </w:pPr>
      <w:r w:rsidRPr="001D24C8">
        <w:rPr>
          <w:i/>
          <w:iCs/>
        </w:rPr>
        <w:t>“We just don't have enough time because we are doing the BMI for some other reason completely. If you want us to do a good intervention, within that time I think it's other than saying, “Oh look, your BMI is high, you need to do something about it,” other than saying that, I don't know what good quality I can offer in less than ten minutes.” [GP, interview]</w:t>
      </w:r>
    </w:p>
    <w:p w14:paraId="34A1920F" w14:textId="77777777" w:rsidR="00F023A7" w:rsidRDefault="00FA6199" w:rsidP="00675DC6">
      <w:r w:rsidRPr="00B47F36">
        <w:t>Similar numbers felt that the introduction of the indicator</w:t>
      </w:r>
      <w:r w:rsidR="005F6385">
        <w:t>s</w:t>
      </w:r>
      <w:r w:rsidRPr="00B47F36">
        <w:t xml:space="preserve"> would be</w:t>
      </w:r>
      <w:r w:rsidR="00364DB9" w:rsidRPr="00B47F36">
        <w:t xml:space="preserve"> associated with</w:t>
      </w:r>
      <w:r w:rsidR="001B535D" w:rsidRPr="00B47F36">
        <w:t xml:space="preserve"> appointment capacity </w:t>
      </w:r>
      <w:r w:rsidR="00364DB9" w:rsidRPr="00B47F36">
        <w:t xml:space="preserve">issues (Table </w:t>
      </w:r>
      <w:r w:rsidR="00F85D6D" w:rsidRPr="00B47F36">
        <w:t>8</w:t>
      </w:r>
      <w:r w:rsidR="00364DB9" w:rsidRPr="00B47F36">
        <w:t>).</w:t>
      </w:r>
      <w:r w:rsidR="009F5767" w:rsidRPr="00B47F36">
        <w:t xml:space="preserve"> </w:t>
      </w:r>
    </w:p>
    <w:p w14:paraId="335D88AE" w14:textId="77777777" w:rsidR="00F023A7" w:rsidRDefault="00F023A7" w:rsidP="00675DC6"/>
    <w:p w14:paraId="1A131B92" w14:textId="77777777" w:rsidR="00F023A7" w:rsidRDefault="00F023A7" w:rsidP="00675DC6"/>
    <w:p w14:paraId="7830AECC" w14:textId="5F1F590B" w:rsidR="00CC7120" w:rsidRDefault="00CC7120" w:rsidP="00675DC6">
      <w:pPr>
        <w:rPr>
          <w:u w:val="single"/>
        </w:rPr>
      </w:pPr>
      <w:r w:rsidRPr="004B4482">
        <w:rPr>
          <w:u w:val="single"/>
        </w:rPr>
        <w:lastRenderedPageBreak/>
        <w:t xml:space="preserve">Table </w:t>
      </w:r>
      <w:r w:rsidR="00FA6199">
        <w:rPr>
          <w:u w:val="single"/>
        </w:rPr>
        <w:t>8</w:t>
      </w:r>
      <w:r w:rsidRPr="004B4482">
        <w:rPr>
          <w:u w:val="single"/>
        </w:rPr>
        <w:t xml:space="preserve">: Views on </w:t>
      </w:r>
      <w:r>
        <w:rPr>
          <w:u w:val="single"/>
        </w:rPr>
        <w:t xml:space="preserve">potential capacity issues in the practice relating to the indicator </w:t>
      </w:r>
      <w:r w:rsidRPr="004B4482">
        <w:rPr>
          <w:u w:val="single"/>
        </w:rPr>
        <w:t>(survey)</w:t>
      </w:r>
    </w:p>
    <w:p w14:paraId="5EE49500" w14:textId="0235101F" w:rsidR="00780FA2" w:rsidRPr="00675DC6" w:rsidRDefault="00780FA2" w:rsidP="00780FA2">
      <w:pPr>
        <w:spacing w:line="276" w:lineRule="auto"/>
        <w:rPr>
          <w:i/>
          <w:iCs/>
        </w:rPr>
      </w:pPr>
      <w:r w:rsidRPr="008C7154">
        <w:rPr>
          <w:rFonts w:cs="Arial"/>
          <w:b/>
          <w:bCs/>
          <w:color w:val="010205"/>
          <w:sz w:val="22"/>
        </w:rPr>
        <w:t>Can you foresee any appointment capacity issues in the practice relating to the indicator</w:t>
      </w:r>
      <w:r>
        <w:rPr>
          <w:rFonts w:cs="Arial"/>
          <w:b/>
          <w:bCs/>
          <w:color w:val="010205"/>
          <w:sz w:val="22"/>
        </w:rPr>
        <w:t>s</w:t>
      </w:r>
      <w:r w:rsidRPr="008C7154">
        <w:rPr>
          <w:rFonts w:cs="Arial"/>
          <w:b/>
          <w:bCs/>
          <w:color w:val="010205"/>
          <w:sz w:val="22"/>
        </w:rPr>
        <w:t>?</w:t>
      </w:r>
    </w:p>
    <w:tbl>
      <w:tblPr>
        <w:tblStyle w:val="TableGrid"/>
        <w:tblW w:w="9209" w:type="dxa"/>
        <w:tblLook w:val="04A0" w:firstRow="1" w:lastRow="0" w:firstColumn="1" w:lastColumn="0" w:noHBand="0" w:noVBand="1"/>
      </w:tblPr>
      <w:tblGrid>
        <w:gridCol w:w="4815"/>
        <w:gridCol w:w="1241"/>
        <w:gridCol w:w="1169"/>
        <w:gridCol w:w="1234"/>
        <w:gridCol w:w="750"/>
      </w:tblGrid>
      <w:tr w:rsidR="00CC7120" w:rsidRPr="00527BAA" w14:paraId="371EE52D" w14:textId="77777777" w:rsidTr="00DD28EC">
        <w:tc>
          <w:tcPr>
            <w:tcW w:w="4815" w:type="dxa"/>
            <w:tcBorders>
              <w:top w:val="single" w:sz="4" w:space="0" w:color="auto"/>
              <w:left w:val="single" w:sz="4" w:space="0" w:color="auto"/>
              <w:bottom w:val="single" w:sz="4" w:space="0" w:color="auto"/>
              <w:right w:val="single" w:sz="4" w:space="0" w:color="auto"/>
            </w:tcBorders>
          </w:tcPr>
          <w:p w14:paraId="31BC2570" w14:textId="77777777" w:rsidR="00CC7120" w:rsidRPr="00527BAA" w:rsidRDefault="00CC7120" w:rsidP="00DD28EC">
            <w:pPr>
              <w:spacing w:before="60" w:after="60" w:line="240" w:lineRule="auto"/>
              <w:rPr>
                <w:sz w:val="22"/>
              </w:rPr>
            </w:pPr>
          </w:p>
        </w:tc>
        <w:tc>
          <w:tcPr>
            <w:tcW w:w="1241" w:type="dxa"/>
            <w:tcBorders>
              <w:top w:val="single" w:sz="4" w:space="0" w:color="auto"/>
              <w:left w:val="single" w:sz="4" w:space="0" w:color="auto"/>
              <w:bottom w:val="single" w:sz="4" w:space="0" w:color="auto"/>
              <w:right w:val="single" w:sz="4" w:space="0" w:color="auto"/>
            </w:tcBorders>
            <w:hideMark/>
          </w:tcPr>
          <w:p w14:paraId="19F4FF13" w14:textId="77777777" w:rsidR="00CC7120" w:rsidRPr="00527BAA" w:rsidRDefault="00CC7120" w:rsidP="00DD28EC">
            <w:pPr>
              <w:spacing w:before="60" w:after="60" w:line="240" w:lineRule="auto"/>
              <w:jc w:val="center"/>
              <w:rPr>
                <w:sz w:val="22"/>
              </w:rPr>
            </w:pPr>
            <w:r w:rsidRPr="00527BAA">
              <w:rPr>
                <w:sz w:val="22"/>
              </w:rPr>
              <w:t>Yes</w:t>
            </w:r>
          </w:p>
        </w:tc>
        <w:tc>
          <w:tcPr>
            <w:tcW w:w="1169" w:type="dxa"/>
            <w:tcBorders>
              <w:top w:val="single" w:sz="4" w:space="0" w:color="auto"/>
              <w:left w:val="single" w:sz="4" w:space="0" w:color="auto"/>
              <w:bottom w:val="single" w:sz="4" w:space="0" w:color="auto"/>
              <w:right w:val="single" w:sz="4" w:space="0" w:color="auto"/>
            </w:tcBorders>
            <w:hideMark/>
          </w:tcPr>
          <w:p w14:paraId="66EA3705" w14:textId="77777777" w:rsidR="00CC7120" w:rsidRPr="00527BAA" w:rsidRDefault="00CC7120" w:rsidP="00DD28EC">
            <w:pPr>
              <w:spacing w:before="60" w:after="60" w:line="240" w:lineRule="auto"/>
              <w:jc w:val="center"/>
              <w:rPr>
                <w:sz w:val="22"/>
              </w:rPr>
            </w:pPr>
            <w:r w:rsidRPr="00527BAA">
              <w:rPr>
                <w:sz w:val="22"/>
              </w:rPr>
              <w:t xml:space="preserve">No </w:t>
            </w:r>
          </w:p>
        </w:tc>
        <w:tc>
          <w:tcPr>
            <w:tcW w:w="1234" w:type="dxa"/>
            <w:tcBorders>
              <w:top w:val="single" w:sz="4" w:space="0" w:color="auto"/>
              <w:left w:val="single" w:sz="4" w:space="0" w:color="auto"/>
              <w:bottom w:val="single" w:sz="4" w:space="0" w:color="auto"/>
              <w:right w:val="single" w:sz="4" w:space="0" w:color="auto"/>
            </w:tcBorders>
            <w:hideMark/>
          </w:tcPr>
          <w:p w14:paraId="424DA0B8" w14:textId="77777777" w:rsidR="00CC7120" w:rsidRPr="00527BAA" w:rsidRDefault="00CC7120" w:rsidP="00DD28EC">
            <w:pPr>
              <w:spacing w:before="60" w:after="60" w:line="240" w:lineRule="auto"/>
              <w:jc w:val="center"/>
              <w:rPr>
                <w:sz w:val="22"/>
              </w:rPr>
            </w:pPr>
            <w:r w:rsidRPr="00527BAA">
              <w:rPr>
                <w:sz w:val="22"/>
              </w:rPr>
              <w:t>Unsure</w:t>
            </w:r>
          </w:p>
        </w:tc>
        <w:tc>
          <w:tcPr>
            <w:tcW w:w="750" w:type="dxa"/>
            <w:tcBorders>
              <w:top w:val="single" w:sz="4" w:space="0" w:color="auto"/>
              <w:left w:val="single" w:sz="4" w:space="0" w:color="auto"/>
              <w:bottom w:val="single" w:sz="4" w:space="0" w:color="auto"/>
              <w:right w:val="single" w:sz="4" w:space="0" w:color="auto"/>
            </w:tcBorders>
            <w:hideMark/>
          </w:tcPr>
          <w:p w14:paraId="371B8DE2" w14:textId="77777777" w:rsidR="00CC7120" w:rsidRPr="00527BAA" w:rsidRDefault="00CC7120" w:rsidP="00DD28EC">
            <w:pPr>
              <w:spacing w:before="60" w:after="60" w:line="240" w:lineRule="auto"/>
              <w:jc w:val="center"/>
              <w:rPr>
                <w:sz w:val="22"/>
              </w:rPr>
            </w:pPr>
            <w:r w:rsidRPr="00527BAA">
              <w:rPr>
                <w:sz w:val="22"/>
              </w:rPr>
              <w:t>Total</w:t>
            </w:r>
          </w:p>
        </w:tc>
      </w:tr>
      <w:tr w:rsidR="00B47F36" w:rsidRPr="00527BAA" w14:paraId="3EDC3A52" w14:textId="77777777" w:rsidTr="00DD28EC">
        <w:trPr>
          <w:trHeight w:val="804"/>
        </w:trPr>
        <w:tc>
          <w:tcPr>
            <w:tcW w:w="4815" w:type="dxa"/>
            <w:tcBorders>
              <w:top w:val="single" w:sz="4" w:space="0" w:color="auto"/>
              <w:left w:val="single" w:sz="4" w:space="0" w:color="auto"/>
              <w:bottom w:val="single" w:sz="4" w:space="0" w:color="auto"/>
              <w:right w:val="single" w:sz="4" w:space="0" w:color="auto"/>
            </w:tcBorders>
            <w:hideMark/>
          </w:tcPr>
          <w:p w14:paraId="374AD387" w14:textId="2D5FA9B9" w:rsidR="00B47F36" w:rsidRPr="00527BAA" w:rsidRDefault="00B47F36" w:rsidP="00B47F36">
            <w:pPr>
              <w:spacing w:before="60" w:after="60" w:line="240" w:lineRule="auto"/>
              <w:rPr>
                <w:sz w:val="22"/>
              </w:rPr>
            </w:pPr>
            <w:r w:rsidRPr="00527BAA">
              <w:rPr>
                <w:sz w:val="22"/>
              </w:rPr>
              <w:t>Indicator 1: Weight management advice</w:t>
            </w:r>
          </w:p>
        </w:tc>
        <w:tc>
          <w:tcPr>
            <w:tcW w:w="1241" w:type="dxa"/>
            <w:tcBorders>
              <w:top w:val="single" w:sz="4" w:space="0" w:color="auto"/>
              <w:left w:val="single" w:sz="4" w:space="0" w:color="auto"/>
              <w:bottom w:val="single" w:sz="4" w:space="0" w:color="auto"/>
              <w:right w:val="single" w:sz="4" w:space="0" w:color="auto"/>
            </w:tcBorders>
            <w:hideMark/>
          </w:tcPr>
          <w:p w14:paraId="1C9D95A6" w14:textId="77777777" w:rsidR="00B47F36" w:rsidRPr="00527BAA" w:rsidRDefault="00B47F36" w:rsidP="00B47F36">
            <w:pPr>
              <w:spacing w:before="60" w:after="60" w:line="240" w:lineRule="auto"/>
              <w:jc w:val="center"/>
              <w:rPr>
                <w:sz w:val="22"/>
              </w:rPr>
            </w:pPr>
            <w:r w:rsidRPr="00527BAA">
              <w:rPr>
                <w:sz w:val="22"/>
              </w:rPr>
              <w:t>32</w:t>
            </w:r>
          </w:p>
          <w:p w14:paraId="72DA0878" w14:textId="408D8326" w:rsidR="00B47F36" w:rsidRPr="00527BAA" w:rsidRDefault="00B47F36" w:rsidP="00B47F36">
            <w:pPr>
              <w:spacing w:before="60" w:after="60" w:line="240" w:lineRule="auto"/>
              <w:jc w:val="center"/>
              <w:rPr>
                <w:sz w:val="22"/>
              </w:rPr>
            </w:pPr>
            <w:r w:rsidRPr="00527BAA">
              <w:rPr>
                <w:sz w:val="22"/>
              </w:rPr>
              <w:t>(61.5%</w:t>
            </w:r>
          </w:p>
        </w:tc>
        <w:tc>
          <w:tcPr>
            <w:tcW w:w="1169" w:type="dxa"/>
            <w:tcBorders>
              <w:top w:val="single" w:sz="4" w:space="0" w:color="auto"/>
              <w:left w:val="single" w:sz="4" w:space="0" w:color="auto"/>
              <w:bottom w:val="single" w:sz="4" w:space="0" w:color="auto"/>
              <w:right w:val="single" w:sz="4" w:space="0" w:color="auto"/>
            </w:tcBorders>
            <w:hideMark/>
          </w:tcPr>
          <w:p w14:paraId="1936F005" w14:textId="77777777" w:rsidR="00B47F36" w:rsidRPr="00527BAA" w:rsidRDefault="00B47F36" w:rsidP="00B47F36">
            <w:pPr>
              <w:spacing w:before="60" w:after="60" w:line="240" w:lineRule="auto"/>
              <w:jc w:val="center"/>
              <w:rPr>
                <w:sz w:val="22"/>
              </w:rPr>
            </w:pPr>
            <w:r w:rsidRPr="00527BAA">
              <w:rPr>
                <w:sz w:val="22"/>
              </w:rPr>
              <w:t>13</w:t>
            </w:r>
          </w:p>
          <w:p w14:paraId="2C08F7F5" w14:textId="55903974" w:rsidR="00B47F36" w:rsidRPr="00527BAA" w:rsidRDefault="00B47F36" w:rsidP="00B47F36">
            <w:pPr>
              <w:spacing w:before="60" w:after="60" w:line="240" w:lineRule="auto"/>
              <w:jc w:val="center"/>
              <w:rPr>
                <w:sz w:val="22"/>
              </w:rPr>
            </w:pPr>
            <w:r w:rsidRPr="00527BAA">
              <w:rPr>
                <w:sz w:val="22"/>
              </w:rPr>
              <w:t>(25.0%)</w:t>
            </w:r>
          </w:p>
        </w:tc>
        <w:tc>
          <w:tcPr>
            <w:tcW w:w="1234" w:type="dxa"/>
            <w:tcBorders>
              <w:top w:val="single" w:sz="4" w:space="0" w:color="auto"/>
              <w:left w:val="single" w:sz="4" w:space="0" w:color="auto"/>
              <w:bottom w:val="single" w:sz="4" w:space="0" w:color="auto"/>
              <w:right w:val="single" w:sz="4" w:space="0" w:color="auto"/>
            </w:tcBorders>
            <w:hideMark/>
          </w:tcPr>
          <w:p w14:paraId="19385937" w14:textId="77777777" w:rsidR="00B47F36" w:rsidRPr="00527BAA" w:rsidRDefault="00B47F36" w:rsidP="00B47F36">
            <w:pPr>
              <w:spacing w:before="60" w:after="60" w:line="240" w:lineRule="auto"/>
              <w:jc w:val="center"/>
              <w:rPr>
                <w:sz w:val="22"/>
              </w:rPr>
            </w:pPr>
            <w:r w:rsidRPr="00527BAA">
              <w:rPr>
                <w:sz w:val="22"/>
              </w:rPr>
              <w:t>7</w:t>
            </w:r>
          </w:p>
          <w:p w14:paraId="51441707" w14:textId="21C3566B" w:rsidR="00B47F36" w:rsidRPr="00527BAA" w:rsidRDefault="00B47F36" w:rsidP="00B47F36">
            <w:pPr>
              <w:spacing w:before="60" w:after="60" w:line="240" w:lineRule="auto"/>
              <w:jc w:val="center"/>
              <w:rPr>
                <w:sz w:val="22"/>
              </w:rPr>
            </w:pPr>
            <w:r w:rsidRPr="00527BAA">
              <w:rPr>
                <w:sz w:val="22"/>
              </w:rPr>
              <w:t>(13.5%)</w:t>
            </w:r>
          </w:p>
        </w:tc>
        <w:tc>
          <w:tcPr>
            <w:tcW w:w="750" w:type="dxa"/>
            <w:tcBorders>
              <w:top w:val="single" w:sz="4" w:space="0" w:color="auto"/>
              <w:left w:val="single" w:sz="4" w:space="0" w:color="auto"/>
              <w:bottom w:val="single" w:sz="4" w:space="0" w:color="auto"/>
              <w:right w:val="single" w:sz="4" w:space="0" w:color="auto"/>
            </w:tcBorders>
            <w:hideMark/>
          </w:tcPr>
          <w:p w14:paraId="3C345636" w14:textId="5FE99A49" w:rsidR="00B47F36" w:rsidRPr="00527BAA" w:rsidRDefault="00B47F36" w:rsidP="00B47F36">
            <w:pPr>
              <w:spacing w:before="60" w:after="60" w:line="240" w:lineRule="auto"/>
              <w:jc w:val="center"/>
              <w:rPr>
                <w:sz w:val="22"/>
              </w:rPr>
            </w:pPr>
            <w:r w:rsidRPr="00527BAA">
              <w:rPr>
                <w:sz w:val="22"/>
              </w:rPr>
              <w:t>52</w:t>
            </w:r>
          </w:p>
        </w:tc>
      </w:tr>
      <w:tr w:rsidR="00B47F36" w:rsidRPr="00527BAA" w14:paraId="6AD604B9" w14:textId="77777777" w:rsidTr="00DD28EC">
        <w:trPr>
          <w:trHeight w:val="804"/>
        </w:trPr>
        <w:tc>
          <w:tcPr>
            <w:tcW w:w="4815" w:type="dxa"/>
            <w:tcBorders>
              <w:top w:val="single" w:sz="4" w:space="0" w:color="auto"/>
              <w:left w:val="single" w:sz="4" w:space="0" w:color="auto"/>
              <w:bottom w:val="single" w:sz="4" w:space="0" w:color="auto"/>
              <w:right w:val="single" w:sz="4" w:space="0" w:color="auto"/>
            </w:tcBorders>
          </w:tcPr>
          <w:p w14:paraId="29F1A1CE" w14:textId="49FEF4F9" w:rsidR="00B47F36" w:rsidRPr="00527BAA" w:rsidRDefault="00B47F36" w:rsidP="00B47F36">
            <w:pPr>
              <w:spacing w:before="60" w:after="60" w:line="240" w:lineRule="auto"/>
              <w:rPr>
                <w:rFonts w:cs="Arial"/>
                <w:sz w:val="22"/>
              </w:rPr>
            </w:pPr>
            <w:r w:rsidRPr="00527BAA">
              <w:rPr>
                <w:sz w:val="22"/>
              </w:rPr>
              <w:t>Indicator 2: Referral for bariatric surgery</w:t>
            </w:r>
          </w:p>
        </w:tc>
        <w:tc>
          <w:tcPr>
            <w:tcW w:w="1241" w:type="dxa"/>
            <w:tcBorders>
              <w:top w:val="single" w:sz="4" w:space="0" w:color="auto"/>
              <w:left w:val="single" w:sz="4" w:space="0" w:color="auto"/>
              <w:bottom w:val="single" w:sz="4" w:space="0" w:color="auto"/>
              <w:right w:val="single" w:sz="4" w:space="0" w:color="auto"/>
            </w:tcBorders>
          </w:tcPr>
          <w:p w14:paraId="4EDD8B87" w14:textId="77777777" w:rsidR="00B47F36" w:rsidRPr="00527BAA" w:rsidRDefault="00B47F36" w:rsidP="00B47F36">
            <w:pPr>
              <w:spacing w:before="60" w:after="60" w:line="240" w:lineRule="auto"/>
              <w:jc w:val="center"/>
              <w:rPr>
                <w:sz w:val="22"/>
              </w:rPr>
            </w:pPr>
            <w:r w:rsidRPr="00527BAA">
              <w:rPr>
                <w:sz w:val="22"/>
              </w:rPr>
              <w:t>34</w:t>
            </w:r>
          </w:p>
          <w:p w14:paraId="35D92EEF" w14:textId="55C0572F" w:rsidR="00B47F36" w:rsidRPr="00527BAA" w:rsidRDefault="00B47F36" w:rsidP="00B47F36">
            <w:pPr>
              <w:spacing w:before="60" w:after="60" w:line="240" w:lineRule="auto"/>
              <w:jc w:val="center"/>
              <w:rPr>
                <w:sz w:val="22"/>
              </w:rPr>
            </w:pPr>
            <w:r w:rsidRPr="00527BAA">
              <w:rPr>
                <w:sz w:val="22"/>
              </w:rPr>
              <w:t>(65.4%)</w:t>
            </w:r>
          </w:p>
        </w:tc>
        <w:tc>
          <w:tcPr>
            <w:tcW w:w="1169" w:type="dxa"/>
            <w:tcBorders>
              <w:top w:val="single" w:sz="4" w:space="0" w:color="auto"/>
              <w:left w:val="single" w:sz="4" w:space="0" w:color="auto"/>
              <w:bottom w:val="single" w:sz="4" w:space="0" w:color="auto"/>
              <w:right w:val="single" w:sz="4" w:space="0" w:color="auto"/>
            </w:tcBorders>
          </w:tcPr>
          <w:p w14:paraId="429E4839" w14:textId="77777777" w:rsidR="00B47F36" w:rsidRPr="00527BAA" w:rsidRDefault="00B47F36" w:rsidP="00B47F36">
            <w:pPr>
              <w:spacing w:before="60" w:after="60" w:line="240" w:lineRule="auto"/>
              <w:jc w:val="center"/>
              <w:rPr>
                <w:sz w:val="22"/>
              </w:rPr>
            </w:pPr>
            <w:r w:rsidRPr="00527BAA">
              <w:rPr>
                <w:sz w:val="22"/>
              </w:rPr>
              <w:t>11</w:t>
            </w:r>
          </w:p>
          <w:p w14:paraId="67EA4B28" w14:textId="4D4579D0" w:rsidR="00B47F36" w:rsidRPr="00527BAA" w:rsidRDefault="00B47F36" w:rsidP="00B47F36">
            <w:pPr>
              <w:spacing w:before="60" w:after="60" w:line="240" w:lineRule="auto"/>
              <w:jc w:val="center"/>
              <w:rPr>
                <w:sz w:val="22"/>
              </w:rPr>
            </w:pPr>
            <w:r w:rsidRPr="00527BAA">
              <w:rPr>
                <w:sz w:val="22"/>
              </w:rPr>
              <w:t>(21.2%)</w:t>
            </w:r>
          </w:p>
        </w:tc>
        <w:tc>
          <w:tcPr>
            <w:tcW w:w="1234" w:type="dxa"/>
            <w:tcBorders>
              <w:top w:val="single" w:sz="4" w:space="0" w:color="auto"/>
              <w:left w:val="single" w:sz="4" w:space="0" w:color="auto"/>
              <w:bottom w:val="single" w:sz="4" w:space="0" w:color="auto"/>
              <w:right w:val="single" w:sz="4" w:space="0" w:color="auto"/>
            </w:tcBorders>
          </w:tcPr>
          <w:p w14:paraId="1E0C5A73" w14:textId="77777777" w:rsidR="00B47F36" w:rsidRPr="00527BAA" w:rsidRDefault="00B47F36" w:rsidP="00B47F36">
            <w:pPr>
              <w:spacing w:before="60" w:after="60" w:line="240" w:lineRule="auto"/>
              <w:jc w:val="center"/>
              <w:rPr>
                <w:sz w:val="22"/>
              </w:rPr>
            </w:pPr>
            <w:r w:rsidRPr="00527BAA">
              <w:rPr>
                <w:sz w:val="22"/>
              </w:rPr>
              <w:t>7</w:t>
            </w:r>
          </w:p>
          <w:p w14:paraId="2252308C" w14:textId="5AF6BF13" w:rsidR="00B47F36" w:rsidRPr="00527BAA" w:rsidRDefault="00B47F36" w:rsidP="00B47F36">
            <w:pPr>
              <w:spacing w:before="60" w:after="60" w:line="240" w:lineRule="auto"/>
              <w:jc w:val="center"/>
              <w:rPr>
                <w:sz w:val="22"/>
              </w:rPr>
            </w:pPr>
            <w:r w:rsidRPr="00527BAA">
              <w:rPr>
                <w:sz w:val="22"/>
              </w:rPr>
              <w:t>(13.5%)</w:t>
            </w:r>
          </w:p>
        </w:tc>
        <w:tc>
          <w:tcPr>
            <w:tcW w:w="750" w:type="dxa"/>
            <w:tcBorders>
              <w:top w:val="single" w:sz="4" w:space="0" w:color="auto"/>
              <w:left w:val="single" w:sz="4" w:space="0" w:color="auto"/>
              <w:bottom w:val="single" w:sz="4" w:space="0" w:color="auto"/>
              <w:right w:val="single" w:sz="4" w:space="0" w:color="auto"/>
            </w:tcBorders>
          </w:tcPr>
          <w:p w14:paraId="461D3DBB" w14:textId="5BCFF853" w:rsidR="00B47F36" w:rsidRPr="00527BAA" w:rsidRDefault="00B47F36" w:rsidP="00B47F36">
            <w:pPr>
              <w:spacing w:before="60" w:after="60" w:line="240" w:lineRule="auto"/>
              <w:jc w:val="center"/>
              <w:rPr>
                <w:sz w:val="22"/>
              </w:rPr>
            </w:pPr>
            <w:r w:rsidRPr="00527BAA">
              <w:rPr>
                <w:sz w:val="22"/>
              </w:rPr>
              <w:t>52</w:t>
            </w:r>
          </w:p>
        </w:tc>
      </w:tr>
      <w:tr w:rsidR="00B47F36" w:rsidRPr="00527BAA" w14:paraId="67867C98" w14:textId="77777777" w:rsidTr="00DD28EC">
        <w:trPr>
          <w:trHeight w:val="804"/>
        </w:trPr>
        <w:tc>
          <w:tcPr>
            <w:tcW w:w="4815" w:type="dxa"/>
            <w:tcBorders>
              <w:top w:val="single" w:sz="4" w:space="0" w:color="auto"/>
              <w:left w:val="single" w:sz="4" w:space="0" w:color="auto"/>
              <w:bottom w:val="single" w:sz="4" w:space="0" w:color="auto"/>
              <w:right w:val="single" w:sz="4" w:space="0" w:color="auto"/>
            </w:tcBorders>
          </w:tcPr>
          <w:p w14:paraId="3DA7EDC3" w14:textId="5508DB55" w:rsidR="00B47F36" w:rsidRPr="00527BAA" w:rsidRDefault="00B47F36" w:rsidP="00B47F36">
            <w:pPr>
              <w:spacing w:before="60" w:after="60" w:line="240" w:lineRule="auto"/>
              <w:rPr>
                <w:rFonts w:cs="Arial"/>
                <w:sz w:val="22"/>
              </w:rPr>
            </w:pPr>
            <w:r w:rsidRPr="00527BAA">
              <w:rPr>
                <w:sz w:val="22"/>
              </w:rPr>
              <w:t>Indicator 3: Nutritional status monitoring in primary care after bariatric surgery (all patients)</w:t>
            </w:r>
          </w:p>
        </w:tc>
        <w:tc>
          <w:tcPr>
            <w:tcW w:w="1241" w:type="dxa"/>
            <w:tcBorders>
              <w:top w:val="single" w:sz="4" w:space="0" w:color="auto"/>
              <w:left w:val="single" w:sz="4" w:space="0" w:color="auto"/>
              <w:bottom w:val="single" w:sz="4" w:space="0" w:color="auto"/>
              <w:right w:val="single" w:sz="4" w:space="0" w:color="auto"/>
            </w:tcBorders>
          </w:tcPr>
          <w:p w14:paraId="360EC430" w14:textId="77777777" w:rsidR="00B47F36" w:rsidRPr="00527BAA" w:rsidRDefault="00B47F36" w:rsidP="00B47F36">
            <w:pPr>
              <w:spacing w:before="60" w:after="60" w:line="240" w:lineRule="auto"/>
              <w:jc w:val="center"/>
              <w:rPr>
                <w:sz w:val="22"/>
              </w:rPr>
            </w:pPr>
            <w:r w:rsidRPr="00527BAA">
              <w:rPr>
                <w:sz w:val="22"/>
              </w:rPr>
              <w:t>35</w:t>
            </w:r>
          </w:p>
          <w:p w14:paraId="6E592F59" w14:textId="6F894784" w:rsidR="00B47F36" w:rsidRPr="00527BAA" w:rsidRDefault="00B47F36" w:rsidP="00B47F36">
            <w:pPr>
              <w:spacing w:before="60" w:after="60" w:line="240" w:lineRule="auto"/>
              <w:jc w:val="center"/>
              <w:rPr>
                <w:sz w:val="22"/>
              </w:rPr>
            </w:pPr>
            <w:r w:rsidRPr="00527BAA">
              <w:rPr>
                <w:sz w:val="22"/>
              </w:rPr>
              <w:t>(67.3%)</w:t>
            </w:r>
          </w:p>
        </w:tc>
        <w:tc>
          <w:tcPr>
            <w:tcW w:w="1169" w:type="dxa"/>
            <w:tcBorders>
              <w:top w:val="single" w:sz="4" w:space="0" w:color="auto"/>
              <w:left w:val="single" w:sz="4" w:space="0" w:color="auto"/>
              <w:bottom w:val="single" w:sz="4" w:space="0" w:color="auto"/>
              <w:right w:val="single" w:sz="4" w:space="0" w:color="auto"/>
            </w:tcBorders>
          </w:tcPr>
          <w:p w14:paraId="4B96E555" w14:textId="77777777" w:rsidR="00B47F36" w:rsidRPr="00527BAA" w:rsidRDefault="00B47F36" w:rsidP="00B47F36">
            <w:pPr>
              <w:spacing w:before="60" w:after="60" w:line="240" w:lineRule="auto"/>
              <w:jc w:val="center"/>
              <w:rPr>
                <w:sz w:val="22"/>
              </w:rPr>
            </w:pPr>
            <w:r w:rsidRPr="00527BAA">
              <w:rPr>
                <w:sz w:val="22"/>
              </w:rPr>
              <w:t>7</w:t>
            </w:r>
          </w:p>
          <w:p w14:paraId="6E7A5D8B" w14:textId="76E8BCDA" w:rsidR="00B47F36" w:rsidRPr="00527BAA" w:rsidRDefault="00B47F36" w:rsidP="00B47F36">
            <w:pPr>
              <w:spacing w:before="60" w:after="60" w:line="240" w:lineRule="auto"/>
              <w:jc w:val="center"/>
              <w:rPr>
                <w:sz w:val="22"/>
              </w:rPr>
            </w:pPr>
            <w:r w:rsidRPr="00527BAA">
              <w:rPr>
                <w:sz w:val="22"/>
              </w:rPr>
              <w:t>(13.5%)</w:t>
            </w:r>
          </w:p>
        </w:tc>
        <w:tc>
          <w:tcPr>
            <w:tcW w:w="1234" w:type="dxa"/>
            <w:tcBorders>
              <w:top w:val="single" w:sz="4" w:space="0" w:color="auto"/>
              <w:left w:val="single" w:sz="4" w:space="0" w:color="auto"/>
              <w:bottom w:val="single" w:sz="4" w:space="0" w:color="auto"/>
              <w:right w:val="single" w:sz="4" w:space="0" w:color="auto"/>
            </w:tcBorders>
          </w:tcPr>
          <w:p w14:paraId="70356C69" w14:textId="77777777" w:rsidR="00B47F36" w:rsidRPr="00527BAA" w:rsidRDefault="00B47F36" w:rsidP="00B47F36">
            <w:pPr>
              <w:spacing w:before="60" w:after="60" w:line="240" w:lineRule="auto"/>
              <w:jc w:val="center"/>
              <w:rPr>
                <w:sz w:val="22"/>
              </w:rPr>
            </w:pPr>
            <w:r w:rsidRPr="00527BAA">
              <w:rPr>
                <w:sz w:val="22"/>
              </w:rPr>
              <w:t>10</w:t>
            </w:r>
          </w:p>
          <w:p w14:paraId="67639335" w14:textId="4C8CF0A1" w:rsidR="00B47F36" w:rsidRPr="00527BAA" w:rsidRDefault="00B47F36" w:rsidP="00B47F36">
            <w:pPr>
              <w:spacing w:before="60" w:after="60" w:line="240" w:lineRule="auto"/>
              <w:jc w:val="center"/>
              <w:rPr>
                <w:sz w:val="22"/>
              </w:rPr>
            </w:pPr>
            <w:r w:rsidRPr="00527BAA">
              <w:rPr>
                <w:sz w:val="22"/>
              </w:rPr>
              <w:t>(19.2%)</w:t>
            </w:r>
          </w:p>
        </w:tc>
        <w:tc>
          <w:tcPr>
            <w:tcW w:w="750" w:type="dxa"/>
            <w:tcBorders>
              <w:top w:val="single" w:sz="4" w:space="0" w:color="auto"/>
              <w:left w:val="single" w:sz="4" w:space="0" w:color="auto"/>
              <w:bottom w:val="single" w:sz="4" w:space="0" w:color="auto"/>
              <w:right w:val="single" w:sz="4" w:space="0" w:color="auto"/>
            </w:tcBorders>
          </w:tcPr>
          <w:p w14:paraId="72133FE1" w14:textId="54767B77" w:rsidR="00B47F36" w:rsidRPr="00527BAA" w:rsidRDefault="00B47F36" w:rsidP="00B47F36">
            <w:pPr>
              <w:spacing w:before="60" w:after="60" w:line="240" w:lineRule="auto"/>
              <w:jc w:val="center"/>
              <w:rPr>
                <w:sz w:val="22"/>
              </w:rPr>
            </w:pPr>
            <w:r w:rsidRPr="00527BAA">
              <w:rPr>
                <w:sz w:val="22"/>
              </w:rPr>
              <w:t>52</w:t>
            </w:r>
          </w:p>
        </w:tc>
      </w:tr>
      <w:tr w:rsidR="00B47F36" w:rsidRPr="00527BAA" w14:paraId="548882FD" w14:textId="77777777" w:rsidTr="00DD28EC">
        <w:trPr>
          <w:trHeight w:val="804"/>
        </w:trPr>
        <w:tc>
          <w:tcPr>
            <w:tcW w:w="4815" w:type="dxa"/>
            <w:tcBorders>
              <w:top w:val="single" w:sz="4" w:space="0" w:color="auto"/>
              <w:left w:val="single" w:sz="4" w:space="0" w:color="auto"/>
              <w:bottom w:val="single" w:sz="4" w:space="0" w:color="auto"/>
              <w:right w:val="single" w:sz="4" w:space="0" w:color="auto"/>
            </w:tcBorders>
          </w:tcPr>
          <w:p w14:paraId="625B1B1C" w14:textId="4FD334C7" w:rsidR="00B47F36" w:rsidRPr="00527BAA" w:rsidRDefault="00B47F36" w:rsidP="00B47F36">
            <w:pPr>
              <w:spacing w:before="60" w:after="60" w:line="240" w:lineRule="auto"/>
              <w:rPr>
                <w:rFonts w:cs="Arial"/>
                <w:sz w:val="22"/>
              </w:rPr>
            </w:pPr>
            <w:r w:rsidRPr="00527BAA">
              <w:rPr>
                <w:sz w:val="22"/>
              </w:rPr>
              <w:t>Indicator 4: Nutritional status monitoring in primary care after bariatric surgery (new patients)</w:t>
            </w:r>
          </w:p>
        </w:tc>
        <w:tc>
          <w:tcPr>
            <w:tcW w:w="1241" w:type="dxa"/>
            <w:tcBorders>
              <w:top w:val="single" w:sz="4" w:space="0" w:color="auto"/>
              <w:left w:val="single" w:sz="4" w:space="0" w:color="auto"/>
              <w:bottom w:val="single" w:sz="4" w:space="0" w:color="auto"/>
              <w:right w:val="single" w:sz="4" w:space="0" w:color="auto"/>
            </w:tcBorders>
          </w:tcPr>
          <w:p w14:paraId="63B81B55" w14:textId="77777777" w:rsidR="00B47F36" w:rsidRPr="00527BAA" w:rsidRDefault="00B47F36" w:rsidP="00B47F36">
            <w:pPr>
              <w:spacing w:before="60" w:after="60" w:line="240" w:lineRule="auto"/>
              <w:jc w:val="center"/>
              <w:rPr>
                <w:sz w:val="22"/>
              </w:rPr>
            </w:pPr>
            <w:r w:rsidRPr="00527BAA">
              <w:rPr>
                <w:sz w:val="22"/>
              </w:rPr>
              <w:t>34</w:t>
            </w:r>
          </w:p>
          <w:p w14:paraId="5C2BEFB1" w14:textId="28FD6EC9" w:rsidR="00B47F36" w:rsidRPr="00527BAA" w:rsidRDefault="00B47F36" w:rsidP="00B47F36">
            <w:pPr>
              <w:spacing w:before="60" w:after="60" w:line="240" w:lineRule="auto"/>
              <w:jc w:val="center"/>
              <w:rPr>
                <w:sz w:val="22"/>
              </w:rPr>
            </w:pPr>
            <w:r w:rsidRPr="00527BAA">
              <w:rPr>
                <w:sz w:val="22"/>
              </w:rPr>
              <w:t>(65.4%)</w:t>
            </w:r>
          </w:p>
        </w:tc>
        <w:tc>
          <w:tcPr>
            <w:tcW w:w="1169" w:type="dxa"/>
            <w:tcBorders>
              <w:top w:val="single" w:sz="4" w:space="0" w:color="auto"/>
              <w:left w:val="single" w:sz="4" w:space="0" w:color="auto"/>
              <w:bottom w:val="single" w:sz="4" w:space="0" w:color="auto"/>
              <w:right w:val="single" w:sz="4" w:space="0" w:color="auto"/>
            </w:tcBorders>
          </w:tcPr>
          <w:p w14:paraId="32723A46" w14:textId="77777777" w:rsidR="00B47F36" w:rsidRPr="00527BAA" w:rsidRDefault="00B47F36" w:rsidP="00B47F36">
            <w:pPr>
              <w:spacing w:before="60" w:after="60" w:line="240" w:lineRule="auto"/>
              <w:jc w:val="center"/>
              <w:rPr>
                <w:sz w:val="22"/>
              </w:rPr>
            </w:pPr>
            <w:r w:rsidRPr="00527BAA">
              <w:rPr>
                <w:sz w:val="22"/>
              </w:rPr>
              <w:t>7</w:t>
            </w:r>
          </w:p>
          <w:p w14:paraId="1C973012" w14:textId="633254A9" w:rsidR="00B47F36" w:rsidRPr="00527BAA" w:rsidRDefault="00B47F36" w:rsidP="00B47F36">
            <w:pPr>
              <w:spacing w:before="60" w:after="60" w:line="240" w:lineRule="auto"/>
              <w:jc w:val="center"/>
              <w:rPr>
                <w:sz w:val="22"/>
              </w:rPr>
            </w:pPr>
            <w:r w:rsidRPr="00527BAA">
              <w:rPr>
                <w:sz w:val="22"/>
              </w:rPr>
              <w:t>(13.5%)</w:t>
            </w:r>
          </w:p>
        </w:tc>
        <w:tc>
          <w:tcPr>
            <w:tcW w:w="1234" w:type="dxa"/>
            <w:tcBorders>
              <w:top w:val="single" w:sz="4" w:space="0" w:color="auto"/>
              <w:left w:val="single" w:sz="4" w:space="0" w:color="auto"/>
              <w:bottom w:val="single" w:sz="4" w:space="0" w:color="auto"/>
              <w:right w:val="single" w:sz="4" w:space="0" w:color="auto"/>
            </w:tcBorders>
          </w:tcPr>
          <w:p w14:paraId="1255E17D" w14:textId="77777777" w:rsidR="00B47F36" w:rsidRPr="00527BAA" w:rsidRDefault="00B47F36" w:rsidP="00B47F36">
            <w:pPr>
              <w:spacing w:before="60" w:after="60" w:line="240" w:lineRule="auto"/>
              <w:jc w:val="center"/>
              <w:rPr>
                <w:sz w:val="22"/>
              </w:rPr>
            </w:pPr>
            <w:r w:rsidRPr="00527BAA">
              <w:rPr>
                <w:sz w:val="22"/>
              </w:rPr>
              <w:t>11</w:t>
            </w:r>
          </w:p>
          <w:p w14:paraId="6F1BE30D" w14:textId="03B821ED" w:rsidR="00B47F36" w:rsidRPr="00527BAA" w:rsidRDefault="00B47F36" w:rsidP="00B47F36">
            <w:pPr>
              <w:spacing w:before="60" w:after="60" w:line="240" w:lineRule="auto"/>
              <w:jc w:val="center"/>
              <w:rPr>
                <w:sz w:val="22"/>
              </w:rPr>
            </w:pPr>
            <w:r w:rsidRPr="00527BAA">
              <w:rPr>
                <w:sz w:val="22"/>
              </w:rPr>
              <w:t>(21.2%)</w:t>
            </w:r>
          </w:p>
        </w:tc>
        <w:tc>
          <w:tcPr>
            <w:tcW w:w="750" w:type="dxa"/>
            <w:tcBorders>
              <w:top w:val="single" w:sz="4" w:space="0" w:color="auto"/>
              <w:left w:val="single" w:sz="4" w:space="0" w:color="auto"/>
              <w:bottom w:val="single" w:sz="4" w:space="0" w:color="auto"/>
              <w:right w:val="single" w:sz="4" w:space="0" w:color="auto"/>
            </w:tcBorders>
          </w:tcPr>
          <w:p w14:paraId="1BE252A0" w14:textId="606B72F9" w:rsidR="00B47F36" w:rsidRPr="00527BAA" w:rsidRDefault="00B47F36" w:rsidP="00B47F36">
            <w:pPr>
              <w:spacing w:before="60" w:after="60" w:line="240" w:lineRule="auto"/>
              <w:jc w:val="center"/>
              <w:rPr>
                <w:sz w:val="22"/>
              </w:rPr>
            </w:pPr>
            <w:r w:rsidRPr="00527BAA">
              <w:rPr>
                <w:sz w:val="22"/>
              </w:rPr>
              <w:t>52</w:t>
            </w:r>
          </w:p>
        </w:tc>
      </w:tr>
    </w:tbl>
    <w:p w14:paraId="55986172" w14:textId="77777777" w:rsidR="0094530C" w:rsidRPr="00CB5DF2" w:rsidRDefault="0094530C" w:rsidP="0094530C">
      <w:pPr>
        <w:spacing w:line="312" w:lineRule="auto"/>
        <w:rPr>
          <w:sz w:val="22"/>
        </w:rPr>
      </w:pPr>
      <w:r w:rsidRPr="00CB5DF2">
        <w:rPr>
          <w:sz w:val="22"/>
        </w:rPr>
        <w:t>Please note where percentages do not total 100%, this is as a result of rounding.</w:t>
      </w:r>
    </w:p>
    <w:p w14:paraId="0E8AA6E1" w14:textId="0BF62F34" w:rsidR="00CC7120" w:rsidRDefault="00CC7120" w:rsidP="008D20EC">
      <w:pPr>
        <w:spacing w:after="0"/>
      </w:pPr>
    </w:p>
    <w:p w14:paraId="20B63008" w14:textId="3650363E" w:rsidR="00076E90" w:rsidRDefault="00076E90" w:rsidP="009D30FE">
      <w:pPr>
        <w:pStyle w:val="Heading3"/>
      </w:pPr>
      <w:r>
        <w:t>Appointment type and length</w:t>
      </w:r>
    </w:p>
    <w:p w14:paraId="718E005B" w14:textId="2889D7D4" w:rsidR="00F30D60" w:rsidRDefault="005F6385" w:rsidP="00F30D60">
      <w:r>
        <w:t>Views were mixed on the impact of these indicators on appointment type and length</w:t>
      </w:r>
      <w:r w:rsidR="00BE1D27">
        <w:t xml:space="preserve"> (Tables 9 and 10)</w:t>
      </w:r>
      <w:r w:rsidR="00F30D60">
        <w:t xml:space="preserve">, and one survey respondent made a general comment about all the weight management indicators, suggesting extra input and time would be required. </w:t>
      </w:r>
    </w:p>
    <w:p w14:paraId="70FDF7B6" w14:textId="1C4928C9" w:rsidR="00F30D60" w:rsidRDefault="00F30D60" w:rsidP="00F30D60">
      <w:pPr>
        <w:pStyle w:val="Heading6"/>
      </w:pPr>
      <w:r>
        <w:t>“</w:t>
      </w:r>
      <w:r w:rsidRPr="00F30D60">
        <w:t>GP appointment times are 10 mins. If you want a meaningful discussion […] this needs to be a longer consultation […] we do mention the weight if they look obviously over 30 but to do a</w:t>
      </w:r>
      <w:r w:rsidR="00BE1D27">
        <w:t>n</w:t>
      </w:r>
      <w:r w:rsidRPr="00F30D60">
        <w:t xml:space="preserve"> in-depth consultation again is not realistic</w:t>
      </w:r>
      <w:r w:rsidR="00491253">
        <w:t>.</w:t>
      </w:r>
      <w:r>
        <w:t>” [GP, survey]</w:t>
      </w:r>
    </w:p>
    <w:p w14:paraId="598B3845" w14:textId="77777777" w:rsidR="00F023A7" w:rsidRDefault="00F023A7" w:rsidP="00F023A7"/>
    <w:p w14:paraId="42350006" w14:textId="77777777" w:rsidR="00F023A7" w:rsidRDefault="00F023A7" w:rsidP="00F023A7"/>
    <w:p w14:paraId="147A24E4" w14:textId="77777777" w:rsidR="00F023A7" w:rsidRDefault="00F023A7" w:rsidP="00F023A7"/>
    <w:p w14:paraId="0D22E549" w14:textId="77777777" w:rsidR="00F023A7" w:rsidRDefault="00F023A7" w:rsidP="00F023A7"/>
    <w:p w14:paraId="65C231AA" w14:textId="77777777" w:rsidR="00F023A7" w:rsidRDefault="00F023A7" w:rsidP="00F023A7"/>
    <w:p w14:paraId="7FF82659" w14:textId="77777777" w:rsidR="00F023A7" w:rsidRPr="00F023A7" w:rsidRDefault="00F023A7" w:rsidP="00F023A7"/>
    <w:p w14:paraId="003C55AF" w14:textId="3CE9C3C4" w:rsidR="00CC7120" w:rsidRDefault="00CC7120" w:rsidP="00CC7120">
      <w:pPr>
        <w:spacing w:line="276" w:lineRule="auto"/>
        <w:rPr>
          <w:u w:val="single"/>
        </w:rPr>
      </w:pPr>
      <w:r w:rsidRPr="004B4482">
        <w:rPr>
          <w:u w:val="single"/>
        </w:rPr>
        <w:lastRenderedPageBreak/>
        <w:t>Table</w:t>
      </w:r>
      <w:r>
        <w:rPr>
          <w:u w:val="single"/>
        </w:rPr>
        <w:t xml:space="preserve"> </w:t>
      </w:r>
      <w:r w:rsidR="00103F79">
        <w:rPr>
          <w:u w:val="single"/>
        </w:rPr>
        <w:t>9</w:t>
      </w:r>
      <w:r w:rsidR="00364DB9">
        <w:rPr>
          <w:u w:val="single"/>
        </w:rPr>
        <w:t>:</w:t>
      </w:r>
      <w:r>
        <w:rPr>
          <w:u w:val="single"/>
        </w:rPr>
        <w:t xml:space="preserve"> </w:t>
      </w:r>
      <w:r w:rsidRPr="004B4482">
        <w:rPr>
          <w:u w:val="single"/>
        </w:rPr>
        <w:t xml:space="preserve">Views on </w:t>
      </w:r>
      <w:r>
        <w:rPr>
          <w:u w:val="single"/>
        </w:rPr>
        <w:t>any changes needed to appointment type relating to the indicator</w:t>
      </w:r>
      <w:r w:rsidR="00BE1D27">
        <w:rPr>
          <w:u w:val="single"/>
        </w:rPr>
        <w:t>s</w:t>
      </w:r>
      <w:r>
        <w:rPr>
          <w:u w:val="single"/>
        </w:rPr>
        <w:t xml:space="preserve"> </w:t>
      </w:r>
      <w:r w:rsidRPr="004B4482">
        <w:rPr>
          <w:u w:val="single"/>
        </w:rPr>
        <w:t>(survey)</w:t>
      </w:r>
    </w:p>
    <w:p w14:paraId="605BB133" w14:textId="38A9D40F" w:rsidR="00780FA2" w:rsidRDefault="00780FA2" w:rsidP="00CC7120">
      <w:pPr>
        <w:spacing w:line="276" w:lineRule="auto"/>
        <w:rPr>
          <w:u w:val="single"/>
        </w:rPr>
      </w:pPr>
      <w:r w:rsidRPr="008C7154">
        <w:rPr>
          <w:rFonts w:cs="Arial"/>
          <w:b/>
          <w:bCs/>
          <w:color w:val="010205"/>
          <w:sz w:val="22"/>
        </w:rPr>
        <w:t>Do you think there would need to be any changes to appointment TYPE for the following indicators?</w:t>
      </w:r>
    </w:p>
    <w:tbl>
      <w:tblPr>
        <w:tblStyle w:val="TableGrid"/>
        <w:tblW w:w="9209" w:type="dxa"/>
        <w:tblLook w:val="04A0" w:firstRow="1" w:lastRow="0" w:firstColumn="1" w:lastColumn="0" w:noHBand="0" w:noVBand="1"/>
      </w:tblPr>
      <w:tblGrid>
        <w:gridCol w:w="4686"/>
        <w:gridCol w:w="1231"/>
        <w:gridCol w:w="1162"/>
        <w:gridCol w:w="1224"/>
        <w:gridCol w:w="906"/>
      </w:tblGrid>
      <w:tr w:rsidR="00CC7120" w:rsidRPr="00527BAA" w14:paraId="0F3BA9C7" w14:textId="77777777" w:rsidTr="000A2255">
        <w:tc>
          <w:tcPr>
            <w:tcW w:w="4686" w:type="dxa"/>
            <w:tcBorders>
              <w:top w:val="single" w:sz="4" w:space="0" w:color="auto"/>
              <w:left w:val="single" w:sz="4" w:space="0" w:color="auto"/>
              <w:bottom w:val="single" w:sz="4" w:space="0" w:color="auto"/>
              <w:right w:val="single" w:sz="4" w:space="0" w:color="auto"/>
            </w:tcBorders>
          </w:tcPr>
          <w:p w14:paraId="429BCA73" w14:textId="77777777" w:rsidR="00CC7120" w:rsidRPr="00527BAA" w:rsidRDefault="00CC7120" w:rsidP="00DD28EC">
            <w:pPr>
              <w:spacing w:before="60" w:after="60" w:line="240" w:lineRule="auto"/>
              <w:rPr>
                <w:sz w:val="22"/>
              </w:rPr>
            </w:pPr>
          </w:p>
        </w:tc>
        <w:tc>
          <w:tcPr>
            <w:tcW w:w="1231" w:type="dxa"/>
            <w:tcBorders>
              <w:top w:val="single" w:sz="4" w:space="0" w:color="auto"/>
              <w:left w:val="single" w:sz="4" w:space="0" w:color="auto"/>
              <w:bottom w:val="single" w:sz="4" w:space="0" w:color="auto"/>
              <w:right w:val="single" w:sz="4" w:space="0" w:color="auto"/>
            </w:tcBorders>
            <w:hideMark/>
          </w:tcPr>
          <w:p w14:paraId="6DB27238" w14:textId="77777777" w:rsidR="00CC7120" w:rsidRPr="00527BAA" w:rsidRDefault="00CC7120" w:rsidP="00DD28EC">
            <w:pPr>
              <w:spacing w:before="60" w:after="60" w:line="240" w:lineRule="auto"/>
              <w:jc w:val="center"/>
              <w:rPr>
                <w:sz w:val="22"/>
              </w:rPr>
            </w:pPr>
            <w:r w:rsidRPr="00527BAA">
              <w:rPr>
                <w:sz w:val="22"/>
              </w:rPr>
              <w:t>Yes</w:t>
            </w:r>
          </w:p>
        </w:tc>
        <w:tc>
          <w:tcPr>
            <w:tcW w:w="1162" w:type="dxa"/>
            <w:tcBorders>
              <w:top w:val="single" w:sz="4" w:space="0" w:color="auto"/>
              <w:left w:val="single" w:sz="4" w:space="0" w:color="auto"/>
              <w:bottom w:val="single" w:sz="4" w:space="0" w:color="auto"/>
              <w:right w:val="single" w:sz="4" w:space="0" w:color="auto"/>
            </w:tcBorders>
            <w:hideMark/>
          </w:tcPr>
          <w:p w14:paraId="71D4C361" w14:textId="77777777" w:rsidR="00CC7120" w:rsidRPr="00527BAA" w:rsidRDefault="00CC7120" w:rsidP="00DD28EC">
            <w:pPr>
              <w:spacing w:before="60" w:after="60" w:line="240" w:lineRule="auto"/>
              <w:jc w:val="center"/>
              <w:rPr>
                <w:sz w:val="22"/>
              </w:rPr>
            </w:pPr>
            <w:r w:rsidRPr="00527BAA">
              <w:rPr>
                <w:sz w:val="22"/>
              </w:rPr>
              <w:t xml:space="preserve">No </w:t>
            </w:r>
          </w:p>
        </w:tc>
        <w:tc>
          <w:tcPr>
            <w:tcW w:w="1224" w:type="dxa"/>
            <w:tcBorders>
              <w:top w:val="single" w:sz="4" w:space="0" w:color="auto"/>
              <w:left w:val="single" w:sz="4" w:space="0" w:color="auto"/>
              <w:bottom w:val="single" w:sz="4" w:space="0" w:color="auto"/>
              <w:right w:val="single" w:sz="4" w:space="0" w:color="auto"/>
            </w:tcBorders>
            <w:hideMark/>
          </w:tcPr>
          <w:p w14:paraId="0A5855F4" w14:textId="77777777" w:rsidR="00CC7120" w:rsidRPr="00527BAA" w:rsidRDefault="00CC7120" w:rsidP="00DD28EC">
            <w:pPr>
              <w:spacing w:before="60" w:after="60" w:line="240" w:lineRule="auto"/>
              <w:jc w:val="center"/>
              <w:rPr>
                <w:sz w:val="22"/>
              </w:rPr>
            </w:pPr>
            <w:r w:rsidRPr="00527BAA">
              <w:rPr>
                <w:sz w:val="22"/>
              </w:rPr>
              <w:t>Unsure</w:t>
            </w:r>
          </w:p>
        </w:tc>
        <w:tc>
          <w:tcPr>
            <w:tcW w:w="906" w:type="dxa"/>
            <w:tcBorders>
              <w:top w:val="single" w:sz="4" w:space="0" w:color="auto"/>
              <w:left w:val="single" w:sz="4" w:space="0" w:color="auto"/>
              <w:bottom w:val="single" w:sz="4" w:space="0" w:color="auto"/>
              <w:right w:val="single" w:sz="4" w:space="0" w:color="auto"/>
            </w:tcBorders>
            <w:hideMark/>
          </w:tcPr>
          <w:p w14:paraId="79E632E6" w14:textId="77777777" w:rsidR="00CC7120" w:rsidRPr="00527BAA" w:rsidRDefault="00CC7120" w:rsidP="00DD28EC">
            <w:pPr>
              <w:spacing w:before="60" w:after="60" w:line="240" w:lineRule="auto"/>
              <w:jc w:val="center"/>
              <w:rPr>
                <w:sz w:val="22"/>
              </w:rPr>
            </w:pPr>
            <w:r w:rsidRPr="00527BAA">
              <w:rPr>
                <w:sz w:val="22"/>
              </w:rPr>
              <w:t>Total</w:t>
            </w:r>
          </w:p>
        </w:tc>
      </w:tr>
      <w:tr w:rsidR="00B76E9A" w:rsidRPr="00527BAA" w14:paraId="20DF432E" w14:textId="77777777" w:rsidTr="00BE1D27">
        <w:trPr>
          <w:trHeight w:val="622"/>
        </w:trPr>
        <w:tc>
          <w:tcPr>
            <w:tcW w:w="4686" w:type="dxa"/>
            <w:tcBorders>
              <w:top w:val="single" w:sz="4" w:space="0" w:color="auto"/>
              <w:left w:val="single" w:sz="4" w:space="0" w:color="auto"/>
              <w:bottom w:val="single" w:sz="4" w:space="0" w:color="auto"/>
              <w:right w:val="single" w:sz="4" w:space="0" w:color="auto"/>
            </w:tcBorders>
            <w:hideMark/>
          </w:tcPr>
          <w:p w14:paraId="7EECF375" w14:textId="2DC96EDE" w:rsidR="00B76E9A" w:rsidRPr="00527BAA" w:rsidRDefault="00B76E9A" w:rsidP="00B76E9A">
            <w:pPr>
              <w:spacing w:before="60" w:after="60" w:line="240" w:lineRule="auto"/>
              <w:rPr>
                <w:sz w:val="22"/>
              </w:rPr>
            </w:pPr>
            <w:r w:rsidRPr="00527BAA">
              <w:rPr>
                <w:sz w:val="22"/>
              </w:rPr>
              <w:t>Indicator 1: Weight management advice</w:t>
            </w:r>
          </w:p>
        </w:tc>
        <w:tc>
          <w:tcPr>
            <w:tcW w:w="1231" w:type="dxa"/>
            <w:tcBorders>
              <w:top w:val="single" w:sz="4" w:space="0" w:color="auto"/>
              <w:left w:val="single" w:sz="4" w:space="0" w:color="auto"/>
              <w:bottom w:val="single" w:sz="4" w:space="0" w:color="auto"/>
              <w:right w:val="single" w:sz="4" w:space="0" w:color="auto"/>
            </w:tcBorders>
          </w:tcPr>
          <w:p w14:paraId="084CEE74" w14:textId="77777777" w:rsidR="00B76E9A" w:rsidRPr="00527BAA" w:rsidRDefault="00B76E9A" w:rsidP="00B76E9A">
            <w:pPr>
              <w:spacing w:before="60" w:after="60" w:line="240" w:lineRule="auto"/>
              <w:jc w:val="center"/>
              <w:rPr>
                <w:sz w:val="22"/>
              </w:rPr>
            </w:pPr>
            <w:r w:rsidRPr="00527BAA">
              <w:rPr>
                <w:sz w:val="22"/>
              </w:rPr>
              <w:t>16</w:t>
            </w:r>
          </w:p>
          <w:p w14:paraId="610F4E04" w14:textId="187A1443" w:rsidR="00B76E9A" w:rsidRPr="00527BAA" w:rsidRDefault="00B76E9A" w:rsidP="00B76E9A">
            <w:pPr>
              <w:spacing w:before="60" w:after="60" w:line="240" w:lineRule="auto"/>
              <w:jc w:val="center"/>
              <w:rPr>
                <w:sz w:val="22"/>
              </w:rPr>
            </w:pPr>
            <w:r w:rsidRPr="00527BAA">
              <w:rPr>
                <w:sz w:val="22"/>
              </w:rPr>
              <w:t>(30.8%)</w:t>
            </w:r>
          </w:p>
        </w:tc>
        <w:tc>
          <w:tcPr>
            <w:tcW w:w="1162" w:type="dxa"/>
            <w:tcBorders>
              <w:top w:val="single" w:sz="4" w:space="0" w:color="auto"/>
              <w:left w:val="single" w:sz="4" w:space="0" w:color="auto"/>
              <w:bottom w:val="single" w:sz="4" w:space="0" w:color="auto"/>
              <w:right w:val="single" w:sz="4" w:space="0" w:color="auto"/>
            </w:tcBorders>
          </w:tcPr>
          <w:p w14:paraId="1C8568D6" w14:textId="77777777" w:rsidR="00B76E9A" w:rsidRPr="00527BAA" w:rsidRDefault="00B76E9A" w:rsidP="00B76E9A">
            <w:pPr>
              <w:spacing w:before="60" w:after="60" w:line="240" w:lineRule="auto"/>
              <w:jc w:val="center"/>
              <w:rPr>
                <w:sz w:val="22"/>
              </w:rPr>
            </w:pPr>
            <w:r w:rsidRPr="00527BAA">
              <w:rPr>
                <w:sz w:val="22"/>
              </w:rPr>
              <w:t>25</w:t>
            </w:r>
          </w:p>
          <w:p w14:paraId="22C3A71E" w14:textId="628CEB72" w:rsidR="00B76E9A" w:rsidRPr="00527BAA" w:rsidRDefault="00B76E9A" w:rsidP="00B76E9A">
            <w:pPr>
              <w:spacing w:before="60" w:after="60" w:line="240" w:lineRule="auto"/>
              <w:jc w:val="center"/>
              <w:rPr>
                <w:sz w:val="22"/>
              </w:rPr>
            </w:pPr>
            <w:r w:rsidRPr="00527BAA">
              <w:rPr>
                <w:sz w:val="22"/>
              </w:rPr>
              <w:t>(48.1%)</w:t>
            </w:r>
          </w:p>
        </w:tc>
        <w:tc>
          <w:tcPr>
            <w:tcW w:w="1224" w:type="dxa"/>
            <w:tcBorders>
              <w:top w:val="single" w:sz="4" w:space="0" w:color="auto"/>
              <w:left w:val="single" w:sz="4" w:space="0" w:color="auto"/>
              <w:bottom w:val="single" w:sz="4" w:space="0" w:color="auto"/>
              <w:right w:val="single" w:sz="4" w:space="0" w:color="auto"/>
            </w:tcBorders>
          </w:tcPr>
          <w:p w14:paraId="363D28AE" w14:textId="77777777" w:rsidR="00B76E9A" w:rsidRPr="00527BAA" w:rsidRDefault="00B76E9A" w:rsidP="00B76E9A">
            <w:pPr>
              <w:spacing w:before="60" w:after="60" w:line="240" w:lineRule="auto"/>
              <w:jc w:val="center"/>
              <w:rPr>
                <w:sz w:val="22"/>
              </w:rPr>
            </w:pPr>
            <w:r w:rsidRPr="00527BAA">
              <w:rPr>
                <w:sz w:val="22"/>
              </w:rPr>
              <w:t>11</w:t>
            </w:r>
          </w:p>
          <w:p w14:paraId="56B7C623" w14:textId="66536816" w:rsidR="00B76E9A" w:rsidRPr="00527BAA" w:rsidRDefault="00B76E9A" w:rsidP="00B76E9A">
            <w:pPr>
              <w:spacing w:before="60" w:after="60" w:line="240" w:lineRule="auto"/>
              <w:jc w:val="center"/>
              <w:rPr>
                <w:sz w:val="22"/>
              </w:rPr>
            </w:pPr>
            <w:r w:rsidRPr="00527BAA">
              <w:rPr>
                <w:sz w:val="22"/>
              </w:rPr>
              <w:t>(21.2%)</w:t>
            </w:r>
          </w:p>
        </w:tc>
        <w:tc>
          <w:tcPr>
            <w:tcW w:w="906" w:type="dxa"/>
            <w:tcBorders>
              <w:top w:val="single" w:sz="4" w:space="0" w:color="auto"/>
              <w:left w:val="single" w:sz="4" w:space="0" w:color="auto"/>
              <w:bottom w:val="single" w:sz="4" w:space="0" w:color="auto"/>
              <w:right w:val="single" w:sz="4" w:space="0" w:color="auto"/>
            </w:tcBorders>
            <w:hideMark/>
          </w:tcPr>
          <w:p w14:paraId="63391B75" w14:textId="284DF1C4" w:rsidR="00B76E9A" w:rsidRPr="00527BAA" w:rsidRDefault="00B76E9A" w:rsidP="00B76E9A">
            <w:pPr>
              <w:spacing w:before="60" w:after="60" w:line="240" w:lineRule="auto"/>
              <w:jc w:val="center"/>
              <w:rPr>
                <w:sz w:val="22"/>
              </w:rPr>
            </w:pPr>
            <w:r w:rsidRPr="00527BAA">
              <w:rPr>
                <w:sz w:val="22"/>
              </w:rPr>
              <w:t>52</w:t>
            </w:r>
          </w:p>
        </w:tc>
      </w:tr>
      <w:tr w:rsidR="00B76E9A" w:rsidRPr="00527BAA" w14:paraId="1590B667" w14:textId="77777777" w:rsidTr="001B0398">
        <w:trPr>
          <w:trHeight w:val="622"/>
        </w:trPr>
        <w:tc>
          <w:tcPr>
            <w:tcW w:w="4686" w:type="dxa"/>
            <w:tcBorders>
              <w:top w:val="single" w:sz="4" w:space="0" w:color="auto"/>
              <w:left w:val="single" w:sz="4" w:space="0" w:color="auto"/>
              <w:bottom w:val="single" w:sz="4" w:space="0" w:color="auto"/>
              <w:right w:val="single" w:sz="4" w:space="0" w:color="auto"/>
            </w:tcBorders>
          </w:tcPr>
          <w:p w14:paraId="0E1B0A3C" w14:textId="23AEF65E" w:rsidR="00B76E9A" w:rsidRPr="00527BAA" w:rsidRDefault="00B76E9A" w:rsidP="00B76E9A">
            <w:pPr>
              <w:spacing w:before="60" w:after="60" w:line="240" w:lineRule="auto"/>
              <w:rPr>
                <w:rFonts w:cs="Arial"/>
                <w:sz w:val="22"/>
              </w:rPr>
            </w:pPr>
            <w:r w:rsidRPr="00527BAA">
              <w:rPr>
                <w:sz w:val="22"/>
              </w:rPr>
              <w:t>Indicator 2: Referral for bariatric surgery</w:t>
            </w:r>
          </w:p>
        </w:tc>
        <w:tc>
          <w:tcPr>
            <w:tcW w:w="1231" w:type="dxa"/>
            <w:tcBorders>
              <w:top w:val="single" w:sz="4" w:space="0" w:color="auto"/>
              <w:left w:val="single" w:sz="4" w:space="0" w:color="auto"/>
              <w:bottom w:val="single" w:sz="4" w:space="0" w:color="auto"/>
              <w:right w:val="single" w:sz="4" w:space="0" w:color="auto"/>
            </w:tcBorders>
          </w:tcPr>
          <w:p w14:paraId="23D2CF79" w14:textId="77777777" w:rsidR="00B76E9A" w:rsidRPr="00527BAA" w:rsidRDefault="00B76E9A" w:rsidP="00B76E9A">
            <w:pPr>
              <w:spacing w:before="60" w:after="60" w:line="240" w:lineRule="auto"/>
              <w:jc w:val="center"/>
              <w:rPr>
                <w:sz w:val="22"/>
              </w:rPr>
            </w:pPr>
            <w:r w:rsidRPr="00527BAA">
              <w:rPr>
                <w:sz w:val="22"/>
              </w:rPr>
              <w:t>16</w:t>
            </w:r>
          </w:p>
          <w:p w14:paraId="3E645D8A" w14:textId="696E0BF4" w:rsidR="00B76E9A" w:rsidRPr="00527BAA" w:rsidRDefault="00B76E9A" w:rsidP="00B76E9A">
            <w:pPr>
              <w:spacing w:before="60" w:after="60" w:line="240" w:lineRule="auto"/>
              <w:jc w:val="center"/>
              <w:rPr>
                <w:sz w:val="22"/>
              </w:rPr>
            </w:pPr>
            <w:r w:rsidRPr="00527BAA">
              <w:rPr>
                <w:sz w:val="22"/>
              </w:rPr>
              <w:t>(30.8%)</w:t>
            </w:r>
          </w:p>
        </w:tc>
        <w:tc>
          <w:tcPr>
            <w:tcW w:w="1162" w:type="dxa"/>
            <w:tcBorders>
              <w:top w:val="single" w:sz="4" w:space="0" w:color="auto"/>
              <w:left w:val="single" w:sz="4" w:space="0" w:color="auto"/>
              <w:bottom w:val="single" w:sz="4" w:space="0" w:color="auto"/>
              <w:right w:val="single" w:sz="4" w:space="0" w:color="auto"/>
            </w:tcBorders>
          </w:tcPr>
          <w:p w14:paraId="2A59E641" w14:textId="77777777" w:rsidR="00B76E9A" w:rsidRPr="00527BAA" w:rsidRDefault="00B76E9A" w:rsidP="00B76E9A">
            <w:pPr>
              <w:spacing w:before="60" w:after="60" w:line="240" w:lineRule="auto"/>
              <w:jc w:val="center"/>
              <w:rPr>
                <w:sz w:val="22"/>
              </w:rPr>
            </w:pPr>
            <w:r w:rsidRPr="00527BAA">
              <w:rPr>
                <w:sz w:val="22"/>
              </w:rPr>
              <w:t>25</w:t>
            </w:r>
          </w:p>
          <w:p w14:paraId="2B654463" w14:textId="55E3078E" w:rsidR="00B76E9A" w:rsidRPr="00527BAA" w:rsidRDefault="00B76E9A" w:rsidP="00B76E9A">
            <w:pPr>
              <w:spacing w:before="60" w:after="60" w:line="240" w:lineRule="auto"/>
              <w:jc w:val="center"/>
              <w:rPr>
                <w:sz w:val="22"/>
              </w:rPr>
            </w:pPr>
            <w:r w:rsidRPr="00527BAA">
              <w:rPr>
                <w:sz w:val="22"/>
              </w:rPr>
              <w:t>(48.1%)</w:t>
            </w:r>
          </w:p>
        </w:tc>
        <w:tc>
          <w:tcPr>
            <w:tcW w:w="1224" w:type="dxa"/>
            <w:tcBorders>
              <w:top w:val="single" w:sz="4" w:space="0" w:color="auto"/>
              <w:left w:val="single" w:sz="4" w:space="0" w:color="auto"/>
              <w:bottom w:val="single" w:sz="4" w:space="0" w:color="auto"/>
              <w:right w:val="single" w:sz="4" w:space="0" w:color="auto"/>
            </w:tcBorders>
          </w:tcPr>
          <w:p w14:paraId="067E7A6A" w14:textId="77777777" w:rsidR="00B76E9A" w:rsidRPr="00527BAA" w:rsidRDefault="00B76E9A" w:rsidP="00B76E9A">
            <w:pPr>
              <w:spacing w:before="60" w:after="60" w:line="240" w:lineRule="auto"/>
              <w:jc w:val="center"/>
              <w:rPr>
                <w:sz w:val="22"/>
              </w:rPr>
            </w:pPr>
            <w:r w:rsidRPr="00527BAA">
              <w:rPr>
                <w:sz w:val="22"/>
              </w:rPr>
              <w:t>11</w:t>
            </w:r>
          </w:p>
          <w:p w14:paraId="66FD47DB" w14:textId="3D2AF5C5" w:rsidR="00B76E9A" w:rsidRPr="00527BAA" w:rsidRDefault="00B76E9A" w:rsidP="00B76E9A">
            <w:pPr>
              <w:spacing w:before="60" w:after="60" w:line="240" w:lineRule="auto"/>
              <w:jc w:val="center"/>
              <w:rPr>
                <w:sz w:val="22"/>
              </w:rPr>
            </w:pPr>
            <w:r w:rsidRPr="00527BAA">
              <w:rPr>
                <w:sz w:val="22"/>
              </w:rPr>
              <w:t>(21.2%)</w:t>
            </w:r>
          </w:p>
        </w:tc>
        <w:tc>
          <w:tcPr>
            <w:tcW w:w="906" w:type="dxa"/>
            <w:tcBorders>
              <w:top w:val="single" w:sz="4" w:space="0" w:color="auto"/>
              <w:left w:val="single" w:sz="4" w:space="0" w:color="auto"/>
              <w:bottom w:val="single" w:sz="4" w:space="0" w:color="auto"/>
              <w:right w:val="single" w:sz="4" w:space="0" w:color="auto"/>
            </w:tcBorders>
          </w:tcPr>
          <w:p w14:paraId="1DBA77C0" w14:textId="21A11B62" w:rsidR="00B76E9A" w:rsidRPr="00527BAA" w:rsidRDefault="00B76E9A" w:rsidP="00B76E9A">
            <w:pPr>
              <w:spacing w:before="60" w:after="60" w:line="240" w:lineRule="auto"/>
              <w:jc w:val="center"/>
              <w:rPr>
                <w:sz w:val="22"/>
              </w:rPr>
            </w:pPr>
            <w:r w:rsidRPr="00527BAA">
              <w:rPr>
                <w:sz w:val="22"/>
              </w:rPr>
              <w:t>52</w:t>
            </w:r>
          </w:p>
        </w:tc>
      </w:tr>
      <w:tr w:rsidR="00B76E9A" w:rsidRPr="00527BAA" w14:paraId="46E43C4A" w14:textId="77777777" w:rsidTr="001B0398">
        <w:trPr>
          <w:trHeight w:val="622"/>
        </w:trPr>
        <w:tc>
          <w:tcPr>
            <w:tcW w:w="4686" w:type="dxa"/>
            <w:tcBorders>
              <w:top w:val="single" w:sz="4" w:space="0" w:color="auto"/>
              <w:left w:val="single" w:sz="4" w:space="0" w:color="auto"/>
              <w:bottom w:val="single" w:sz="4" w:space="0" w:color="auto"/>
              <w:right w:val="single" w:sz="4" w:space="0" w:color="auto"/>
            </w:tcBorders>
          </w:tcPr>
          <w:p w14:paraId="4624C44D" w14:textId="0A2E4513" w:rsidR="00B76E9A" w:rsidRPr="00527BAA" w:rsidRDefault="00B76E9A" w:rsidP="00B76E9A">
            <w:pPr>
              <w:spacing w:before="60" w:after="60" w:line="240" w:lineRule="auto"/>
              <w:rPr>
                <w:rFonts w:cs="Arial"/>
                <w:sz w:val="22"/>
              </w:rPr>
            </w:pPr>
            <w:r w:rsidRPr="00527BAA">
              <w:rPr>
                <w:sz w:val="22"/>
              </w:rPr>
              <w:t>Indicator 3: Nutritional status monitoring in primary care after bariatric surgery (all patients)</w:t>
            </w:r>
          </w:p>
        </w:tc>
        <w:tc>
          <w:tcPr>
            <w:tcW w:w="1231" w:type="dxa"/>
            <w:tcBorders>
              <w:top w:val="single" w:sz="4" w:space="0" w:color="auto"/>
              <w:left w:val="single" w:sz="4" w:space="0" w:color="auto"/>
              <w:bottom w:val="single" w:sz="4" w:space="0" w:color="auto"/>
              <w:right w:val="single" w:sz="4" w:space="0" w:color="auto"/>
            </w:tcBorders>
          </w:tcPr>
          <w:p w14:paraId="796A20E7" w14:textId="77777777" w:rsidR="00B76E9A" w:rsidRPr="00527BAA" w:rsidRDefault="00B76E9A" w:rsidP="00B76E9A">
            <w:pPr>
              <w:spacing w:before="60" w:after="60" w:line="240" w:lineRule="auto"/>
              <w:jc w:val="center"/>
              <w:rPr>
                <w:sz w:val="22"/>
              </w:rPr>
            </w:pPr>
            <w:r w:rsidRPr="00527BAA">
              <w:rPr>
                <w:sz w:val="22"/>
              </w:rPr>
              <w:t>22</w:t>
            </w:r>
          </w:p>
          <w:p w14:paraId="0B8B8FA6" w14:textId="16A7EDA3" w:rsidR="00B76E9A" w:rsidRPr="00527BAA" w:rsidRDefault="00B76E9A" w:rsidP="00B76E9A">
            <w:pPr>
              <w:spacing w:before="60" w:after="60" w:line="240" w:lineRule="auto"/>
              <w:jc w:val="center"/>
              <w:rPr>
                <w:sz w:val="22"/>
              </w:rPr>
            </w:pPr>
            <w:r w:rsidRPr="00527BAA">
              <w:rPr>
                <w:sz w:val="22"/>
              </w:rPr>
              <w:t>(42.3%)</w:t>
            </w:r>
          </w:p>
        </w:tc>
        <w:tc>
          <w:tcPr>
            <w:tcW w:w="1162" w:type="dxa"/>
            <w:tcBorders>
              <w:top w:val="single" w:sz="4" w:space="0" w:color="auto"/>
              <w:left w:val="single" w:sz="4" w:space="0" w:color="auto"/>
              <w:bottom w:val="single" w:sz="4" w:space="0" w:color="auto"/>
              <w:right w:val="single" w:sz="4" w:space="0" w:color="auto"/>
            </w:tcBorders>
          </w:tcPr>
          <w:p w14:paraId="1C7ED39A" w14:textId="77777777" w:rsidR="00B76E9A" w:rsidRPr="00527BAA" w:rsidRDefault="00B76E9A" w:rsidP="00B76E9A">
            <w:pPr>
              <w:spacing w:before="60" w:after="60" w:line="240" w:lineRule="auto"/>
              <w:jc w:val="center"/>
              <w:rPr>
                <w:sz w:val="22"/>
              </w:rPr>
            </w:pPr>
            <w:r w:rsidRPr="00527BAA">
              <w:rPr>
                <w:sz w:val="22"/>
              </w:rPr>
              <w:t>18</w:t>
            </w:r>
          </w:p>
          <w:p w14:paraId="04128656" w14:textId="135B6421" w:rsidR="00B76E9A" w:rsidRPr="00527BAA" w:rsidRDefault="00B76E9A" w:rsidP="00B76E9A">
            <w:pPr>
              <w:spacing w:before="60" w:after="60" w:line="240" w:lineRule="auto"/>
              <w:jc w:val="center"/>
              <w:rPr>
                <w:sz w:val="22"/>
              </w:rPr>
            </w:pPr>
            <w:r w:rsidRPr="00527BAA">
              <w:rPr>
                <w:sz w:val="22"/>
              </w:rPr>
              <w:t>(34.6%)</w:t>
            </w:r>
          </w:p>
        </w:tc>
        <w:tc>
          <w:tcPr>
            <w:tcW w:w="1224" w:type="dxa"/>
            <w:tcBorders>
              <w:top w:val="single" w:sz="4" w:space="0" w:color="auto"/>
              <w:left w:val="single" w:sz="4" w:space="0" w:color="auto"/>
              <w:bottom w:val="single" w:sz="4" w:space="0" w:color="auto"/>
              <w:right w:val="single" w:sz="4" w:space="0" w:color="auto"/>
            </w:tcBorders>
          </w:tcPr>
          <w:p w14:paraId="54EA3A03" w14:textId="77777777" w:rsidR="00B76E9A" w:rsidRPr="00527BAA" w:rsidRDefault="00B76E9A" w:rsidP="00B76E9A">
            <w:pPr>
              <w:spacing w:before="60" w:after="60" w:line="240" w:lineRule="auto"/>
              <w:jc w:val="center"/>
              <w:rPr>
                <w:sz w:val="22"/>
              </w:rPr>
            </w:pPr>
            <w:r w:rsidRPr="00527BAA">
              <w:rPr>
                <w:sz w:val="22"/>
              </w:rPr>
              <w:t>12</w:t>
            </w:r>
          </w:p>
          <w:p w14:paraId="55B8391A" w14:textId="34CCE354" w:rsidR="00B76E9A" w:rsidRPr="00527BAA" w:rsidRDefault="00B76E9A" w:rsidP="00B76E9A">
            <w:pPr>
              <w:spacing w:before="60" w:after="60" w:line="240" w:lineRule="auto"/>
              <w:jc w:val="center"/>
              <w:rPr>
                <w:sz w:val="22"/>
              </w:rPr>
            </w:pPr>
            <w:r w:rsidRPr="00527BAA">
              <w:rPr>
                <w:sz w:val="22"/>
              </w:rPr>
              <w:t>(23.1%)</w:t>
            </w:r>
          </w:p>
        </w:tc>
        <w:tc>
          <w:tcPr>
            <w:tcW w:w="906" w:type="dxa"/>
            <w:tcBorders>
              <w:top w:val="single" w:sz="4" w:space="0" w:color="auto"/>
              <w:left w:val="single" w:sz="4" w:space="0" w:color="auto"/>
              <w:bottom w:val="single" w:sz="4" w:space="0" w:color="auto"/>
              <w:right w:val="single" w:sz="4" w:space="0" w:color="auto"/>
            </w:tcBorders>
          </w:tcPr>
          <w:p w14:paraId="17738C90" w14:textId="48D57277" w:rsidR="00B76E9A" w:rsidRPr="00527BAA" w:rsidRDefault="00B76E9A" w:rsidP="00B76E9A">
            <w:pPr>
              <w:spacing w:before="60" w:after="60" w:line="240" w:lineRule="auto"/>
              <w:jc w:val="center"/>
              <w:rPr>
                <w:sz w:val="22"/>
              </w:rPr>
            </w:pPr>
            <w:r w:rsidRPr="00527BAA">
              <w:rPr>
                <w:sz w:val="22"/>
              </w:rPr>
              <w:t>52</w:t>
            </w:r>
          </w:p>
        </w:tc>
      </w:tr>
      <w:tr w:rsidR="00B76E9A" w:rsidRPr="00527BAA" w14:paraId="67D24FD6" w14:textId="77777777" w:rsidTr="001B0398">
        <w:trPr>
          <w:trHeight w:val="622"/>
        </w:trPr>
        <w:tc>
          <w:tcPr>
            <w:tcW w:w="4686" w:type="dxa"/>
            <w:tcBorders>
              <w:top w:val="single" w:sz="4" w:space="0" w:color="auto"/>
              <w:left w:val="single" w:sz="4" w:space="0" w:color="auto"/>
              <w:bottom w:val="single" w:sz="4" w:space="0" w:color="auto"/>
              <w:right w:val="single" w:sz="4" w:space="0" w:color="auto"/>
            </w:tcBorders>
          </w:tcPr>
          <w:p w14:paraId="2B7DE68A" w14:textId="2C1CA3F9" w:rsidR="00B76E9A" w:rsidRPr="00527BAA" w:rsidRDefault="00B76E9A" w:rsidP="00B76E9A">
            <w:pPr>
              <w:spacing w:before="60" w:after="60" w:line="240" w:lineRule="auto"/>
              <w:rPr>
                <w:rFonts w:cs="Arial"/>
                <w:sz w:val="22"/>
              </w:rPr>
            </w:pPr>
            <w:r w:rsidRPr="00527BAA">
              <w:rPr>
                <w:sz w:val="22"/>
              </w:rPr>
              <w:t>Indicator 4: Nutritional status monitoring in primary care after bariatric surgery (new patients)</w:t>
            </w:r>
          </w:p>
        </w:tc>
        <w:tc>
          <w:tcPr>
            <w:tcW w:w="1231" w:type="dxa"/>
            <w:tcBorders>
              <w:top w:val="single" w:sz="4" w:space="0" w:color="auto"/>
              <w:left w:val="single" w:sz="4" w:space="0" w:color="auto"/>
              <w:bottom w:val="single" w:sz="4" w:space="0" w:color="auto"/>
              <w:right w:val="single" w:sz="4" w:space="0" w:color="auto"/>
            </w:tcBorders>
          </w:tcPr>
          <w:p w14:paraId="5DEE74A4" w14:textId="77777777" w:rsidR="00B76E9A" w:rsidRPr="00527BAA" w:rsidRDefault="00B76E9A" w:rsidP="00B76E9A">
            <w:pPr>
              <w:spacing w:before="60" w:after="60" w:line="240" w:lineRule="auto"/>
              <w:jc w:val="center"/>
              <w:rPr>
                <w:sz w:val="22"/>
              </w:rPr>
            </w:pPr>
            <w:r w:rsidRPr="00527BAA">
              <w:rPr>
                <w:sz w:val="22"/>
              </w:rPr>
              <w:t>22</w:t>
            </w:r>
          </w:p>
          <w:p w14:paraId="1801F575" w14:textId="1FFD8DBF" w:rsidR="00B76E9A" w:rsidRPr="00527BAA" w:rsidRDefault="00B76E9A" w:rsidP="00B76E9A">
            <w:pPr>
              <w:spacing w:before="60" w:after="60" w:line="240" w:lineRule="auto"/>
              <w:jc w:val="center"/>
              <w:rPr>
                <w:sz w:val="22"/>
              </w:rPr>
            </w:pPr>
            <w:r w:rsidRPr="00527BAA">
              <w:rPr>
                <w:sz w:val="22"/>
              </w:rPr>
              <w:t>(42.3%)</w:t>
            </w:r>
          </w:p>
        </w:tc>
        <w:tc>
          <w:tcPr>
            <w:tcW w:w="1162" w:type="dxa"/>
            <w:tcBorders>
              <w:top w:val="single" w:sz="4" w:space="0" w:color="auto"/>
              <w:left w:val="single" w:sz="4" w:space="0" w:color="auto"/>
              <w:bottom w:val="single" w:sz="4" w:space="0" w:color="auto"/>
              <w:right w:val="single" w:sz="4" w:space="0" w:color="auto"/>
            </w:tcBorders>
          </w:tcPr>
          <w:p w14:paraId="4F9F123A" w14:textId="77777777" w:rsidR="00B76E9A" w:rsidRPr="00527BAA" w:rsidRDefault="00B76E9A" w:rsidP="00B76E9A">
            <w:pPr>
              <w:spacing w:before="60" w:after="60" w:line="240" w:lineRule="auto"/>
              <w:jc w:val="center"/>
              <w:rPr>
                <w:sz w:val="22"/>
              </w:rPr>
            </w:pPr>
            <w:r w:rsidRPr="00527BAA">
              <w:rPr>
                <w:sz w:val="22"/>
              </w:rPr>
              <w:t>18</w:t>
            </w:r>
          </w:p>
          <w:p w14:paraId="1E323B42" w14:textId="248B2505" w:rsidR="00B76E9A" w:rsidRPr="00527BAA" w:rsidRDefault="00B76E9A" w:rsidP="00B76E9A">
            <w:pPr>
              <w:spacing w:before="60" w:after="60" w:line="240" w:lineRule="auto"/>
              <w:jc w:val="center"/>
              <w:rPr>
                <w:sz w:val="22"/>
              </w:rPr>
            </w:pPr>
            <w:r w:rsidRPr="00527BAA">
              <w:rPr>
                <w:sz w:val="22"/>
              </w:rPr>
              <w:t>(34.6%)</w:t>
            </w:r>
          </w:p>
        </w:tc>
        <w:tc>
          <w:tcPr>
            <w:tcW w:w="1224" w:type="dxa"/>
            <w:tcBorders>
              <w:top w:val="single" w:sz="4" w:space="0" w:color="auto"/>
              <w:left w:val="single" w:sz="4" w:space="0" w:color="auto"/>
              <w:bottom w:val="single" w:sz="4" w:space="0" w:color="auto"/>
              <w:right w:val="single" w:sz="4" w:space="0" w:color="auto"/>
            </w:tcBorders>
          </w:tcPr>
          <w:p w14:paraId="0DC52F93" w14:textId="77777777" w:rsidR="00B76E9A" w:rsidRPr="00527BAA" w:rsidRDefault="00B76E9A" w:rsidP="00B76E9A">
            <w:pPr>
              <w:spacing w:before="60" w:after="60" w:line="240" w:lineRule="auto"/>
              <w:jc w:val="center"/>
              <w:rPr>
                <w:sz w:val="22"/>
              </w:rPr>
            </w:pPr>
            <w:r w:rsidRPr="00527BAA">
              <w:rPr>
                <w:sz w:val="22"/>
              </w:rPr>
              <w:t>12</w:t>
            </w:r>
          </w:p>
          <w:p w14:paraId="08181DD5" w14:textId="60BED60B" w:rsidR="00B76E9A" w:rsidRPr="00527BAA" w:rsidRDefault="00B76E9A" w:rsidP="00B76E9A">
            <w:pPr>
              <w:spacing w:before="60" w:after="60" w:line="240" w:lineRule="auto"/>
              <w:jc w:val="center"/>
              <w:rPr>
                <w:sz w:val="22"/>
              </w:rPr>
            </w:pPr>
            <w:r w:rsidRPr="00527BAA">
              <w:rPr>
                <w:sz w:val="22"/>
              </w:rPr>
              <w:t>(23.1%)</w:t>
            </w:r>
          </w:p>
        </w:tc>
        <w:tc>
          <w:tcPr>
            <w:tcW w:w="906" w:type="dxa"/>
            <w:tcBorders>
              <w:top w:val="single" w:sz="4" w:space="0" w:color="auto"/>
              <w:left w:val="single" w:sz="4" w:space="0" w:color="auto"/>
              <w:bottom w:val="single" w:sz="4" w:space="0" w:color="auto"/>
              <w:right w:val="single" w:sz="4" w:space="0" w:color="auto"/>
            </w:tcBorders>
          </w:tcPr>
          <w:p w14:paraId="203D3977" w14:textId="7CBEDA9F" w:rsidR="00B76E9A" w:rsidRPr="00527BAA" w:rsidRDefault="00B76E9A" w:rsidP="00B76E9A">
            <w:pPr>
              <w:spacing w:before="60" w:after="60" w:line="240" w:lineRule="auto"/>
              <w:jc w:val="center"/>
              <w:rPr>
                <w:sz w:val="22"/>
              </w:rPr>
            </w:pPr>
            <w:r w:rsidRPr="00527BAA">
              <w:rPr>
                <w:sz w:val="22"/>
              </w:rPr>
              <w:t>52</w:t>
            </w:r>
          </w:p>
        </w:tc>
      </w:tr>
    </w:tbl>
    <w:p w14:paraId="51DF485A" w14:textId="77777777" w:rsidR="0094530C" w:rsidRPr="00CB5DF2" w:rsidRDefault="0094530C" w:rsidP="0094530C">
      <w:pPr>
        <w:spacing w:line="312" w:lineRule="auto"/>
        <w:rPr>
          <w:sz w:val="22"/>
        </w:rPr>
      </w:pPr>
      <w:r w:rsidRPr="00CB5DF2">
        <w:rPr>
          <w:sz w:val="22"/>
        </w:rPr>
        <w:t>Please note where percentages do not total 100%, this is as a result of rounding.</w:t>
      </w:r>
    </w:p>
    <w:p w14:paraId="60ECB201" w14:textId="3B77AE77" w:rsidR="00103F79" w:rsidRDefault="00C25F7D" w:rsidP="00103F79">
      <w:pPr>
        <w:spacing w:line="276" w:lineRule="auto"/>
        <w:rPr>
          <w:u w:val="single"/>
        </w:rPr>
      </w:pPr>
      <w:r>
        <w:rPr>
          <w:u w:val="single"/>
        </w:rPr>
        <w:br/>
      </w:r>
      <w:r w:rsidR="00103F79" w:rsidRPr="004B4482">
        <w:rPr>
          <w:u w:val="single"/>
        </w:rPr>
        <w:t>Table</w:t>
      </w:r>
      <w:r w:rsidR="00103F79">
        <w:rPr>
          <w:u w:val="single"/>
        </w:rPr>
        <w:t xml:space="preserve"> 10: </w:t>
      </w:r>
      <w:r w:rsidR="00103F79" w:rsidRPr="004B4482">
        <w:rPr>
          <w:u w:val="single"/>
        </w:rPr>
        <w:t xml:space="preserve">Views on </w:t>
      </w:r>
      <w:r w:rsidR="00103F79">
        <w:rPr>
          <w:u w:val="single"/>
        </w:rPr>
        <w:t>any changes needed to appointment length relating to the indicator</w:t>
      </w:r>
      <w:r w:rsidR="00BE1D27">
        <w:rPr>
          <w:u w:val="single"/>
        </w:rPr>
        <w:t>s</w:t>
      </w:r>
      <w:r w:rsidR="00103F79">
        <w:rPr>
          <w:u w:val="single"/>
        </w:rPr>
        <w:t xml:space="preserve"> </w:t>
      </w:r>
      <w:r w:rsidR="00103F79" w:rsidRPr="004B4482">
        <w:rPr>
          <w:u w:val="single"/>
        </w:rPr>
        <w:t>(survey)</w:t>
      </w:r>
    </w:p>
    <w:p w14:paraId="7EE15657" w14:textId="25BA3933" w:rsidR="00780FA2" w:rsidRDefault="00780FA2" w:rsidP="00103F79">
      <w:pPr>
        <w:spacing w:line="276" w:lineRule="auto"/>
        <w:rPr>
          <w:u w:val="single"/>
        </w:rPr>
      </w:pPr>
      <w:r w:rsidRPr="008C7154">
        <w:rPr>
          <w:rFonts w:cs="Arial"/>
          <w:b/>
          <w:bCs/>
          <w:color w:val="010205"/>
          <w:sz w:val="22"/>
        </w:rPr>
        <w:t xml:space="preserve">Do you think there would need to be any changes to appointment </w:t>
      </w:r>
      <w:r>
        <w:rPr>
          <w:rFonts w:cs="Arial"/>
          <w:b/>
          <w:bCs/>
          <w:color w:val="010205"/>
          <w:sz w:val="22"/>
        </w:rPr>
        <w:t>LENGTH</w:t>
      </w:r>
      <w:r w:rsidRPr="008C7154">
        <w:rPr>
          <w:rFonts w:cs="Arial"/>
          <w:b/>
          <w:bCs/>
          <w:color w:val="010205"/>
          <w:sz w:val="22"/>
        </w:rPr>
        <w:t xml:space="preserve"> for the following indicators?</w:t>
      </w:r>
    </w:p>
    <w:tbl>
      <w:tblPr>
        <w:tblStyle w:val="TableGrid"/>
        <w:tblW w:w="9209" w:type="dxa"/>
        <w:tblLook w:val="04A0" w:firstRow="1" w:lastRow="0" w:firstColumn="1" w:lastColumn="0" w:noHBand="0" w:noVBand="1"/>
      </w:tblPr>
      <w:tblGrid>
        <w:gridCol w:w="4686"/>
        <w:gridCol w:w="1507"/>
        <w:gridCol w:w="1508"/>
        <w:gridCol w:w="1508"/>
      </w:tblGrid>
      <w:tr w:rsidR="00103F79" w:rsidRPr="00527BAA" w14:paraId="640BCEE2" w14:textId="77777777" w:rsidTr="00103F79">
        <w:tc>
          <w:tcPr>
            <w:tcW w:w="4686" w:type="dxa"/>
            <w:tcBorders>
              <w:top w:val="single" w:sz="4" w:space="0" w:color="auto"/>
              <w:left w:val="single" w:sz="4" w:space="0" w:color="auto"/>
              <w:bottom w:val="single" w:sz="4" w:space="0" w:color="auto"/>
              <w:right w:val="single" w:sz="4" w:space="0" w:color="auto"/>
            </w:tcBorders>
          </w:tcPr>
          <w:p w14:paraId="418134C8" w14:textId="77777777" w:rsidR="00103F79" w:rsidRPr="00527BAA" w:rsidRDefault="00103F79" w:rsidP="00B47750">
            <w:pPr>
              <w:spacing w:before="60" w:after="60" w:line="240" w:lineRule="auto"/>
              <w:rPr>
                <w:sz w:val="22"/>
              </w:rPr>
            </w:pPr>
          </w:p>
        </w:tc>
        <w:tc>
          <w:tcPr>
            <w:tcW w:w="1507" w:type="dxa"/>
            <w:tcBorders>
              <w:top w:val="single" w:sz="4" w:space="0" w:color="auto"/>
              <w:left w:val="single" w:sz="4" w:space="0" w:color="auto"/>
              <w:bottom w:val="single" w:sz="4" w:space="0" w:color="auto"/>
              <w:right w:val="single" w:sz="4" w:space="0" w:color="auto"/>
            </w:tcBorders>
            <w:hideMark/>
          </w:tcPr>
          <w:p w14:paraId="14D2A531" w14:textId="6A7531A1" w:rsidR="00103F79" w:rsidRPr="00527BAA" w:rsidRDefault="00103F79" w:rsidP="00B47750">
            <w:pPr>
              <w:spacing w:before="60" w:after="60" w:line="240" w:lineRule="auto"/>
              <w:jc w:val="center"/>
              <w:rPr>
                <w:sz w:val="22"/>
              </w:rPr>
            </w:pPr>
            <w:r w:rsidRPr="00527BAA">
              <w:rPr>
                <w:sz w:val="22"/>
              </w:rPr>
              <w:t>Standard appointment</w:t>
            </w:r>
          </w:p>
        </w:tc>
        <w:tc>
          <w:tcPr>
            <w:tcW w:w="1508" w:type="dxa"/>
            <w:tcBorders>
              <w:top w:val="single" w:sz="4" w:space="0" w:color="auto"/>
              <w:left w:val="single" w:sz="4" w:space="0" w:color="auto"/>
              <w:bottom w:val="single" w:sz="4" w:space="0" w:color="auto"/>
              <w:right w:val="single" w:sz="4" w:space="0" w:color="auto"/>
            </w:tcBorders>
            <w:hideMark/>
          </w:tcPr>
          <w:p w14:paraId="668C3149" w14:textId="77777777" w:rsidR="00103F79" w:rsidRPr="00527BAA" w:rsidRDefault="00103F79" w:rsidP="00103F79">
            <w:pPr>
              <w:spacing w:before="60" w:after="60" w:line="240" w:lineRule="auto"/>
              <w:jc w:val="center"/>
              <w:rPr>
                <w:sz w:val="22"/>
              </w:rPr>
            </w:pPr>
            <w:r w:rsidRPr="00527BAA">
              <w:rPr>
                <w:sz w:val="22"/>
              </w:rPr>
              <w:t>Extended appointment</w:t>
            </w:r>
          </w:p>
          <w:p w14:paraId="7017F5AE" w14:textId="14093735" w:rsidR="00103F79" w:rsidRPr="00527BAA" w:rsidRDefault="00103F79" w:rsidP="00103F79">
            <w:pPr>
              <w:spacing w:before="60" w:after="60" w:line="240" w:lineRule="auto"/>
              <w:jc w:val="center"/>
              <w:rPr>
                <w:sz w:val="22"/>
              </w:rPr>
            </w:pPr>
          </w:p>
        </w:tc>
        <w:tc>
          <w:tcPr>
            <w:tcW w:w="1508" w:type="dxa"/>
            <w:tcBorders>
              <w:top w:val="single" w:sz="4" w:space="0" w:color="auto"/>
              <w:left w:val="single" w:sz="4" w:space="0" w:color="auto"/>
              <w:bottom w:val="single" w:sz="4" w:space="0" w:color="auto"/>
              <w:right w:val="single" w:sz="4" w:space="0" w:color="auto"/>
            </w:tcBorders>
            <w:hideMark/>
          </w:tcPr>
          <w:p w14:paraId="41AEA564" w14:textId="77777777" w:rsidR="00103F79" w:rsidRPr="00527BAA" w:rsidRDefault="00103F79" w:rsidP="00B47750">
            <w:pPr>
              <w:spacing w:before="60" w:after="60" w:line="240" w:lineRule="auto"/>
              <w:jc w:val="center"/>
              <w:rPr>
                <w:sz w:val="22"/>
              </w:rPr>
            </w:pPr>
            <w:r w:rsidRPr="00527BAA">
              <w:rPr>
                <w:sz w:val="22"/>
              </w:rPr>
              <w:t>Total</w:t>
            </w:r>
          </w:p>
        </w:tc>
      </w:tr>
      <w:tr w:rsidR="00BE1D27" w:rsidRPr="00527BAA" w14:paraId="46439B24" w14:textId="77777777" w:rsidTr="00BE1D27">
        <w:trPr>
          <w:trHeight w:val="682"/>
        </w:trPr>
        <w:tc>
          <w:tcPr>
            <w:tcW w:w="4686" w:type="dxa"/>
            <w:tcBorders>
              <w:top w:val="single" w:sz="4" w:space="0" w:color="auto"/>
              <w:left w:val="single" w:sz="4" w:space="0" w:color="auto"/>
              <w:bottom w:val="single" w:sz="4" w:space="0" w:color="auto"/>
              <w:right w:val="single" w:sz="4" w:space="0" w:color="auto"/>
            </w:tcBorders>
            <w:hideMark/>
          </w:tcPr>
          <w:p w14:paraId="52AE7279" w14:textId="4203E07D" w:rsidR="00BE1D27" w:rsidRPr="00527BAA" w:rsidRDefault="00BE1D27" w:rsidP="00BE1D27">
            <w:pPr>
              <w:spacing w:before="60" w:after="60" w:line="240" w:lineRule="auto"/>
              <w:rPr>
                <w:sz w:val="22"/>
              </w:rPr>
            </w:pPr>
            <w:r w:rsidRPr="00527BAA">
              <w:rPr>
                <w:sz w:val="22"/>
              </w:rPr>
              <w:t>Indicator 1: Weight management advice</w:t>
            </w:r>
          </w:p>
        </w:tc>
        <w:tc>
          <w:tcPr>
            <w:tcW w:w="1507" w:type="dxa"/>
            <w:tcBorders>
              <w:top w:val="single" w:sz="4" w:space="0" w:color="auto"/>
              <w:left w:val="single" w:sz="4" w:space="0" w:color="auto"/>
              <w:bottom w:val="single" w:sz="4" w:space="0" w:color="auto"/>
              <w:right w:val="single" w:sz="4" w:space="0" w:color="auto"/>
            </w:tcBorders>
          </w:tcPr>
          <w:p w14:paraId="69925578" w14:textId="77777777" w:rsidR="00BE1D27" w:rsidRPr="00527BAA" w:rsidRDefault="00761A4E" w:rsidP="00BE1D27">
            <w:pPr>
              <w:spacing w:before="60" w:after="60" w:line="240" w:lineRule="auto"/>
              <w:jc w:val="center"/>
              <w:rPr>
                <w:sz w:val="22"/>
              </w:rPr>
            </w:pPr>
            <w:r w:rsidRPr="00527BAA">
              <w:rPr>
                <w:sz w:val="22"/>
              </w:rPr>
              <w:t>35</w:t>
            </w:r>
          </w:p>
          <w:p w14:paraId="52658E0E" w14:textId="390F9389" w:rsidR="00761A4E" w:rsidRPr="00527BAA" w:rsidRDefault="00761A4E" w:rsidP="00BE1D27">
            <w:pPr>
              <w:spacing w:before="60" w:after="60" w:line="240" w:lineRule="auto"/>
              <w:jc w:val="center"/>
              <w:rPr>
                <w:sz w:val="22"/>
              </w:rPr>
            </w:pPr>
            <w:r w:rsidRPr="00527BAA">
              <w:rPr>
                <w:sz w:val="22"/>
              </w:rPr>
              <w:t>(67.3%)</w:t>
            </w:r>
          </w:p>
        </w:tc>
        <w:tc>
          <w:tcPr>
            <w:tcW w:w="1508" w:type="dxa"/>
            <w:tcBorders>
              <w:top w:val="single" w:sz="4" w:space="0" w:color="auto"/>
              <w:left w:val="single" w:sz="4" w:space="0" w:color="auto"/>
              <w:bottom w:val="single" w:sz="4" w:space="0" w:color="auto"/>
              <w:right w:val="single" w:sz="4" w:space="0" w:color="auto"/>
            </w:tcBorders>
          </w:tcPr>
          <w:p w14:paraId="45CA3321" w14:textId="77777777" w:rsidR="00761A4E" w:rsidRPr="00527BAA" w:rsidRDefault="00761A4E" w:rsidP="00761A4E">
            <w:pPr>
              <w:spacing w:before="60" w:after="60" w:line="240" w:lineRule="auto"/>
              <w:jc w:val="center"/>
              <w:rPr>
                <w:sz w:val="22"/>
              </w:rPr>
            </w:pPr>
            <w:r w:rsidRPr="00527BAA">
              <w:rPr>
                <w:sz w:val="22"/>
              </w:rPr>
              <w:t>17</w:t>
            </w:r>
          </w:p>
          <w:p w14:paraId="476CE321" w14:textId="15C8DA31" w:rsidR="00BE1D27" w:rsidRPr="00527BAA" w:rsidRDefault="00761A4E" w:rsidP="00761A4E">
            <w:pPr>
              <w:spacing w:before="60" w:after="60" w:line="240" w:lineRule="auto"/>
              <w:jc w:val="center"/>
              <w:rPr>
                <w:sz w:val="22"/>
              </w:rPr>
            </w:pPr>
            <w:r w:rsidRPr="00527BAA">
              <w:rPr>
                <w:sz w:val="22"/>
              </w:rPr>
              <w:t>(32.7%)</w:t>
            </w:r>
          </w:p>
        </w:tc>
        <w:tc>
          <w:tcPr>
            <w:tcW w:w="1508" w:type="dxa"/>
            <w:tcBorders>
              <w:top w:val="single" w:sz="4" w:space="0" w:color="auto"/>
              <w:left w:val="single" w:sz="4" w:space="0" w:color="auto"/>
              <w:bottom w:val="single" w:sz="4" w:space="0" w:color="auto"/>
              <w:right w:val="single" w:sz="4" w:space="0" w:color="auto"/>
            </w:tcBorders>
            <w:hideMark/>
          </w:tcPr>
          <w:p w14:paraId="7D1FC132" w14:textId="0FA216BA" w:rsidR="00BE1D27" w:rsidRPr="00527BAA" w:rsidRDefault="00BE1D27" w:rsidP="00BE1D27">
            <w:pPr>
              <w:spacing w:before="60" w:after="60" w:line="240" w:lineRule="auto"/>
              <w:jc w:val="center"/>
              <w:rPr>
                <w:sz w:val="22"/>
              </w:rPr>
            </w:pPr>
            <w:r w:rsidRPr="00527BAA">
              <w:rPr>
                <w:sz w:val="22"/>
              </w:rPr>
              <w:t>52</w:t>
            </w:r>
          </w:p>
        </w:tc>
      </w:tr>
      <w:tr w:rsidR="00BE1D27" w:rsidRPr="00527BAA" w14:paraId="3367A938" w14:textId="77777777" w:rsidTr="00103F79">
        <w:trPr>
          <w:trHeight w:val="682"/>
        </w:trPr>
        <w:tc>
          <w:tcPr>
            <w:tcW w:w="4686" w:type="dxa"/>
            <w:tcBorders>
              <w:top w:val="single" w:sz="4" w:space="0" w:color="auto"/>
              <w:left w:val="single" w:sz="4" w:space="0" w:color="auto"/>
              <w:bottom w:val="single" w:sz="4" w:space="0" w:color="auto"/>
              <w:right w:val="single" w:sz="4" w:space="0" w:color="auto"/>
            </w:tcBorders>
          </w:tcPr>
          <w:p w14:paraId="3504A509" w14:textId="29C7E4D7" w:rsidR="00BE1D27" w:rsidRPr="00527BAA" w:rsidRDefault="00BE1D27" w:rsidP="00BE1D27">
            <w:pPr>
              <w:spacing w:before="60" w:after="60" w:line="240" w:lineRule="auto"/>
              <w:rPr>
                <w:rFonts w:cs="Arial"/>
                <w:sz w:val="22"/>
              </w:rPr>
            </w:pPr>
            <w:r w:rsidRPr="00527BAA">
              <w:rPr>
                <w:sz w:val="22"/>
              </w:rPr>
              <w:t>Indicator 2: Referral for bariatric surgery</w:t>
            </w:r>
          </w:p>
        </w:tc>
        <w:tc>
          <w:tcPr>
            <w:tcW w:w="1507" w:type="dxa"/>
            <w:tcBorders>
              <w:top w:val="single" w:sz="4" w:space="0" w:color="auto"/>
              <w:left w:val="single" w:sz="4" w:space="0" w:color="auto"/>
              <w:bottom w:val="single" w:sz="4" w:space="0" w:color="auto"/>
              <w:right w:val="single" w:sz="4" w:space="0" w:color="auto"/>
            </w:tcBorders>
          </w:tcPr>
          <w:p w14:paraId="219B536F" w14:textId="77777777" w:rsidR="00761A4E" w:rsidRPr="00527BAA" w:rsidRDefault="00761A4E" w:rsidP="00761A4E">
            <w:pPr>
              <w:spacing w:before="60" w:after="60" w:line="240" w:lineRule="auto"/>
              <w:jc w:val="center"/>
              <w:rPr>
                <w:sz w:val="22"/>
              </w:rPr>
            </w:pPr>
            <w:r w:rsidRPr="00527BAA">
              <w:rPr>
                <w:sz w:val="22"/>
              </w:rPr>
              <w:t>36</w:t>
            </w:r>
          </w:p>
          <w:p w14:paraId="0E3C15BA" w14:textId="11604812" w:rsidR="00BE1D27" w:rsidRPr="00527BAA" w:rsidRDefault="00761A4E" w:rsidP="00761A4E">
            <w:pPr>
              <w:spacing w:before="60" w:after="60" w:line="240" w:lineRule="auto"/>
              <w:jc w:val="center"/>
              <w:rPr>
                <w:sz w:val="22"/>
              </w:rPr>
            </w:pPr>
            <w:r w:rsidRPr="00527BAA">
              <w:rPr>
                <w:sz w:val="22"/>
              </w:rPr>
              <w:t>(69.2%)</w:t>
            </w:r>
          </w:p>
        </w:tc>
        <w:tc>
          <w:tcPr>
            <w:tcW w:w="1508" w:type="dxa"/>
            <w:tcBorders>
              <w:top w:val="single" w:sz="4" w:space="0" w:color="auto"/>
              <w:left w:val="single" w:sz="4" w:space="0" w:color="auto"/>
              <w:bottom w:val="single" w:sz="4" w:space="0" w:color="auto"/>
              <w:right w:val="single" w:sz="4" w:space="0" w:color="auto"/>
            </w:tcBorders>
          </w:tcPr>
          <w:p w14:paraId="36FA4BFF" w14:textId="77777777" w:rsidR="00761A4E" w:rsidRPr="00527BAA" w:rsidRDefault="00761A4E" w:rsidP="00761A4E">
            <w:pPr>
              <w:spacing w:before="60" w:after="60" w:line="240" w:lineRule="auto"/>
              <w:jc w:val="center"/>
              <w:rPr>
                <w:sz w:val="22"/>
              </w:rPr>
            </w:pPr>
            <w:r w:rsidRPr="00527BAA">
              <w:rPr>
                <w:sz w:val="22"/>
              </w:rPr>
              <w:t>16</w:t>
            </w:r>
          </w:p>
          <w:p w14:paraId="321A30AD" w14:textId="6265C602" w:rsidR="00BE1D27" w:rsidRPr="00527BAA" w:rsidRDefault="00761A4E" w:rsidP="00761A4E">
            <w:pPr>
              <w:spacing w:before="60" w:after="60" w:line="240" w:lineRule="auto"/>
              <w:jc w:val="center"/>
              <w:rPr>
                <w:sz w:val="22"/>
              </w:rPr>
            </w:pPr>
            <w:r w:rsidRPr="00527BAA">
              <w:rPr>
                <w:sz w:val="22"/>
              </w:rPr>
              <w:t>(30.8%)</w:t>
            </w:r>
          </w:p>
        </w:tc>
        <w:tc>
          <w:tcPr>
            <w:tcW w:w="1508" w:type="dxa"/>
            <w:tcBorders>
              <w:top w:val="single" w:sz="4" w:space="0" w:color="auto"/>
              <w:left w:val="single" w:sz="4" w:space="0" w:color="auto"/>
              <w:bottom w:val="single" w:sz="4" w:space="0" w:color="auto"/>
              <w:right w:val="single" w:sz="4" w:space="0" w:color="auto"/>
            </w:tcBorders>
          </w:tcPr>
          <w:p w14:paraId="31CA27DA" w14:textId="11423089" w:rsidR="00BE1D27" w:rsidRPr="00527BAA" w:rsidRDefault="00BE1D27" w:rsidP="00BE1D27">
            <w:pPr>
              <w:spacing w:before="60" w:after="60" w:line="240" w:lineRule="auto"/>
              <w:jc w:val="center"/>
              <w:rPr>
                <w:sz w:val="22"/>
              </w:rPr>
            </w:pPr>
            <w:r w:rsidRPr="00527BAA">
              <w:rPr>
                <w:sz w:val="22"/>
              </w:rPr>
              <w:t>52</w:t>
            </w:r>
          </w:p>
        </w:tc>
      </w:tr>
      <w:tr w:rsidR="00761A4E" w:rsidRPr="00527BAA" w14:paraId="3145F1CF" w14:textId="77777777" w:rsidTr="00103F79">
        <w:trPr>
          <w:trHeight w:val="682"/>
        </w:trPr>
        <w:tc>
          <w:tcPr>
            <w:tcW w:w="4686" w:type="dxa"/>
            <w:tcBorders>
              <w:top w:val="single" w:sz="4" w:space="0" w:color="auto"/>
              <w:left w:val="single" w:sz="4" w:space="0" w:color="auto"/>
              <w:bottom w:val="single" w:sz="4" w:space="0" w:color="auto"/>
              <w:right w:val="single" w:sz="4" w:space="0" w:color="auto"/>
            </w:tcBorders>
          </w:tcPr>
          <w:p w14:paraId="4C64C0DA" w14:textId="74A2E63E" w:rsidR="00761A4E" w:rsidRPr="00527BAA" w:rsidRDefault="00761A4E" w:rsidP="00761A4E">
            <w:pPr>
              <w:spacing w:before="60" w:after="60" w:line="240" w:lineRule="auto"/>
              <w:rPr>
                <w:rFonts w:cs="Arial"/>
                <w:sz w:val="22"/>
              </w:rPr>
            </w:pPr>
            <w:r w:rsidRPr="00527BAA">
              <w:rPr>
                <w:sz w:val="22"/>
              </w:rPr>
              <w:t>Indicator 3: Nutritional status monitoring in primary care after bariatric surgery (all patients)</w:t>
            </w:r>
          </w:p>
        </w:tc>
        <w:tc>
          <w:tcPr>
            <w:tcW w:w="1507" w:type="dxa"/>
            <w:tcBorders>
              <w:top w:val="single" w:sz="4" w:space="0" w:color="auto"/>
              <w:left w:val="single" w:sz="4" w:space="0" w:color="auto"/>
              <w:bottom w:val="single" w:sz="4" w:space="0" w:color="auto"/>
              <w:right w:val="single" w:sz="4" w:space="0" w:color="auto"/>
            </w:tcBorders>
          </w:tcPr>
          <w:p w14:paraId="4D504343" w14:textId="77777777" w:rsidR="00761A4E" w:rsidRPr="00527BAA" w:rsidRDefault="00761A4E" w:rsidP="00761A4E">
            <w:pPr>
              <w:spacing w:before="60" w:after="60" w:line="240" w:lineRule="auto"/>
              <w:jc w:val="center"/>
              <w:rPr>
                <w:sz w:val="22"/>
              </w:rPr>
            </w:pPr>
            <w:r w:rsidRPr="00527BAA">
              <w:rPr>
                <w:sz w:val="22"/>
              </w:rPr>
              <w:t>34</w:t>
            </w:r>
          </w:p>
          <w:p w14:paraId="50473B11" w14:textId="78CC5A56" w:rsidR="00761A4E" w:rsidRPr="00527BAA" w:rsidRDefault="00761A4E" w:rsidP="00761A4E">
            <w:pPr>
              <w:spacing w:before="60" w:after="60" w:line="240" w:lineRule="auto"/>
              <w:jc w:val="center"/>
              <w:rPr>
                <w:sz w:val="22"/>
              </w:rPr>
            </w:pPr>
            <w:r w:rsidRPr="00527BAA">
              <w:rPr>
                <w:sz w:val="22"/>
              </w:rPr>
              <w:t>(65.4%)</w:t>
            </w:r>
          </w:p>
        </w:tc>
        <w:tc>
          <w:tcPr>
            <w:tcW w:w="1508" w:type="dxa"/>
            <w:tcBorders>
              <w:top w:val="single" w:sz="4" w:space="0" w:color="auto"/>
              <w:left w:val="single" w:sz="4" w:space="0" w:color="auto"/>
              <w:bottom w:val="single" w:sz="4" w:space="0" w:color="auto"/>
              <w:right w:val="single" w:sz="4" w:space="0" w:color="auto"/>
            </w:tcBorders>
          </w:tcPr>
          <w:p w14:paraId="0433B768" w14:textId="77777777" w:rsidR="00761A4E" w:rsidRPr="00527BAA" w:rsidRDefault="00761A4E" w:rsidP="00761A4E">
            <w:pPr>
              <w:spacing w:before="60" w:after="60" w:line="240" w:lineRule="auto"/>
              <w:jc w:val="center"/>
              <w:rPr>
                <w:sz w:val="22"/>
              </w:rPr>
            </w:pPr>
            <w:r w:rsidRPr="00527BAA">
              <w:rPr>
                <w:sz w:val="22"/>
              </w:rPr>
              <w:t>18</w:t>
            </w:r>
          </w:p>
          <w:p w14:paraId="57B1ED24" w14:textId="4F0FC59B" w:rsidR="00761A4E" w:rsidRPr="00527BAA" w:rsidRDefault="00761A4E" w:rsidP="00761A4E">
            <w:pPr>
              <w:spacing w:before="60" w:after="60" w:line="240" w:lineRule="auto"/>
              <w:jc w:val="center"/>
              <w:rPr>
                <w:sz w:val="22"/>
              </w:rPr>
            </w:pPr>
            <w:r w:rsidRPr="00527BAA">
              <w:rPr>
                <w:sz w:val="22"/>
              </w:rPr>
              <w:t>(34.6%)</w:t>
            </w:r>
          </w:p>
        </w:tc>
        <w:tc>
          <w:tcPr>
            <w:tcW w:w="1508" w:type="dxa"/>
            <w:tcBorders>
              <w:top w:val="single" w:sz="4" w:space="0" w:color="auto"/>
              <w:left w:val="single" w:sz="4" w:space="0" w:color="auto"/>
              <w:bottom w:val="single" w:sz="4" w:space="0" w:color="auto"/>
              <w:right w:val="single" w:sz="4" w:space="0" w:color="auto"/>
            </w:tcBorders>
          </w:tcPr>
          <w:p w14:paraId="5FE3627B" w14:textId="4E049635" w:rsidR="00761A4E" w:rsidRPr="00527BAA" w:rsidRDefault="00761A4E" w:rsidP="00761A4E">
            <w:pPr>
              <w:spacing w:before="60" w:after="60" w:line="240" w:lineRule="auto"/>
              <w:jc w:val="center"/>
              <w:rPr>
                <w:sz w:val="22"/>
              </w:rPr>
            </w:pPr>
            <w:r w:rsidRPr="00527BAA">
              <w:rPr>
                <w:sz w:val="22"/>
              </w:rPr>
              <w:t>52</w:t>
            </w:r>
          </w:p>
        </w:tc>
      </w:tr>
      <w:tr w:rsidR="00761A4E" w:rsidRPr="00527BAA" w14:paraId="39AA9F57" w14:textId="77777777" w:rsidTr="00103F79">
        <w:trPr>
          <w:trHeight w:val="682"/>
        </w:trPr>
        <w:tc>
          <w:tcPr>
            <w:tcW w:w="4686" w:type="dxa"/>
            <w:tcBorders>
              <w:top w:val="single" w:sz="4" w:space="0" w:color="auto"/>
              <w:left w:val="single" w:sz="4" w:space="0" w:color="auto"/>
              <w:bottom w:val="single" w:sz="4" w:space="0" w:color="auto"/>
              <w:right w:val="single" w:sz="4" w:space="0" w:color="auto"/>
            </w:tcBorders>
          </w:tcPr>
          <w:p w14:paraId="7BFA63F9" w14:textId="2867C612" w:rsidR="00761A4E" w:rsidRPr="00527BAA" w:rsidRDefault="00761A4E" w:rsidP="00761A4E">
            <w:pPr>
              <w:spacing w:before="60" w:after="60" w:line="240" w:lineRule="auto"/>
              <w:rPr>
                <w:rFonts w:cs="Arial"/>
                <w:sz w:val="22"/>
              </w:rPr>
            </w:pPr>
            <w:r w:rsidRPr="00527BAA">
              <w:rPr>
                <w:sz w:val="22"/>
              </w:rPr>
              <w:t>Indicator 4: Nutritional status monitoring in primary care after bariatric surgery (new patients)</w:t>
            </w:r>
          </w:p>
        </w:tc>
        <w:tc>
          <w:tcPr>
            <w:tcW w:w="1507" w:type="dxa"/>
            <w:tcBorders>
              <w:top w:val="single" w:sz="4" w:space="0" w:color="auto"/>
              <w:left w:val="single" w:sz="4" w:space="0" w:color="auto"/>
              <w:bottom w:val="single" w:sz="4" w:space="0" w:color="auto"/>
              <w:right w:val="single" w:sz="4" w:space="0" w:color="auto"/>
            </w:tcBorders>
          </w:tcPr>
          <w:p w14:paraId="73D43709" w14:textId="77777777" w:rsidR="00761A4E" w:rsidRPr="00527BAA" w:rsidRDefault="00761A4E" w:rsidP="00761A4E">
            <w:pPr>
              <w:spacing w:before="60" w:after="60" w:line="240" w:lineRule="auto"/>
              <w:jc w:val="center"/>
              <w:rPr>
                <w:sz w:val="22"/>
              </w:rPr>
            </w:pPr>
            <w:r w:rsidRPr="00527BAA">
              <w:rPr>
                <w:sz w:val="22"/>
              </w:rPr>
              <w:t>34</w:t>
            </w:r>
          </w:p>
          <w:p w14:paraId="4FDA3DD8" w14:textId="2F504351" w:rsidR="00761A4E" w:rsidRPr="00527BAA" w:rsidRDefault="00761A4E" w:rsidP="00761A4E">
            <w:pPr>
              <w:spacing w:before="60" w:after="60" w:line="240" w:lineRule="auto"/>
              <w:jc w:val="center"/>
              <w:rPr>
                <w:sz w:val="22"/>
              </w:rPr>
            </w:pPr>
            <w:r w:rsidRPr="00527BAA">
              <w:rPr>
                <w:sz w:val="22"/>
              </w:rPr>
              <w:t>(65.4%)</w:t>
            </w:r>
          </w:p>
        </w:tc>
        <w:tc>
          <w:tcPr>
            <w:tcW w:w="1508" w:type="dxa"/>
            <w:tcBorders>
              <w:top w:val="single" w:sz="4" w:space="0" w:color="auto"/>
              <w:left w:val="single" w:sz="4" w:space="0" w:color="auto"/>
              <w:bottom w:val="single" w:sz="4" w:space="0" w:color="auto"/>
              <w:right w:val="single" w:sz="4" w:space="0" w:color="auto"/>
            </w:tcBorders>
          </w:tcPr>
          <w:p w14:paraId="054BD0BB" w14:textId="77777777" w:rsidR="00761A4E" w:rsidRPr="00527BAA" w:rsidRDefault="00761A4E" w:rsidP="00761A4E">
            <w:pPr>
              <w:spacing w:before="60" w:after="60" w:line="240" w:lineRule="auto"/>
              <w:jc w:val="center"/>
              <w:rPr>
                <w:sz w:val="22"/>
              </w:rPr>
            </w:pPr>
            <w:r w:rsidRPr="00527BAA">
              <w:rPr>
                <w:sz w:val="22"/>
              </w:rPr>
              <w:t>18</w:t>
            </w:r>
          </w:p>
          <w:p w14:paraId="02836103" w14:textId="4893448A" w:rsidR="00761A4E" w:rsidRPr="00527BAA" w:rsidRDefault="00761A4E" w:rsidP="00761A4E">
            <w:pPr>
              <w:spacing w:before="60" w:after="60" w:line="240" w:lineRule="auto"/>
              <w:jc w:val="center"/>
              <w:rPr>
                <w:sz w:val="22"/>
              </w:rPr>
            </w:pPr>
            <w:r w:rsidRPr="00527BAA">
              <w:rPr>
                <w:sz w:val="22"/>
              </w:rPr>
              <w:t>(34.6%)</w:t>
            </w:r>
          </w:p>
        </w:tc>
        <w:tc>
          <w:tcPr>
            <w:tcW w:w="1508" w:type="dxa"/>
            <w:tcBorders>
              <w:top w:val="single" w:sz="4" w:space="0" w:color="auto"/>
              <w:left w:val="single" w:sz="4" w:space="0" w:color="auto"/>
              <w:bottom w:val="single" w:sz="4" w:space="0" w:color="auto"/>
              <w:right w:val="single" w:sz="4" w:space="0" w:color="auto"/>
            </w:tcBorders>
          </w:tcPr>
          <w:p w14:paraId="052D65E4" w14:textId="5DC51163" w:rsidR="00761A4E" w:rsidRPr="00527BAA" w:rsidRDefault="00761A4E" w:rsidP="00761A4E">
            <w:pPr>
              <w:spacing w:before="60" w:after="60" w:line="240" w:lineRule="auto"/>
              <w:jc w:val="center"/>
              <w:rPr>
                <w:sz w:val="22"/>
              </w:rPr>
            </w:pPr>
            <w:r w:rsidRPr="00527BAA">
              <w:rPr>
                <w:sz w:val="22"/>
              </w:rPr>
              <w:t>52</w:t>
            </w:r>
          </w:p>
        </w:tc>
      </w:tr>
    </w:tbl>
    <w:p w14:paraId="62B43BCE" w14:textId="77777777" w:rsidR="00103F79" w:rsidRDefault="00103F79" w:rsidP="008D20EC">
      <w:pPr>
        <w:spacing w:after="0"/>
      </w:pPr>
    </w:p>
    <w:p w14:paraId="69B7221C" w14:textId="6F00FDC0" w:rsidR="00807007" w:rsidRPr="001703D1" w:rsidRDefault="001D24C8" w:rsidP="001703D1">
      <w:r w:rsidRPr="001703D1">
        <w:t>One survey respondent made a general comment that a huge amount of extra input and time would be needed for the weight management indicators</w:t>
      </w:r>
      <w:r w:rsidR="001703D1" w:rsidRPr="001703D1">
        <w:t>. Two others suggested the indicators would increase complexity, and therefore more time would be required.</w:t>
      </w:r>
      <w:r w:rsidR="00613BE3">
        <w:t xml:space="preserve"> </w:t>
      </w:r>
      <w:r w:rsidR="001703D1" w:rsidRPr="001703D1">
        <w:t xml:space="preserve">Three survey respondents specifically addressed the reasons extra time </w:t>
      </w:r>
      <w:r w:rsidR="001703D1" w:rsidRPr="001703D1">
        <w:lastRenderedPageBreak/>
        <w:t>would be needed for indicator 1, including the need for e</w:t>
      </w:r>
      <w:r w:rsidR="00807007" w:rsidRPr="00807007">
        <w:t xml:space="preserve">xtended appointments </w:t>
      </w:r>
      <w:r w:rsidR="001703D1" w:rsidRPr="001703D1">
        <w:t>to address</w:t>
      </w:r>
      <w:r w:rsidR="00807007" w:rsidRPr="00807007">
        <w:t xml:space="preserve"> complex issues</w:t>
      </w:r>
      <w:r w:rsidR="001703D1" w:rsidRPr="001703D1">
        <w:t xml:space="preserve"> and give </w:t>
      </w:r>
      <w:r w:rsidR="001703D1" w:rsidRPr="00807007">
        <w:t>additional advice</w:t>
      </w:r>
      <w:r w:rsidR="001703D1" w:rsidRPr="001703D1">
        <w:t xml:space="preserve">. </w:t>
      </w:r>
    </w:p>
    <w:p w14:paraId="66400CDF" w14:textId="050A07D5" w:rsidR="00807007" w:rsidRPr="00807007" w:rsidRDefault="001703D1" w:rsidP="00C9429A">
      <w:pPr>
        <w:pStyle w:val="Heading6"/>
        <w:rPr>
          <w:rFonts w:ascii="Calibri" w:eastAsia="Times New Roman" w:hAnsi="Calibri" w:cs="Calibri"/>
          <w:sz w:val="22"/>
          <w:highlight w:val="yellow"/>
          <w:lang w:eastAsia="en-GB"/>
        </w:rPr>
      </w:pPr>
      <w:r>
        <w:t>“</w:t>
      </w:r>
      <w:r w:rsidR="00807007" w:rsidRPr="00807007">
        <w:t>I think the 18-39 age group is a pretty big one if we are looking at BMIs between 23 and 27. GP s should not be expected to do this as an add on thing in 10 min when the patient is coming for another issue which takes up the 10 min.</w:t>
      </w:r>
      <w:r>
        <w:t>” [GP, survey]</w:t>
      </w:r>
    </w:p>
    <w:p w14:paraId="3466DA38" w14:textId="4E3E82AD" w:rsidR="00807007" w:rsidRDefault="001703D1" w:rsidP="001703D1">
      <w:r w:rsidRPr="001703D1">
        <w:t xml:space="preserve">Another suggested that indicator 1 would require more coding of the patient record, and therefore require </w:t>
      </w:r>
      <w:r w:rsidRPr="00E70AF6">
        <w:t>additional time.</w:t>
      </w:r>
      <w:r w:rsidR="009D30FE" w:rsidRPr="00E70AF6">
        <w:t xml:space="preserve"> As described in </w:t>
      </w:r>
      <w:r w:rsidR="00E70AF6">
        <w:t xml:space="preserve">report </w:t>
      </w:r>
      <w:r w:rsidR="009D30FE" w:rsidRPr="00E70AF6">
        <w:t>section 4.3.5, a GP suggested</w:t>
      </w:r>
      <w:r w:rsidR="009D30FE">
        <w:t xml:space="preserve"> in interview that a judgement may be required as to whether the patient was amenable to a discussion about weight at that point. </w:t>
      </w:r>
    </w:p>
    <w:p w14:paraId="10B21805" w14:textId="77777777" w:rsidR="00613BE3" w:rsidRPr="00613BE3" w:rsidRDefault="00613BE3" w:rsidP="00613BE3">
      <w:r>
        <w:t>For indicators 3 and 4, one respondent suggested the appointments would need to be extended to incorporate aspects other than simply blood tests. Another suggested additional work would be required to deal with blood test results.</w:t>
      </w:r>
    </w:p>
    <w:p w14:paraId="2A3EE5D6" w14:textId="4F13F62E" w:rsidR="0036325E" w:rsidRDefault="00FC4D8C" w:rsidP="00AA0981">
      <w:pPr>
        <w:pStyle w:val="Heading2"/>
      </w:pPr>
      <w:bookmarkStart w:id="24" w:name="_Toc198538521"/>
      <w:r w:rsidRPr="00761F7B">
        <w:t>Barriers to implementation</w:t>
      </w:r>
      <w:bookmarkEnd w:id="24"/>
    </w:p>
    <w:p w14:paraId="0DFBD90F" w14:textId="4B076736" w:rsidR="007B256B" w:rsidRPr="00406031" w:rsidRDefault="007B256B" w:rsidP="007B256B">
      <w:r>
        <w:t xml:space="preserve">This report has previously highlighted potential barriers to implementation of the </w:t>
      </w:r>
      <w:r w:rsidRPr="00236A94">
        <w:t>indicator</w:t>
      </w:r>
      <w:r w:rsidR="00236A94" w:rsidRPr="00236A94">
        <w:t>s</w:t>
      </w:r>
      <w:r w:rsidR="00617B23">
        <w:t xml:space="preserve"> </w:t>
      </w:r>
      <w:r w:rsidR="00617B23" w:rsidRPr="00617B23">
        <w:t xml:space="preserve">such as </w:t>
      </w:r>
      <w:r w:rsidRPr="00617B23">
        <w:t>staff workload</w:t>
      </w:r>
      <w:r w:rsidR="00EA6625">
        <w:t xml:space="preserve">, knowledge and </w:t>
      </w:r>
      <w:r w:rsidR="00EA6625" w:rsidRPr="00406031">
        <w:t>skills,</w:t>
      </w:r>
      <w:r w:rsidRPr="00406031">
        <w:t xml:space="preserve"> and time pressures. This section includes </w:t>
      </w:r>
      <w:r w:rsidR="00406031" w:rsidRPr="00406031">
        <w:t xml:space="preserve">detail of additional barriers to the indicators which have been identified. </w:t>
      </w:r>
    </w:p>
    <w:p w14:paraId="1422DC23" w14:textId="072D719D" w:rsidR="007B256B" w:rsidRDefault="00C62F8F" w:rsidP="007B256B">
      <w:pPr>
        <w:pStyle w:val="Heading3"/>
      </w:pPr>
      <w:r>
        <w:t>Patient relationship</w:t>
      </w:r>
    </w:p>
    <w:p w14:paraId="26A008C6" w14:textId="6DB7C31A" w:rsidR="007A34A9" w:rsidRPr="00E33370" w:rsidRDefault="00406031" w:rsidP="007A34A9">
      <w:r>
        <w:t>Three</w:t>
      </w:r>
      <w:r w:rsidR="007A34A9" w:rsidRPr="00E33370">
        <w:t xml:space="preserve"> practices raised </w:t>
      </w:r>
      <w:r>
        <w:t xml:space="preserve">in relation to indicator 1 </w:t>
      </w:r>
      <w:r w:rsidR="007A34A9" w:rsidRPr="00E33370">
        <w:t>that patients may feel angry or upset at being asked about their weight.</w:t>
      </w:r>
    </w:p>
    <w:p w14:paraId="647D5C62" w14:textId="3DAE5BC5" w:rsidR="007A34A9" w:rsidRDefault="007A34A9" w:rsidP="00DF29D0">
      <w:pPr>
        <w:spacing w:line="312" w:lineRule="auto"/>
        <w:rPr>
          <w:i/>
          <w:iCs/>
        </w:rPr>
      </w:pPr>
      <w:r>
        <w:rPr>
          <w:i/>
          <w:iCs/>
        </w:rPr>
        <w:t>“T</w:t>
      </w:r>
      <w:r w:rsidRPr="00E33370">
        <w:rPr>
          <w:i/>
          <w:iCs/>
        </w:rPr>
        <w:t>hey come for other services, like for their drug management or monitoring of the medications. Obvious sometimes this is a quite vulnerable group, you start a quick, “oh, by the way, you’re going to become obese if you don’t change things”</w:t>
      </w:r>
      <w:r w:rsidR="003B7AC3">
        <w:rPr>
          <w:i/>
          <w:iCs/>
        </w:rPr>
        <w:t>,</w:t>
      </w:r>
      <w:r w:rsidRPr="00E33370">
        <w:rPr>
          <w:i/>
          <w:iCs/>
        </w:rPr>
        <w:t xml:space="preserve"> a brief intervention, you might actually isolate some of these patients, just a passing comment rather than detailed counselling. It might not necessarily clinically be a positive thing for that patient.</w:t>
      </w:r>
      <w:r w:rsidRPr="003F1487">
        <w:rPr>
          <w:i/>
          <w:iCs/>
        </w:rPr>
        <w:t xml:space="preserve">” </w:t>
      </w:r>
      <w:r w:rsidRPr="004C4645">
        <w:rPr>
          <w:i/>
          <w:iCs/>
        </w:rPr>
        <w:t>[GP, interview]</w:t>
      </w:r>
    </w:p>
    <w:p w14:paraId="4960FF8C" w14:textId="1A6E8FD7" w:rsidR="00C62F8F" w:rsidRDefault="00DF29D0" w:rsidP="00C62F8F">
      <w:r>
        <w:t>Two</w:t>
      </w:r>
      <w:r w:rsidR="00C62F8F" w:rsidRPr="00C62F8F">
        <w:t xml:space="preserve"> survey</w:t>
      </w:r>
      <w:r>
        <w:t xml:space="preserve"> respondents</w:t>
      </w:r>
      <w:r w:rsidR="00C62F8F" w:rsidRPr="00C62F8F">
        <w:t xml:space="preserve"> raised a similar issue, suggesting this indicator would worsen trust</w:t>
      </w:r>
      <w:r w:rsidR="00C62F8F">
        <w:t xml:space="preserve"> in GPs</w:t>
      </w:r>
      <w:r w:rsidR="009D30FE">
        <w:t>, as well as an interviewee who suggested it might isolate patients.</w:t>
      </w:r>
    </w:p>
    <w:p w14:paraId="2C46FA69" w14:textId="05E28FE5" w:rsidR="00DF29D0" w:rsidRPr="00DF29D0" w:rsidRDefault="00DF29D0" w:rsidP="00DF29D0">
      <w:pPr>
        <w:spacing w:line="312" w:lineRule="auto"/>
        <w:rPr>
          <w:i/>
          <w:iCs/>
        </w:rPr>
      </w:pPr>
      <w:r>
        <w:rPr>
          <w:i/>
          <w:iCs/>
        </w:rPr>
        <w:t>“</w:t>
      </w:r>
      <w:r w:rsidRPr="00DF29D0">
        <w:rPr>
          <w:i/>
          <w:iCs/>
        </w:rPr>
        <w:t>Weight is a sensitive issue and some patients may find themselves fat-shamed or pushed towards a surgery that they do not want.</w:t>
      </w:r>
      <w:r>
        <w:rPr>
          <w:i/>
          <w:iCs/>
        </w:rPr>
        <w:t>”</w:t>
      </w:r>
      <w:r w:rsidRPr="00DF29D0">
        <w:rPr>
          <w:i/>
          <w:iCs/>
        </w:rPr>
        <w:t xml:space="preserve"> </w:t>
      </w:r>
      <w:r w:rsidRPr="004C4645">
        <w:rPr>
          <w:i/>
          <w:iCs/>
        </w:rPr>
        <w:t xml:space="preserve">[GP, </w:t>
      </w:r>
      <w:r>
        <w:rPr>
          <w:i/>
          <w:iCs/>
        </w:rPr>
        <w:t>survey</w:t>
      </w:r>
      <w:r w:rsidRPr="004C4645">
        <w:rPr>
          <w:i/>
          <w:iCs/>
        </w:rPr>
        <w:t>]</w:t>
      </w:r>
    </w:p>
    <w:p w14:paraId="102B8A1A" w14:textId="5526810F" w:rsidR="00DF29D0" w:rsidRPr="00DF29D0" w:rsidRDefault="00DF29D0" w:rsidP="00DF29D0">
      <w:r w:rsidRPr="00DF29D0">
        <w:lastRenderedPageBreak/>
        <w:t xml:space="preserve">Another survey respondent </w:t>
      </w:r>
      <w:r>
        <w:t xml:space="preserve">felt patients felt the use of BMI would devalue the intervention: </w:t>
      </w:r>
    </w:p>
    <w:p w14:paraId="1FE47843" w14:textId="0D973207" w:rsidR="00DF29D0" w:rsidRDefault="00DF29D0" w:rsidP="00DF29D0">
      <w:pPr>
        <w:spacing w:line="312" w:lineRule="auto"/>
        <w:rPr>
          <w:i/>
          <w:iCs/>
        </w:rPr>
      </w:pPr>
      <w:r>
        <w:rPr>
          <w:i/>
          <w:iCs/>
        </w:rPr>
        <w:t>“F</w:t>
      </w:r>
      <w:r w:rsidRPr="00DF29D0">
        <w:rPr>
          <w:i/>
          <w:iCs/>
        </w:rPr>
        <w:t>or the lower weight limit BMI is stigmatising and is often inaccurate way to measure someone</w:t>
      </w:r>
      <w:r>
        <w:rPr>
          <w:i/>
          <w:iCs/>
        </w:rPr>
        <w:t>’</w:t>
      </w:r>
      <w:r w:rsidRPr="00DF29D0">
        <w:rPr>
          <w:i/>
          <w:iCs/>
        </w:rPr>
        <w:t>s overall health and wellbeing so this indicator I believe would not be positive in patients views. The BMI data in itself is inherently problematic and a lot of patients also feel this.</w:t>
      </w:r>
      <w:r>
        <w:rPr>
          <w:i/>
          <w:iCs/>
        </w:rPr>
        <w:t>”</w:t>
      </w:r>
      <w:r w:rsidRPr="00DF29D0">
        <w:rPr>
          <w:i/>
          <w:iCs/>
        </w:rPr>
        <w:t xml:space="preserve"> </w:t>
      </w:r>
      <w:r w:rsidRPr="004C4645">
        <w:rPr>
          <w:i/>
          <w:iCs/>
        </w:rPr>
        <w:t xml:space="preserve">[GP, </w:t>
      </w:r>
      <w:r>
        <w:rPr>
          <w:i/>
          <w:iCs/>
        </w:rPr>
        <w:t>survey</w:t>
      </w:r>
      <w:r w:rsidRPr="004C4645">
        <w:rPr>
          <w:i/>
          <w:iCs/>
        </w:rPr>
        <w:t>]</w:t>
      </w:r>
    </w:p>
    <w:p w14:paraId="0F35D62A" w14:textId="1CA8BAB7" w:rsidR="000470AA" w:rsidRPr="000470AA" w:rsidRDefault="000470AA" w:rsidP="000470AA">
      <w:r w:rsidRPr="000470AA">
        <w:t>Another survey respondent felt raising the issue of weight with patients when there were no local services to offer would be received negatively.</w:t>
      </w:r>
    </w:p>
    <w:p w14:paraId="2F5A2482" w14:textId="0E00059D" w:rsidR="00FF5DA3" w:rsidRPr="00FF5DA3" w:rsidRDefault="00FF5DA3" w:rsidP="00FF5DA3">
      <w:r w:rsidRPr="00FF5DA3">
        <w:t>A further respondent felt the adjustment to the indicator to account for ethnicity was inappropriate as it would worsen trust in patients:</w:t>
      </w:r>
    </w:p>
    <w:p w14:paraId="7791AAA5" w14:textId="586837A9" w:rsidR="00FF5DA3" w:rsidRPr="00FF5DA3" w:rsidRDefault="00FF5DA3" w:rsidP="00FF5DA3">
      <w:pPr>
        <w:spacing w:line="312" w:lineRule="auto"/>
        <w:rPr>
          <w:i/>
          <w:iCs/>
        </w:rPr>
      </w:pPr>
      <w:r>
        <w:rPr>
          <w:i/>
          <w:iCs/>
        </w:rPr>
        <w:t>“</w:t>
      </w:r>
      <w:r w:rsidRPr="00FF5DA3">
        <w:rPr>
          <w:i/>
          <w:iCs/>
        </w:rPr>
        <w:t>BAME persons are more likely to be slightly overweight in this category in our area and thus it may be perceived that you are picking on them saying that they are overweight but then not actually really able to offer any true help thus reinforcing an attitude that the NHS can't help them and thus making them stay away when potentially in the future their weight increases and we do have additional services to refer these patients onto</w:t>
      </w:r>
      <w:r>
        <w:rPr>
          <w:i/>
          <w:iCs/>
        </w:rPr>
        <w:t>.”</w:t>
      </w:r>
      <w:r w:rsidRPr="00DF29D0">
        <w:rPr>
          <w:i/>
          <w:iCs/>
        </w:rPr>
        <w:t xml:space="preserve"> </w:t>
      </w:r>
      <w:r w:rsidRPr="004C4645">
        <w:rPr>
          <w:i/>
          <w:iCs/>
        </w:rPr>
        <w:t xml:space="preserve">[GP, </w:t>
      </w:r>
      <w:r>
        <w:rPr>
          <w:i/>
          <w:iCs/>
        </w:rPr>
        <w:t>survey</w:t>
      </w:r>
      <w:r w:rsidRPr="004C4645">
        <w:rPr>
          <w:i/>
          <w:iCs/>
        </w:rPr>
        <w:t>]</w:t>
      </w:r>
    </w:p>
    <w:p w14:paraId="54E8420C" w14:textId="7223A319" w:rsidR="007B256B" w:rsidRDefault="00FF5DA3" w:rsidP="00FF5DA3">
      <w:pPr>
        <w:pStyle w:val="Heading3"/>
      </w:pPr>
      <w:r>
        <w:t xml:space="preserve"> </w:t>
      </w:r>
      <w:r w:rsidR="00653F43">
        <w:t>Availability of</w:t>
      </w:r>
      <w:r w:rsidR="00B436BC">
        <w:t>,</w:t>
      </w:r>
      <w:r w:rsidR="00653F43">
        <w:t xml:space="preserve"> and access to</w:t>
      </w:r>
      <w:r w:rsidR="00B436BC">
        <w:t>,</w:t>
      </w:r>
      <w:r w:rsidR="00653F43">
        <w:t xml:space="preserve"> e</w:t>
      </w:r>
      <w:r w:rsidR="003846FB">
        <w:t>xternal services</w:t>
      </w:r>
      <w:r w:rsidR="007B256B">
        <w:t xml:space="preserve"> </w:t>
      </w:r>
    </w:p>
    <w:p w14:paraId="1F3C90D8" w14:textId="7DB66F91" w:rsidR="00AE0D43" w:rsidRPr="001A284B" w:rsidRDefault="006D7E1F" w:rsidP="003846FB">
      <w:pPr>
        <w:rPr>
          <w:rFonts w:ascii="Helvetica" w:hAnsi="Helvetica" w:cs="Helvetica"/>
          <w:shd w:val="clear" w:color="auto" w:fill="FFFFFF"/>
        </w:rPr>
      </w:pPr>
      <w:r>
        <w:rPr>
          <w:rFonts w:ascii="Helvetica" w:hAnsi="Helvetica" w:cs="Helvetica"/>
          <w:shd w:val="clear" w:color="auto" w:fill="FFFFFF"/>
        </w:rPr>
        <w:t>Although the intervention for indicator 1 was proposed as a brief intervention which would not necessarily lead to a referral to a local service (although that might be one of the outcomes), three practices raised access to external services as a barrier at interview</w:t>
      </w:r>
      <w:r w:rsidR="00413D09" w:rsidRPr="001A284B">
        <w:rPr>
          <w:rFonts w:ascii="Helvetica" w:hAnsi="Helvetica" w:cs="Helvetica"/>
          <w:shd w:val="clear" w:color="auto" w:fill="FFFFFF"/>
        </w:rPr>
        <w:t>, and ten survey respondents provided comments to this effect.</w:t>
      </w:r>
    </w:p>
    <w:p w14:paraId="5699CB34" w14:textId="3F4A3358" w:rsidR="00C62F8F" w:rsidRPr="00C62F8F" w:rsidRDefault="00C62F8F" w:rsidP="00413D09">
      <w:pPr>
        <w:spacing w:line="312" w:lineRule="auto"/>
        <w:rPr>
          <w:i/>
          <w:iCs/>
        </w:rPr>
      </w:pPr>
      <w:r>
        <w:rPr>
          <w:i/>
          <w:iCs/>
        </w:rPr>
        <w:t>“</w:t>
      </w:r>
      <w:r w:rsidRPr="00C62F8F">
        <w:rPr>
          <w:i/>
          <w:iCs/>
        </w:rPr>
        <w:t>It's a good idea to pick it up, but unfortunately when you say that refer them and give them advice, we don't have a lot to offer them, to be honest. All the services are, they come and go, kind of thing, so there's nothing long term. So we would pick them all up and then have nowhere to go, sometimes I feel.</w:t>
      </w:r>
      <w:r w:rsidRPr="003F1487">
        <w:rPr>
          <w:i/>
          <w:iCs/>
        </w:rPr>
        <w:t xml:space="preserve">” </w:t>
      </w:r>
      <w:r w:rsidRPr="004C4645">
        <w:rPr>
          <w:i/>
          <w:iCs/>
        </w:rPr>
        <w:t>[GP, interview]</w:t>
      </w:r>
    </w:p>
    <w:p w14:paraId="5ED4CB7C" w14:textId="4C8FF2D4" w:rsidR="00413D09" w:rsidRDefault="00413D09" w:rsidP="00413D09">
      <w:pPr>
        <w:spacing w:line="312" w:lineRule="auto"/>
        <w:rPr>
          <w:i/>
          <w:iCs/>
        </w:rPr>
      </w:pPr>
      <w:r>
        <w:rPr>
          <w:i/>
          <w:iCs/>
        </w:rPr>
        <w:t>“L</w:t>
      </w:r>
      <w:r w:rsidRPr="00413D09">
        <w:rPr>
          <w:i/>
          <w:iCs/>
        </w:rPr>
        <w:t>ack of availability of weight management services</w:t>
      </w:r>
      <w:r>
        <w:rPr>
          <w:i/>
          <w:iCs/>
        </w:rPr>
        <w:t xml:space="preserve"> (would affect practice achievement)</w:t>
      </w:r>
      <w:r w:rsidRPr="00413D09">
        <w:rPr>
          <w:i/>
          <w:iCs/>
        </w:rPr>
        <w:t xml:space="preserve"> we have virtually no tier 2 service and tier 3 has a huge waiting list - not sure why we are going to add more patients to that - would need significant investment</w:t>
      </w:r>
      <w:r w:rsidRPr="00DF29D0">
        <w:rPr>
          <w:i/>
          <w:iCs/>
        </w:rPr>
        <w:t>.</w:t>
      </w:r>
      <w:r>
        <w:rPr>
          <w:i/>
          <w:iCs/>
        </w:rPr>
        <w:t>”</w:t>
      </w:r>
      <w:r w:rsidRPr="00DF29D0">
        <w:rPr>
          <w:i/>
          <w:iCs/>
        </w:rPr>
        <w:t xml:space="preserve"> </w:t>
      </w:r>
      <w:r w:rsidRPr="004C4645">
        <w:rPr>
          <w:i/>
          <w:iCs/>
        </w:rPr>
        <w:t xml:space="preserve">[GP, </w:t>
      </w:r>
      <w:r>
        <w:rPr>
          <w:i/>
          <w:iCs/>
        </w:rPr>
        <w:t>survey</w:t>
      </w:r>
      <w:r w:rsidRPr="004C4645">
        <w:rPr>
          <w:i/>
          <w:iCs/>
        </w:rPr>
        <w:t>]</w:t>
      </w:r>
    </w:p>
    <w:p w14:paraId="0A1BF47E" w14:textId="16588E76" w:rsidR="00413D09" w:rsidRPr="00AF2972" w:rsidRDefault="00413D09" w:rsidP="00413D09">
      <w:pPr>
        <w:rPr>
          <w:rFonts w:ascii="Helvetica" w:hAnsi="Helvetica" w:cs="Helvetica"/>
          <w:shd w:val="clear" w:color="auto" w:fill="FFFFFF"/>
        </w:rPr>
      </w:pPr>
      <w:r w:rsidRPr="00AF2972">
        <w:rPr>
          <w:rFonts w:ascii="Helvetica" w:hAnsi="Helvetica" w:cs="Helvetica"/>
          <w:shd w:val="clear" w:color="auto" w:fill="FFFFFF"/>
        </w:rPr>
        <w:t xml:space="preserve">One survey respondent provided a positive view of the weight management services in their area, which focus on healthy diet and lifestyle. </w:t>
      </w:r>
    </w:p>
    <w:p w14:paraId="4A549011" w14:textId="50DF3D39" w:rsidR="003D0A6D" w:rsidRPr="00AF2972" w:rsidRDefault="003D0A6D" w:rsidP="003846FB">
      <w:r w:rsidRPr="00AF2972">
        <w:rPr>
          <w:rFonts w:ascii="Helvetica" w:hAnsi="Helvetica" w:cs="Helvetica"/>
          <w:shd w:val="clear" w:color="auto" w:fill="FFFFFF"/>
        </w:rPr>
        <w:lastRenderedPageBreak/>
        <w:t>In 2023</w:t>
      </w:r>
      <w:r w:rsidR="00D622F7" w:rsidRPr="00AF2972">
        <w:rPr>
          <w:rFonts w:ascii="Helvetica" w:hAnsi="Helvetica" w:cs="Helvetica"/>
          <w:shd w:val="clear" w:color="auto" w:fill="FFFFFF"/>
        </w:rPr>
        <w:t xml:space="preserve"> the </w:t>
      </w:r>
      <w:hyperlink r:id="rId18" w:history="1">
        <w:r w:rsidR="00D622F7" w:rsidRPr="003D0A6D">
          <w:rPr>
            <w:rStyle w:val="Hyperlink"/>
            <w:rFonts w:ascii="Helvetica" w:hAnsi="Helvetica" w:cs="Helvetica"/>
            <w:shd w:val="clear" w:color="auto" w:fill="FFFFFF"/>
          </w:rPr>
          <w:t>NICE guideline (CG189)</w:t>
        </w:r>
      </w:hyperlink>
      <w:r w:rsidR="00D622F7" w:rsidRPr="003D0A6D">
        <w:rPr>
          <w:rFonts w:ascii="Helvetica" w:hAnsi="Helvetica" w:cs="Helvetica"/>
          <w:color w:val="333333"/>
          <w:shd w:val="clear" w:color="auto" w:fill="FFFFFF"/>
        </w:rPr>
        <w:t xml:space="preserve"> </w:t>
      </w:r>
      <w:r w:rsidRPr="003D0A6D">
        <w:rPr>
          <w:rFonts w:ascii="Helvetica" w:hAnsi="Helvetica" w:cs="Helvetica"/>
          <w:color w:val="333333"/>
          <w:shd w:val="clear" w:color="auto" w:fill="FFFFFF"/>
        </w:rPr>
        <w:t xml:space="preserve"> </w:t>
      </w:r>
      <w:r w:rsidRPr="00AF2972">
        <w:rPr>
          <w:rFonts w:ascii="Helvetica" w:hAnsi="Helvetica" w:cs="Helvetica"/>
          <w:shd w:val="clear" w:color="auto" w:fill="FFFFFF"/>
        </w:rPr>
        <w:t>was updated, and the update removed</w:t>
      </w:r>
      <w:r w:rsidR="00D622F7" w:rsidRPr="00AF2972">
        <w:t xml:space="preserve"> the recommendation for people to have attempted all non-surgical interventions or to be under management of a tier 3 service in order to be assessed for bariatric surgery</w:t>
      </w:r>
      <w:r w:rsidRPr="00AF2972">
        <w:t xml:space="preserve">, because this requirement </w:t>
      </w:r>
      <w:r w:rsidRPr="00AF2972">
        <w:rPr>
          <w:rFonts w:ascii="Helvetica" w:hAnsi="Helvetica" w:cs="Helvetica"/>
          <w:shd w:val="clear" w:color="auto" w:fill="FFFFFF"/>
        </w:rPr>
        <w:t>creates an unjustified barrier to a clinically and cost effective intervention and creates variation in practice (</w:t>
      </w:r>
      <w:r w:rsidRPr="00AF2972">
        <w:rPr>
          <w:rStyle w:val="italic"/>
          <w:rFonts w:ascii="Helvetica" w:hAnsi="Helvetica" w:cs="Helvetica"/>
          <w:i/>
          <w:iCs/>
          <w:bdr w:val="none" w:sz="0" w:space="0" w:color="auto" w:frame="1"/>
          <w:shd w:val="clear" w:color="auto" w:fill="FFFFFF"/>
        </w:rPr>
        <w:t>BMJ</w:t>
      </w:r>
      <w:r w:rsidRPr="00AF2972">
        <w:rPr>
          <w:rFonts w:ascii="Helvetica" w:hAnsi="Helvetica" w:cs="Helvetica"/>
          <w:shd w:val="clear" w:color="auto" w:fill="FFFFFF"/>
        </w:rPr>
        <w:t> 2023;382:p1880).</w:t>
      </w:r>
    </w:p>
    <w:p w14:paraId="51D0387B" w14:textId="0646479F" w:rsidR="00E050B9" w:rsidRDefault="003D0A6D" w:rsidP="003846FB">
      <w:r>
        <w:t xml:space="preserve">However, </w:t>
      </w:r>
      <w:r w:rsidR="00D622F7">
        <w:t>the feedback from interviewees</w:t>
      </w:r>
      <w:r w:rsidR="00406031">
        <w:t xml:space="preserve"> in relation to indicator 2</w:t>
      </w:r>
      <w:r w:rsidR="00D622F7">
        <w:t xml:space="preserve"> was overwhelmingly that </w:t>
      </w:r>
      <w:r>
        <w:t xml:space="preserve">bariatric surgery services were scarce in their areas, with many reporting that the requirement for patients to have tried lower tiers of weight management before a referral for surgery could be made was still in place. </w:t>
      </w:r>
      <w:r w:rsidR="00E050B9">
        <w:t>10 practices were interviewed</w:t>
      </w:r>
      <w:r w:rsidR="00406031">
        <w:t xml:space="preserve"> on the topic of weight management</w:t>
      </w:r>
      <w:r w:rsidR="00E050B9">
        <w:t>, and a further one (who had been interviewed on other topics) provided their views on this topic via email</w:t>
      </w:r>
      <w:r w:rsidR="00406031">
        <w:t>. Of those 11, five mentioned that patients were required to access lower tiers of weight management prior to a referral for surgery (with one mentioning that the practice was able to offer Orlistat), and a further four mentioned either long waiting lists or referrals being restricted without details. The other two practices provided no specific detail</w:t>
      </w:r>
      <w:r w:rsidR="00BC49B4">
        <w:t>, and</w:t>
      </w:r>
      <w:r w:rsidR="00406031">
        <w:t xml:space="preserve"> no practices reported an effective service to which they could easily refer. </w:t>
      </w:r>
    </w:p>
    <w:p w14:paraId="7967FBC1" w14:textId="343FE0F1" w:rsidR="00C62F8F" w:rsidRDefault="00C62F8F" w:rsidP="00413D09">
      <w:pPr>
        <w:spacing w:line="312" w:lineRule="auto"/>
        <w:rPr>
          <w:i/>
          <w:iCs/>
        </w:rPr>
      </w:pPr>
      <w:r w:rsidRPr="00C62F8F">
        <w:rPr>
          <w:i/>
          <w:iCs/>
        </w:rPr>
        <w:t>“</w:t>
      </w:r>
      <w:r>
        <w:rPr>
          <w:i/>
          <w:iCs/>
        </w:rPr>
        <w:t>I</w:t>
      </w:r>
      <w:r w:rsidRPr="00C62F8F">
        <w:rPr>
          <w:i/>
          <w:iCs/>
        </w:rPr>
        <w:t>t’s about service provision […] we are aware that those patients who are eligible for a bariatric surgical assessment. My actual practical experience is that the secondary care service just bounces them back and wants them to have gone through loads of hoops that have probably changed since the last time we referred them. And we just end up bouncing patients between the two services.</w:t>
      </w:r>
      <w:r>
        <w:rPr>
          <w:i/>
          <w:iCs/>
        </w:rPr>
        <w:t>”</w:t>
      </w:r>
      <w:r w:rsidRPr="003F1487">
        <w:rPr>
          <w:i/>
          <w:iCs/>
        </w:rPr>
        <w:t xml:space="preserve"> </w:t>
      </w:r>
      <w:r w:rsidRPr="004C4645">
        <w:rPr>
          <w:i/>
          <w:iCs/>
        </w:rPr>
        <w:t>[GP, interview]</w:t>
      </w:r>
    </w:p>
    <w:p w14:paraId="743ACCD0" w14:textId="77777777" w:rsidR="00330CA9" w:rsidRDefault="00330CA9" w:rsidP="00330CA9">
      <w:pPr>
        <w:spacing w:line="312" w:lineRule="auto"/>
        <w:rPr>
          <w:i/>
          <w:iCs/>
        </w:rPr>
      </w:pPr>
      <w:r>
        <w:rPr>
          <w:i/>
          <w:iCs/>
        </w:rPr>
        <w:t>“T</w:t>
      </w:r>
      <w:r w:rsidRPr="00D10739">
        <w:rPr>
          <w:i/>
          <w:iCs/>
        </w:rPr>
        <w:t>he service isn’t available for other things let alone weight management. Weight management is a bit Cinderella</w:t>
      </w:r>
      <w:r>
        <w:rPr>
          <w:i/>
          <w:iCs/>
        </w:rPr>
        <w:t xml:space="preserve"> […] </w:t>
      </w:r>
      <w:r w:rsidRPr="00D10739">
        <w:rPr>
          <w:i/>
          <w:iCs/>
        </w:rPr>
        <w:t>it comes and goes. Getting surgery is not there. It looks good on paper. In reality, it’s not going to happen.</w:t>
      </w:r>
      <w:r>
        <w:rPr>
          <w:i/>
          <w:iCs/>
        </w:rPr>
        <w:t>”</w:t>
      </w:r>
      <w:r w:rsidRPr="004C4645">
        <w:rPr>
          <w:i/>
          <w:iCs/>
        </w:rPr>
        <w:t xml:space="preserve"> [GP, interview]</w:t>
      </w:r>
    </w:p>
    <w:p w14:paraId="0ED042F9" w14:textId="6D12F858" w:rsidR="00330CA9" w:rsidRDefault="00330CA9" w:rsidP="00330CA9">
      <w:pPr>
        <w:spacing w:line="312" w:lineRule="auto"/>
        <w:rPr>
          <w:i/>
          <w:iCs/>
        </w:rPr>
      </w:pPr>
      <w:r w:rsidRPr="00D10739">
        <w:rPr>
          <w:i/>
          <w:iCs/>
        </w:rPr>
        <w:t>“I don't know if it is the same in other parts of England as well, but in (area), for example, we can't refer for bariatric surgery directly. So you need to do step two first. Well, you need to do step one first, which is indicator one. Need to do step two first, and then you need to show that step two failed twice to be able to refer to step three, and then if step three thin</w:t>
      </w:r>
      <w:r>
        <w:rPr>
          <w:i/>
          <w:iCs/>
        </w:rPr>
        <w:t>k</w:t>
      </w:r>
      <w:r w:rsidRPr="00D10739">
        <w:rPr>
          <w:i/>
          <w:iCs/>
        </w:rPr>
        <w:t xml:space="preserve">s, it is suitable, they refer to step four. Which is the surgery. So unless </w:t>
      </w:r>
      <w:r w:rsidR="003B7AC3">
        <w:rPr>
          <w:i/>
          <w:iCs/>
        </w:rPr>
        <w:t>[…]</w:t>
      </w:r>
      <w:r w:rsidRPr="00D10739">
        <w:rPr>
          <w:i/>
          <w:iCs/>
        </w:rPr>
        <w:t xml:space="preserve"> there is a universal access to weight loss programmes or bariatric services, I can't see how this can be implemented</w:t>
      </w:r>
      <w:r>
        <w:rPr>
          <w:i/>
          <w:iCs/>
        </w:rPr>
        <w:t xml:space="preserve"> […]</w:t>
      </w:r>
      <w:r w:rsidRPr="00D10739">
        <w:rPr>
          <w:i/>
          <w:iCs/>
        </w:rPr>
        <w:t xml:space="preserve"> these are limited services, the bariatric services. So they cut us off from the bariatric referrals altogether.</w:t>
      </w:r>
      <w:r w:rsidRPr="004C4645">
        <w:rPr>
          <w:i/>
          <w:iCs/>
        </w:rPr>
        <w:t>” [GP, interview]</w:t>
      </w:r>
    </w:p>
    <w:p w14:paraId="3E3D98BE" w14:textId="07E55124" w:rsidR="00413D09" w:rsidRPr="00FE6483" w:rsidRDefault="00FE6483" w:rsidP="00FE6483">
      <w:pPr>
        <w:spacing w:line="312" w:lineRule="auto"/>
        <w:rPr>
          <w:i/>
          <w:iCs/>
        </w:rPr>
      </w:pPr>
      <w:r w:rsidRPr="00FE6483">
        <w:rPr>
          <w:i/>
          <w:iCs/>
        </w:rPr>
        <w:lastRenderedPageBreak/>
        <w:t>“</w:t>
      </w:r>
      <w:r w:rsidR="00413D09" w:rsidRPr="00FE6483">
        <w:rPr>
          <w:i/>
          <w:iCs/>
        </w:rPr>
        <w:t>Without a universal access to weight loss programmes or bariatric services I can’t see how this can be implemented.</w:t>
      </w:r>
      <w:r w:rsidRPr="00FE6483">
        <w:rPr>
          <w:i/>
          <w:iCs/>
        </w:rPr>
        <w:t>”</w:t>
      </w:r>
      <w:r w:rsidRPr="003F1487">
        <w:rPr>
          <w:i/>
          <w:iCs/>
        </w:rPr>
        <w:t xml:space="preserve"> </w:t>
      </w:r>
      <w:r w:rsidRPr="004C4645">
        <w:rPr>
          <w:i/>
          <w:iCs/>
        </w:rPr>
        <w:t xml:space="preserve">[GP, </w:t>
      </w:r>
      <w:r>
        <w:rPr>
          <w:i/>
          <w:iCs/>
        </w:rPr>
        <w:t>survey</w:t>
      </w:r>
      <w:r w:rsidRPr="004C4645">
        <w:rPr>
          <w:i/>
          <w:iCs/>
        </w:rPr>
        <w:t>]</w:t>
      </w:r>
    </w:p>
    <w:p w14:paraId="444786DF" w14:textId="513655C2" w:rsidR="00413D09" w:rsidRPr="00FE6483" w:rsidRDefault="00FE6483" w:rsidP="00FE6483">
      <w:pPr>
        <w:spacing w:line="312" w:lineRule="auto"/>
        <w:rPr>
          <w:i/>
          <w:iCs/>
        </w:rPr>
      </w:pPr>
      <w:r w:rsidRPr="00FE6483">
        <w:rPr>
          <w:i/>
          <w:iCs/>
        </w:rPr>
        <w:t>“B</w:t>
      </w:r>
      <w:r w:rsidR="00413D09" w:rsidRPr="00FE6483">
        <w:rPr>
          <w:i/>
          <w:iCs/>
        </w:rPr>
        <w:t>ariatric surgery referral guidelines and access are different all over U</w:t>
      </w:r>
      <w:r>
        <w:rPr>
          <w:i/>
          <w:iCs/>
        </w:rPr>
        <w:t>K</w:t>
      </w:r>
      <w:r w:rsidR="00413D09" w:rsidRPr="00FE6483">
        <w:rPr>
          <w:i/>
          <w:iCs/>
        </w:rPr>
        <w:t xml:space="preserve"> and it is not therefore and equitable or even appropriate use of resource</w:t>
      </w:r>
      <w:r w:rsidR="00BC49B4">
        <w:rPr>
          <w:i/>
          <w:iCs/>
        </w:rPr>
        <w:t>.</w:t>
      </w:r>
      <w:r w:rsidRPr="00FE6483">
        <w:rPr>
          <w:i/>
          <w:iCs/>
        </w:rPr>
        <w:t>”</w:t>
      </w:r>
      <w:r w:rsidRPr="003F1487">
        <w:rPr>
          <w:i/>
          <w:iCs/>
        </w:rPr>
        <w:t xml:space="preserve"> </w:t>
      </w:r>
      <w:r w:rsidRPr="004C4645">
        <w:rPr>
          <w:i/>
          <w:iCs/>
        </w:rPr>
        <w:t xml:space="preserve">[GP, </w:t>
      </w:r>
      <w:r>
        <w:rPr>
          <w:i/>
          <w:iCs/>
        </w:rPr>
        <w:t>survey</w:t>
      </w:r>
      <w:r w:rsidRPr="004C4645">
        <w:rPr>
          <w:i/>
          <w:iCs/>
        </w:rPr>
        <w:t>]</w:t>
      </w:r>
    </w:p>
    <w:p w14:paraId="6D3AB8C6" w14:textId="68DA0B44" w:rsidR="007B256B" w:rsidRDefault="00D622F7" w:rsidP="007B256B">
      <w:pPr>
        <w:pStyle w:val="Heading3"/>
      </w:pPr>
      <w:r>
        <w:t>Cohort identification</w:t>
      </w:r>
      <w:r w:rsidR="003846FB">
        <w:t xml:space="preserve"> (indicators 3 and 4)</w:t>
      </w:r>
    </w:p>
    <w:p w14:paraId="661B5CE0" w14:textId="59E151B1" w:rsidR="00000B8B" w:rsidRDefault="00000B8B" w:rsidP="00000B8B">
      <w:r>
        <w:t>In the interviews, practices were asked whether they could identify patients who had had bariatric surgery, and therefore were eligible for primary care follow-up. There was general agreement that they could identify those patients who had had bariatric surgery in the NHS accurately</w:t>
      </w:r>
      <w:r w:rsidR="00475BC7">
        <w:t xml:space="preserve"> (although one practice suggested communication even with English services was poor)</w:t>
      </w:r>
      <w:r>
        <w:t xml:space="preserve">, but nine practices felt there were increasing numbers of patients who went abroad for surgery, and, other than in the view of one respondent, this caused problems with cohort identification. This view was reinforced by many survey respondents. </w:t>
      </w:r>
    </w:p>
    <w:p w14:paraId="0BB2D42A" w14:textId="00BCB3E1" w:rsidR="008550C5" w:rsidRDefault="008550C5" w:rsidP="008550C5">
      <w:pPr>
        <w:spacing w:line="312" w:lineRule="auto"/>
        <w:rPr>
          <w:i/>
          <w:iCs/>
        </w:rPr>
      </w:pPr>
      <w:r w:rsidRPr="008550C5">
        <w:rPr>
          <w:i/>
          <w:iCs/>
        </w:rPr>
        <w:t xml:space="preserve">“The UK patients should get a letter. They'll be coded. We can then pick them up. It's the people who don't go through that system that there's probably some who are missed unless they come in for another reason and happen to mention that. </w:t>
      </w:r>
      <w:r w:rsidR="003B7AC3">
        <w:rPr>
          <w:i/>
          <w:iCs/>
        </w:rPr>
        <w:t>E</w:t>
      </w:r>
      <w:r w:rsidRPr="008550C5">
        <w:rPr>
          <w:i/>
          <w:iCs/>
        </w:rPr>
        <w:t xml:space="preserve">ven those that originally had it done abroad and then come here and register as a new patient.” </w:t>
      </w:r>
      <w:r w:rsidRPr="004C4645">
        <w:rPr>
          <w:i/>
          <w:iCs/>
        </w:rPr>
        <w:t>[GP, interview]</w:t>
      </w:r>
    </w:p>
    <w:p w14:paraId="032A812F" w14:textId="77777777" w:rsidR="00000B8B" w:rsidRDefault="00000B8B" w:rsidP="00000B8B">
      <w:r>
        <w:t>As well as identification of the cohort, surgery abroad posed other challenges relating to the care of these patients, comments received during the interview included:</w:t>
      </w:r>
    </w:p>
    <w:p w14:paraId="2372CE71" w14:textId="67044182" w:rsidR="00000B8B" w:rsidRDefault="00000B8B" w:rsidP="00000B8B">
      <w:pPr>
        <w:pStyle w:val="ListParagraph"/>
        <w:numPr>
          <w:ilvl w:val="0"/>
          <w:numId w:val="17"/>
        </w:numPr>
      </w:pPr>
      <w:r>
        <w:t>a query as to whether these patients are</w:t>
      </w:r>
      <w:r w:rsidR="00521B20">
        <w:t xml:space="preserve"> in fact</w:t>
      </w:r>
      <w:r>
        <w:t xml:space="preserve"> eligible for ongoing monitoring within the NHS</w:t>
      </w:r>
      <w:r w:rsidR="00475BC7">
        <w:t>, with one practice stating in interview that private patients would not be entitled to NHS follow-up, and a survey respondent suggesting that the issue was unclear:</w:t>
      </w:r>
    </w:p>
    <w:p w14:paraId="35CC0954" w14:textId="790952A9" w:rsidR="00475BC7" w:rsidRPr="00475BC7" w:rsidRDefault="00475BC7" w:rsidP="00475BC7">
      <w:pPr>
        <w:spacing w:line="312" w:lineRule="auto"/>
        <w:ind w:left="360"/>
        <w:rPr>
          <w:i/>
          <w:iCs/>
        </w:rPr>
      </w:pPr>
      <w:r w:rsidRPr="00475BC7">
        <w:rPr>
          <w:i/>
          <w:iCs/>
        </w:rPr>
        <w:t>“Please think about bariatric surgery done abroad which is most of the patients we have who have had it and how to fund and commission follow up care which is in limbo land currently and whether these people will be included in the indicator.” [GP, survey]</w:t>
      </w:r>
    </w:p>
    <w:p w14:paraId="0F7F592A" w14:textId="0AF374AA" w:rsidR="008550C5" w:rsidRDefault="008550C5" w:rsidP="00000B8B">
      <w:pPr>
        <w:pStyle w:val="ListParagraph"/>
        <w:numPr>
          <w:ilvl w:val="0"/>
          <w:numId w:val="17"/>
        </w:numPr>
      </w:pPr>
      <w:r>
        <w:t>a lack of information about what type of bariatric surgery the patient has received, and presumably other detail which would usually be contained within a discharge letter.</w:t>
      </w:r>
    </w:p>
    <w:p w14:paraId="6E56A89B" w14:textId="38CF57E7" w:rsidR="00000B8B" w:rsidRDefault="008550C5" w:rsidP="00000B8B">
      <w:pPr>
        <w:pStyle w:val="ListParagraph"/>
        <w:numPr>
          <w:ilvl w:val="0"/>
          <w:numId w:val="17"/>
        </w:numPr>
      </w:pPr>
      <w:r>
        <w:lastRenderedPageBreak/>
        <w:t>bariatric surgery in some countries does not have the same requirements as for the NHS, meaning some patients with relatively low BMIs have had bariatric surgery.</w:t>
      </w:r>
    </w:p>
    <w:p w14:paraId="569769FE" w14:textId="2B5A7EA8" w:rsidR="008550C5" w:rsidRDefault="008550C5" w:rsidP="008550C5">
      <w:r>
        <w:t xml:space="preserve">Practices were asked in interviews whether they had particular problems with patients expecting their routine monitoring to begin before 24 months following their surgery (during which time they should have been under the care of the bariatric surgery service). Little was added to this issue as it seems as though this issue would also be unclear for the increasing numbers of patients having surgery abroad. However, </w:t>
      </w:r>
      <w:r w:rsidR="00521B20">
        <w:t>two practices said they were aware of this happening for patients arriving from abroad, and they felt limited in their abilities to manage the issues:</w:t>
      </w:r>
    </w:p>
    <w:p w14:paraId="5DE3494E" w14:textId="6F0EA7E1" w:rsidR="00521B20" w:rsidRPr="00521B20" w:rsidRDefault="00521B20" w:rsidP="00521B20">
      <w:pPr>
        <w:spacing w:line="312" w:lineRule="auto"/>
        <w:rPr>
          <w:i/>
          <w:iCs/>
        </w:rPr>
      </w:pPr>
      <w:r w:rsidRPr="00521B20">
        <w:rPr>
          <w:i/>
          <w:iCs/>
        </w:rPr>
        <w:t>“We’ve had four, five maybe in the last year who […] have had their surgery abroad, and come back and said, “I now need my blood tests done.” And […] I don’t mind doing a blood as long as they’ve got someone to send the results to, who can look at the results and say, “That’s fine.” Or, “Not fine.” But if they’re saying they want me to also look at the results and manage them in those first two years, I start to get a bit twitchy, because as far as I’m aware, I don’t know what to do about, yes, micronutrient imbalances post-op, it should be done by a specialist.</w:t>
      </w:r>
      <w:r>
        <w:rPr>
          <w:i/>
          <w:iCs/>
        </w:rPr>
        <w:t>” [GP, interview]</w:t>
      </w:r>
    </w:p>
    <w:p w14:paraId="5E97C355" w14:textId="37823DF5" w:rsidR="00521B20" w:rsidRPr="00521B20" w:rsidRDefault="00521B20" w:rsidP="00521B20">
      <w:pPr>
        <w:spacing w:line="312" w:lineRule="auto"/>
        <w:rPr>
          <w:i/>
          <w:iCs/>
        </w:rPr>
      </w:pPr>
      <w:r>
        <w:rPr>
          <w:i/>
          <w:iCs/>
        </w:rPr>
        <w:t>“L</w:t>
      </w:r>
      <w:r w:rsidRPr="00521B20">
        <w:rPr>
          <w:i/>
          <w:iCs/>
        </w:rPr>
        <w:t>ocally my experience has been that they haven’t undertaken… they haven't stayed within the service for two years, that seems really optimistic, and I like the idea of that, but that hasn’t happened. And they discharge to GP follow-up quite quickly. And that is variable as to the amount of information that we got. We actually as a practice work on a document that we managed to secure through circuitous routes from one of the consultants about what monitoring should look like.</w:t>
      </w:r>
      <w:r>
        <w:rPr>
          <w:i/>
          <w:iCs/>
        </w:rPr>
        <w:t>” [GP, interview]</w:t>
      </w:r>
    </w:p>
    <w:p w14:paraId="4FE77964" w14:textId="12EFA832" w:rsidR="009840C2" w:rsidRDefault="009840C2" w:rsidP="006B1E49">
      <w:pPr>
        <w:pStyle w:val="Heading2"/>
        <w:spacing w:before="480"/>
        <w:ind w:left="788" w:hanging="431"/>
      </w:pPr>
      <w:bookmarkStart w:id="25" w:name="_Toc198538522"/>
      <w:r>
        <w:t>Impact on health inequalities</w:t>
      </w:r>
      <w:bookmarkEnd w:id="25"/>
    </w:p>
    <w:p w14:paraId="3C9AF320" w14:textId="53E1A9A8" w:rsidR="00AC4D36" w:rsidRPr="00AC4D36" w:rsidRDefault="00274211" w:rsidP="00AC4D36">
      <w:r>
        <w:t>Practices were asked in the interviews and in the survey to consider whether th</w:t>
      </w:r>
      <w:r w:rsidR="004D1E35">
        <w:t>ese</w:t>
      </w:r>
      <w:r>
        <w:t xml:space="preserve"> indicator</w:t>
      </w:r>
      <w:r w:rsidR="004D1E35">
        <w:t>s</w:t>
      </w:r>
      <w:r>
        <w:t xml:space="preserve"> would have any impact on health inequalities. </w:t>
      </w:r>
      <w:r w:rsidR="008F534E">
        <w:t xml:space="preserve">For all four indicators, </w:t>
      </w:r>
      <w:r w:rsidR="001A198C">
        <w:t xml:space="preserve">the largest proportion of the response was that the respondent would be unsure of the effects, or that they anticipated a mixed impact, ranging from 49.0% for indicators 1 and 2, to 62.7% for indicator 4 </w:t>
      </w:r>
      <w:r w:rsidR="00125E56">
        <w:t>(Table 11)</w:t>
      </w:r>
      <w:r w:rsidR="00AC4D36" w:rsidRPr="00AC4D36">
        <w:t xml:space="preserve">. </w:t>
      </w:r>
    </w:p>
    <w:p w14:paraId="15CD6586" w14:textId="77777777" w:rsidR="00027151" w:rsidRDefault="00027151" w:rsidP="00AC4D36">
      <w:pPr>
        <w:spacing w:line="276" w:lineRule="auto"/>
        <w:rPr>
          <w:u w:val="single"/>
        </w:rPr>
      </w:pPr>
    </w:p>
    <w:p w14:paraId="6FBA6E20" w14:textId="77777777" w:rsidR="00027151" w:rsidRDefault="00027151" w:rsidP="00AC4D36">
      <w:pPr>
        <w:spacing w:line="276" w:lineRule="auto"/>
        <w:rPr>
          <w:u w:val="single"/>
        </w:rPr>
      </w:pPr>
    </w:p>
    <w:p w14:paraId="7FE93B63" w14:textId="77777777" w:rsidR="00027151" w:rsidRDefault="00027151" w:rsidP="00AC4D36">
      <w:pPr>
        <w:spacing w:line="276" w:lineRule="auto"/>
        <w:rPr>
          <w:u w:val="single"/>
        </w:rPr>
      </w:pPr>
    </w:p>
    <w:p w14:paraId="04BAB0DF" w14:textId="5E1FAAD3" w:rsidR="00AC4D36" w:rsidRDefault="00AC4D36" w:rsidP="00AC4D36">
      <w:pPr>
        <w:spacing w:line="276" w:lineRule="auto"/>
        <w:rPr>
          <w:u w:val="single"/>
        </w:rPr>
      </w:pPr>
      <w:r w:rsidRPr="004B4482">
        <w:rPr>
          <w:u w:val="single"/>
        </w:rPr>
        <w:lastRenderedPageBreak/>
        <w:t>Table</w:t>
      </w:r>
      <w:r>
        <w:rPr>
          <w:u w:val="single"/>
        </w:rPr>
        <w:t xml:space="preserve"> 11: </w:t>
      </w:r>
      <w:r w:rsidRPr="004B4482">
        <w:rPr>
          <w:u w:val="single"/>
        </w:rPr>
        <w:t xml:space="preserve">Views on </w:t>
      </w:r>
      <w:r>
        <w:rPr>
          <w:u w:val="single"/>
        </w:rPr>
        <w:t>the indicators</w:t>
      </w:r>
      <w:r w:rsidR="001A198C">
        <w:rPr>
          <w:u w:val="single"/>
        </w:rPr>
        <w:t>’</w:t>
      </w:r>
      <w:r>
        <w:rPr>
          <w:u w:val="single"/>
        </w:rPr>
        <w:t xml:space="preserve"> impact on health inequalities </w:t>
      </w:r>
      <w:r w:rsidRPr="004B4482">
        <w:rPr>
          <w:u w:val="single"/>
        </w:rPr>
        <w:t>(survey)</w:t>
      </w:r>
    </w:p>
    <w:p w14:paraId="1D2EEA7C" w14:textId="2BE650D1" w:rsidR="00780FA2" w:rsidRDefault="00780FA2" w:rsidP="00AC4D36">
      <w:pPr>
        <w:spacing w:line="276" w:lineRule="auto"/>
        <w:rPr>
          <w:u w:val="single"/>
        </w:rPr>
      </w:pPr>
      <w:r w:rsidRPr="00AC4D36">
        <w:rPr>
          <w:rFonts w:cs="Arial"/>
          <w:b/>
          <w:bCs/>
          <w:color w:val="010205"/>
          <w:sz w:val="22"/>
        </w:rPr>
        <w:t xml:space="preserve">What do you consider the impact will be on health inequalities for </w:t>
      </w:r>
      <w:r>
        <w:rPr>
          <w:rFonts w:cs="Arial"/>
          <w:b/>
          <w:bCs/>
          <w:color w:val="010205"/>
          <w:sz w:val="22"/>
        </w:rPr>
        <w:t>the</w:t>
      </w:r>
      <w:r w:rsidRPr="00AC4D36">
        <w:rPr>
          <w:rFonts w:cs="Arial"/>
          <w:b/>
          <w:bCs/>
          <w:color w:val="010205"/>
          <w:sz w:val="22"/>
        </w:rPr>
        <w:t xml:space="preserve"> indicator</w:t>
      </w:r>
      <w:r>
        <w:rPr>
          <w:rFonts w:cs="Arial"/>
          <w:b/>
          <w:bCs/>
          <w:color w:val="010205"/>
          <w:sz w:val="22"/>
        </w:rPr>
        <w:t>?</w:t>
      </w:r>
    </w:p>
    <w:tbl>
      <w:tblPr>
        <w:tblStyle w:val="TableGrid"/>
        <w:tblW w:w="9209" w:type="dxa"/>
        <w:tblLook w:val="04A0" w:firstRow="1" w:lastRow="0" w:firstColumn="1" w:lastColumn="0" w:noHBand="0" w:noVBand="1"/>
      </w:tblPr>
      <w:tblGrid>
        <w:gridCol w:w="4686"/>
        <w:gridCol w:w="1231"/>
        <w:gridCol w:w="1162"/>
        <w:gridCol w:w="1224"/>
        <w:gridCol w:w="906"/>
      </w:tblGrid>
      <w:tr w:rsidR="00AC4D36" w:rsidRPr="00527BAA" w14:paraId="23026105" w14:textId="77777777" w:rsidTr="00F77298">
        <w:tc>
          <w:tcPr>
            <w:tcW w:w="4686" w:type="dxa"/>
            <w:tcBorders>
              <w:top w:val="single" w:sz="4" w:space="0" w:color="auto"/>
              <w:left w:val="single" w:sz="4" w:space="0" w:color="auto"/>
              <w:bottom w:val="single" w:sz="4" w:space="0" w:color="auto"/>
              <w:right w:val="single" w:sz="4" w:space="0" w:color="auto"/>
            </w:tcBorders>
          </w:tcPr>
          <w:p w14:paraId="47ECB61B" w14:textId="77777777" w:rsidR="00AC4D36" w:rsidRPr="00527BAA" w:rsidRDefault="00AC4D36" w:rsidP="00AC4D36">
            <w:pPr>
              <w:spacing w:before="60" w:after="60" w:line="240" w:lineRule="auto"/>
              <w:jc w:val="center"/>
              <w:rPr>
                <w:sz w:val="22"/>
              </w:rPr>
            </w:pPr>
          </w:p>
        </w:tc>
        <w:tc>
          <w:tcPr>
            <w:tcW w:w="1231" w:type="dxa"/>
            <w:tcBorders>
              <w:top w:val="single" w:sz="4" w:space="0" w:color="auto"/>
              <w:left w:val="single" w:sz="4" w:space="0" w:color="auto"/>
              <w:bottom w:val="single" w:sz="4" w:space="0" w:color="auto"/>
              <w:right w:val="single" w:sz="4" w:space="0" w:color="auto"/>
            </w:tcBorders>
            <w:vAlign w:val="bottom"/>
            <w:hideMark/>
          </w:tcPr>
          <w:p w14:paraId="5F1307B1" w14:textId="29D1C613" w:rsidR="00AC4D36" w:rsidRPr="00527BAA" w:rsidRDefault="00AC4D36" w:rsidP="00AC4D36">
            <w:pPr>
              <w:spacing w:before="60" w:after="60" w:line="240" w:lineRule="auto"/>
              <w:jc w:val="center"/>
              <w:rPr>
                <w:sz w:val="22"/>
              </w:rPr>
            </w:pPr>
            <w:r w:rsidRPr="00527BAA">
              <w:rPr>
                <w:sz w:val="22"/>
              </w:rPr>
              <w:t>Positive impact</w:t>
            </w:r>
          </w:p>
        </w:tc>
        <w:tc>
          <w:tcPr>
            <w:tcW w:w="1162" w:type="dxa"/>
            <w:tcBorders>
              <w:top w:val="single" w:sz="4" w:space="0" w:color="auto"/>
              <w:left w:val="single" w:sz="4" w:space="0" w:color="auto"/>
              <w:bottom w:val="single" w:sz="4" w:space="0" w:color="auto"/>
              <w:right w:val="single" w:sz="4" w:space="0" w:color="auto"/>
            </w:tcBorders>
            <w:vAlign w:val="bottom"/>
            <w:hideMark/>
          </w:tcPr>
          <w:p w14:paraId="781B01FD" w14:textId="36D221CF" w:rsidR="00AC4D36" w:rsidRPr="00527BAA" w:rsidRDefault="00AC4D36" w:rsidP="00AC4D36">
            <w:pPr>
              <w:spacing w:before="60" w:after="60" w:line="240" w:lineRule="auto"/>
              <w:jc w:val="center"/>
              <w:rPr>
                <w:sz w:val="22"/>
              </w:rPr>
            </w:pPr>
            <w:r w:rsidRPr="00527BAA">
              <w:rPr>
                <w:sz w:val="22"/>
              </w:rPr>
              <w:t>Negative impact</w:t>
            </w:r>
          </w:p>
        </w:tc>
        <w:tc>
          <w:tcPr>
            <w:tcW w:w="1224" w:type="dxa"/>
            <w:tcBorders>
              <w:top w:val="single" w:sz="4" w:space="0" w:color="auto"/>
              <w:left w:val="single" w:sz="4" w:space="0" w:color="auto"/>
              <w:bottom w:val="single" w:sz="4" w:space="0" w:color="auto"/>
              <w:right w:val="single" w:sz="4" w:space="0" w:color="auto"/>
            </w:tcBorders>
            <w:vAlign w:val="bottom"/>
            <w:hideMark/>
          </w:tcPr>
          <w:p w14:paraId="3F284E4E" w14:textId="5B52BA87" w:rsidR="00AC4D36" w:rsidRPr="00527BAA" w:rsidRDefault="00AC4D36" w:rsidP="00AC4D36">
            <w:pPr>
              <w:spacing w:before="60" w:after="60" w:line="240" w:lineRule="auto"/>
              <w:jc w:val="center"/>
              <w:rPr>
                <w:sz w:val="22"/>
              </w:rPr>
            </w:pPr>
            <w:r w:rsidRPr="00527BAA">
              <w:rPr>
                <w:sz w:val="22"/>
              </w:rPr>
              <w:t>Unsure or mixed impact</w:t>
            </w:r>
          </w:p>
        </w:tc>
        <w:tc>
          <w:tcPr>
            <w:tcW w:w="906" w:type="dxa"/>
            <w:tcBorders>
              <w:top w:val="single" w:sz="4" w:space="0" w:color="auto"/>
              <w:left w:val="single" w:sz="4" w:space="0" w:color="auto"/>
              <w:bottom w:val="single" w:sz="4" w:space="0" w:color="auto"/>
              <w:right w:val="single" w:sz="4" w:space="0" w:color="auto"/>
            </w:tcBorders>
            <w:hideMark/>
          </w:tcPr>
          <w:p w14:paraId="0850E8DF" w14:textId="77777777" w:rsidR="00AC4D36" w:rsidRPr="00527BAA" w:rsidRDefault="00AC4D36" w:rsidP="00AC4D36">
            <w:pPr>
              <w:spacing w:before="60" w:after="60" w:line="240" w:lineRule="auto"/>
              <w:jc w:val="center"/>
              <w:rPr>
                <w:sz w:val="22"/>
              </w:rPr>
            </w:pPr>
            <w:r w:rsidRPr="00527BAA">
              <w:rPr>
                <w:sz w:val="22"/>
              </w:rPr>
              <w:t>Total</w:t>
            </w:r>
          </w:p>
        </w:tc>
      </w:tr>
      <w:tr w:rsidR="004D1E35" w:rsidRPr="00527BAA" w14:paraId="13964902" w14:textId="77777777" w:rsidTr="004D1E35">
        <w:trPr>
          <w:trHeight w:val="622"/>
        </w:trPr>
        <w:tc>
          <w:tcPr>
            <w:tcW w:w="4686" w:type="dxa"/>
            <w:tcBorders>
              <w:top w:val="single" w:sz="4" w:space="0" w:color="auto"/>
              <w:left w:val="single" w:sz="4" w:space="0" w:color="auto"/>
              <w:bottom w:val="single" w:sz="4" w:space="0" w:color="auto"/>
              <w:right w:val="single" w:sz="4" w:space="0" w:color="auto"/>
            </w:tcBorders>
            <w:hideMark/>
          </w:tcPr>
          <w:p w14:paraId="2D50C486" w14:textId="56B8B5DC" w:rsidR="004D1E35" w:rsidRPr="00527BAA" w:rsidRDefault="004D1E35" w:rsidP="004D1E35">
            <w:pPr>
              <w:spacing w:before="60" w:after="60" w:line="240" w:lineRule="auto"/>
              <w:rPr>
                <w:sz w:val="22"/>
              </w:rPr>
            </w:pPr>
            <w:r w:rsidRPr="00527BAA">
              <w:rPr>
                <w:sz w:val="22"/>
              </w:rPr>
              <w:t>Indicator 1: Weight management advice</w:t>
            </w:r>
          </w:p>
        </w:tc>
        <w:tc>
          <w:tcPr>
            <w:tcW w:w="1231" w:type="dxa"/>
            <w:tcBorders>
              <w:top w:val="single" w:sz="4" w:space="0" w:color="auto"/>
              <w:left w:val="single" w:sz="4" w:space="0" w:color="auto"/>
              <w:bottom w:val="single" w:sz="4" w:space="0" w:color="auto"/>
              <w:right w:val="single" w:sz="4" w:space="0" w:color="auto"/>
            </w:tcBorders>
            <w:hideMark/>
          </w:tcPr>
          <w:p w14:paraId="498F053D" w14:textId="6F3EE470" w:rsidR="004D1E35" w:rsidRPr="00527BAA" w:rsidRDefault="004D1E35" w:rsidP="004D1E35">
            <w:pPr>
              <w:spacing w:before="60" w:after="60" w:line="240" w:lineRule="auto"/>
              <w:jc w:val="center"/>
              <w:rPr>
                <w:sz w:val="22"/>
              </w:rPr>
            </w:pPr>
            <w:r w:rsidRPr="00527BAA">
              <w:rPr>
                <w:sz w:val="22"/>
              </w:rPr>
              <w:t>19</w:t>
            </w:r>
            <w:r w:rsidRPr="00527BAA">
              <w:rPr>
                <w:sz w:val="22"/>
              </w:rPr>
              <w:br/>
              <w:t>(37.3%)</w:t>
            </w:r>
          </w:p>
        </w:tc>
        <w:tc>
          <w:tcPr>
            <w:tcW w:w="1162" w:type="dxa"/>
            <w:tcBorders>
              <w:top w:val="single" w:sz="4" w:space="0" w:color="auto"/>
              <w:left w:val="single" w:sz="4" w:space="0" w:color="auto"/>
              <w:bottom w:val="single" w:sz="4" w:space="0" w:color="auto"/>
              <w:right w:val="single" w:sz="4" w:space="0" w:color="auto"/>
            </w:tcBorders>
            <w:hideMark/>
          </w:tcPr>
          <w:p w14:paraId="4AA58E8F" w14:textId="42D5EF0B" w:rsidR="004D1E35" w:rsidRPr="00527BAA" w:rsidRDefault="004D1E35" w:rsidP="004D1E35">
            <w:pPr>
              <w:spacing w:before="60" w:after="60" w:line="240" w:lineRule="auto"/>
              <w:jc w:val="center"/>
              <w:rPr>
                <w:sz w:val="22"/>
              </w:rPr>
            </w:pPr>
            <w:r w:rsidRPr="00527BAA">
              <w:rPr>
                <w:sz w:val="22"/>
              </w:rPr>
              <w:t>7</w:t>
            </w:r>
            <w:r w:rsidRPr="00527BAA">
              <w:rPr>
                <w:sz w:val="22"/>
              </w:rPr>
              <w:br/>
              <w:t>(13.7%)</w:t>
            </w:r>
          </w:p>
        </w:tc>
        <w:tc>
          <w:tcPr>
            <w:tcW w:w="1224" w:type="dxa"/>
            <w:tcBorders>
              <w:top w:val="single" w:sz="4" w:space="0" w:color="auto"/>
              <w:left w:val="single" w:sz="4" w:space="0" w:color="auto"/>
              <w:bottom w:val="single" w:sz="4" w:space="0" w:color="auto"/>
              <w:right w:val="single" w:sz="4" w:space="0" w:color="auto"/>
            </w:tcBorders>
            <w:hideMark/>
          </w:tcPr>
          <w:p w14:paraId="52CAD946" w14:textId="28E7A514" w:rsidR="004D1E35" w:rsidRPr="00527BAA" w:rsidRDefault="004D1E35" w:rsidP="004D1E35">
            <w:pPr>
              <w:spacing w:before="60" w:after="60" w:line="240" w:lineRule="auto"/>
              <w:jc w:val="center"/>
              <w:rPr>
                <w:sz w:val="22"/>
              </w:rPr>
            </w:pPr>
            <w:r w:rsidRPr="00527BAA">
              <w:rPr>
                <w:sz w:val="22"/>
              </w:rPr>
              <w:t>25</w:t>
            </w:r>
            <w:r w:rsidRPr="00527BAA">
              <w:rPr>
                <w:sz w:val="22"/>
              </w:rPr>
              <w:br/>
              <w:t>(49.0%)</w:t>
            </w:r>
          </w:p>
        </w:tc>
        <w:tc>
          <w:tcPr>
            <w:tcW w:w="906" w:type="dxa"/>
            <w:tcBorders>
              <w:top w:val="single" w:sz="4" w:space="0" w:color="auto"/>
              <w:left w:val="single" w:sz="4" w:space="0" w:color="auto"/>
              <w:bottom w:val="single" w:sz="4" w:space="0" w:color="auto"/>
              <w:right w:val="single" w:sz="4" w:space="0" w:color="auto"/>
            </w:tcBorders>
            <w:hideMark/>
          </w:tcPr>
          <w:p w14:paraId="4AFE29CC" w14:textId="648A563F" w:rsidR="004D1E35" w:rsidRPr="00527BAA" w:rsidRDefault="004D1E35" w:rsidP="004D1E35">
            <w:pPr>
              <w:spacing w:before="60" w:after="60" w:line="240" w:lineRule="auto"/>
              <w:jc w:val="center"/>
              <w:rPr>
                <w:sz w:val="22"/>
              </w:rPr>
            </w:pPr>
            <w:r w:rsidRPr="00527BAA">
              <w:rPr>
                <w:sz w:val="22"/>
              </w:rPr>
              <w:t>51</w:t>
            </w:r>
          </w:p>
        </w:tc>
      </w:tr>
      <w:tr w:rsidR="004D1E35" w:rsidRPr="00527BAA" w14:paraId="7A634618" w14:textId="77777777" w:rsidTr="004D1E35">
        <w:trPr>
          <w:trHeight w:val="622"/>
        </w:trPr>
        <w:tc>
          <w:tcPr>
            <w:tcW w:w="4686" w:type="dxa"/>
            <w:tcBorders>
              <w:top w:val="single" w:sz="4" w:space="0" w:color="auto"/>
              <w:left w:val="single" w:sz="4" w:space="0" w:color="auto"/>
              <w:bottom w:val="single" w:sz="4" w:space="0" w:color="auto"/>
              <w:right w:val="single" w:sz="4" w:space="0" w:color="auto"/>
            </w:tcBorders>
          </w:tcPr>
          <w:p w14:paraId="29804422" w14:textId="0725A74C" w:rsidR="004D1E35" w:rsidRPr="00527BAA" w:rsidRDefault="004D1E35" w:rsidP="004D1E35">
            <w:pPr>
              <w:spacing w:before="60" w:after="60" w:line="240" w:lineRule="auto"/>
              <w:rPr>
                <w:rFonts w:cs="Arial"/>
                <w:sz w:val="22"/>
              </w:rPr>
            </w:pPr>
            <w:r w:rsidRPr="00527BAA">
              <w:rPr>
                <w:sz w:val="22"/>
              </w:rPr>
              <w:t>Indicator 2: Referral for bariatric surgery</w:t>
            </w:r>
          </w:p>
        </w:tc>
        <w:tc>
          <w:tcPr>
            <w:tcW w:w="1231" w:type="dxa"/>
            <w:tcBorders>
              <w:top w:val="single" w:sz="4" w:space="0" w:color="auto"/>
              <w:left w:val="single" w:sz="4" w:space="0" w:color="auto"/>
              <w:bottom w:val="single" w:sz="4" w:space="0" w:color="auto"/>
              <w:right w:val="single" w:sz="4" w:space="0" w:color="auto"/>
            </w:tcBorders>
          </w:tcPr>
          <w:p w14:paraId="38C2A6DE" w14:textId="137A6A22" w:rsidR="004D1E35" w:rsidRPr="00527BAA" w:rsidRDefault="004D1E35" w:rsidP="004D1E35">
            <w:pPr>
              <w:spacing w:before="60" w:after="60" w:line="240" w:lineRule="auto"/>
              <w:jc w:val="center"/>
              <w:rPr>
                <w:sz w:val="22"/>
              </w:rPr>
            </w:pPr>
            <w:r w:rsidRPr="00527BAA">
              <w:rPr>
                <w:sz w:val="22"/>
              </w:rPr>
              <w:t>23</w:t>
            </w:r>
            <w:r w:rsidRPr="00527BAA">
              <w:rPr>
                <w:sz w:val="22"/>
              </w:rPr>
              <w:br/>
              <w:t>(45.1%)</w:t>
            </w:r>
          </w:p>
        </w:tc>
        <w:tc>
          <w:tcPr>
            <w:tcW w:w="1162" w:type="dxa"/>
            <w:tcBorders>
              <w:top w:val="single" w:sz="4" w:space="0" w:color="auto"/>
              <w:left w:val="single" w:sz="4" w:space="0" w:color="auto"/>
              <w:bottom w:val="single" w:sz="4" w:space="0" w:color="auto"/>
              <w:right w:val="single" w:sz="4" w:space="0" w:color="auto"/>
            </w:tcBorders>
          </w:tcPr>
          <w:p w14:paraId="1E885650" w14:textId="5752621B" w:rsidR="004D1E35" w:rsidRPr="00527BAA" w:rsidRDefault="004D1E35" w:rsidP="004D1E35">
            <w:pPr>
              <w:spacing w:before="60" w:after="60" w:line="240" w:lineRule="auto"/>
              <w:jc w:val="center"/>
              <w:rPr>
                <w:sz w:val="22"/>
              </w:rPr>
            </w:pPr>
            <w:r w:rsidRPr="00527BAA">
              <w:rPr>
                <w:sz w:val="22"/>
              </w:rPr>
              <w:t>3</w:t>
            </w:r>
            <w:r w:rsidRPr="00527BAA">
              <w:rPr>
                <w:sz w:val="22"/>
              </w:rPr>
              <w:br/>
              <w:t>(5.9%)</w:t>
            </w:r>
          </w:p>
        </w:tc>
        <w:tc>
          <w:tcPr>
            <w:tcW w:w="1224" w:type="dxa"/>
            <w:tcBorders>
              <w:top w:val="single" w:sz="4" w:space="0" w:color="auto"/>
              <w:left w:val="single" w:sz="4" w:space="0" w:color="auto"/>
              <w:bottom w:val="single" w:sz="4" w:space="0" w:color="auto"/>
              <w:right w:val="single" w:sz="4" w:space="0" w:color="auto"/>
            </w:tcBorders>
          </w:tcPr>
          <w:p w14:paraId="6F63EF5C" w14:textId="04C081C1" w:rsidR="004D1E35" w:rsidRPr="00527BAA" w:rsidRDefault="004D1E35" w:rsidP="004D1E35">
            <w:pPr>
              <w:spacing w:before="60" w:after="60" w:line="240" w:lineRule="auto"/>
              <w:jc w:val="center"/>
              <w:rPr>
                <w:sz w:val="22"/>
              </w:rPr>
            </w:pPr>
            <w:r w:rsidRPr="00527BAA">
              <w:rPr>
                <w:sz w:val="22"/>
              </w:rPr>
              <w:t>25</w:t>
            </w:r>
            <w:r w:rsidRPr="00527BAA">
              <w:rPr>
                <w:sz w:val="22"/>
              </w:rPr>
              <w:br/>
              <w:t>(49.0%)</w:t>
            </w:r>
          </w:p>
        </w:tc>
        <w:tc>
          <w:tcPr>
            <w:tcW w:w="906" w:type="dxa"/>
            <w:tcBorders>
              <w:top w:val="single" w:sz="4" w:space="0" w:color="auto"/>
              <w:left w:val="single" w:sz="4" w:space="0" w:color="auto"/>
              <w:bottom w:val="single" w:sz="4" w:space="0" w:color="auto"/>
              <w:right w:val="single" w:sz="4" w:space="0" w:color="auto"/>
            </w:tcBorders>
          </w:tcPr>
          <w:p w14:paraId="67E29461" w14:textId="17D44B7A" w:rsidR="004D1E35" w:rsidRPr="00527BAA" w:rsidRDefault="004D1E35" w:rsidP="004D1E35">
            <w:pPr>
              <w:spacing w:before="60" w:after="60" w:line="240" w:lineRule="auto"/>
              <w:jc w:val="center"/>
              <w:rPr>
                <w:sz w:val="22"/>
              </w:rPr>
            </w:pPr>
            <w:r w:rsidRPr="00527BAA">
              <w:rPr>
                <w:sz w:val="22"/>
              </w:rPr>
              <w:t>51</w:t>
            </w:r>
          </w:p>
        </w:tc>
      </w:tr>
      <w:tr w:rsidR="004D1E35" w:rsidRPr="00527BAA" w14:paraId="5CA21C31" w14:textId="77777777" w:rsidTr="004D1E35">
        <w:trPr>
          <w:trHeight w:val="622"/>
        </w:trPr>
        <w:tc>
          <w:tcPr>
            <w:tcW w:w="4686" w:type="dxa"/>
            <w:tcBorders>
              <w:top w:val="single" w:sz="4" w:space="0" w:color="auto"/>
              <w:left w:val="single" w:sz="4" w:space="0" w:color="auto"/>
              <w:bottom w:val="single" w:sz="4" w:space="0" w:color="auto"/>
              <w:right w:val="single" w:sz="4" w:space="0" w:color="auto"/>
            </w:tcBorders>
          </w:tcPr>
          <w:p w14:paraId="1897A531" w14:textId="4A8FB113" w:rsidR="004D1E35" w:rsidRPr="00527BAA" w:rsidRDefault="004D1E35" w:rsidP="004D1E35">
            <w:pPr>
              <w:spacing w:before="60" w:after="60" w:line="240" w:lineRule="auto"/>
              <w:rPr>
                <w:rFonts w:cs="Arial"/>
                <w:sz w:val="22"/>
              </w:rPr>
            </w:pPr>
            <w:r w:rsidRPr="00527BAA">
              <w:rPr>
                <w:sz w:val="22"/>
              </w:rPr>
              <w:t>Indicator 3: Nutritional status monitoring in primary care after bariatric surgery (all patients)</w:t>
            </w:r>
          </w:p>
        </w:tc>
        <w:tc>
          <w:tcPr>
            <w:tcW w:w="1231" w:type="dxa"/>
            <w:tcBorders>
              <w:top w:val="single" w:sz="4" w:space="0" w:color="auto"/>
              <w:left w:val="single" w:sz="4" w:space="0" w:color="auto"/>
              <w:bottom w:val="single" w:sz="4" w:space="0" w:color="auto"/>
              <w:right w:val="single" w:sz="4" w:space="0" w:color="auto"/>
            </w:tcBorders>
          </w:tcPr>
          <w:p w14:paraId="0CA91801" w14:textId="7DA32371" w:rsidR="004D1E35" w:rsidRPr="00527BAA" w:rsidRDefault="004D1E35" w:rsidP="004D1E35">
            <w:pPr>
              <w:spacing w:before="60" w:after="60" w:line="240" w:lineRule="auto"/>
              <w:jc w:val="center"/>
              <w:rPr>
                <w:sz w:val="22"/>
              </w:rPr>
            </w:pPr>
            <w:r w:rsidRPr="00527BAA">
              <w:rPr>
                <w:sz w:val="22"/>
              </w:rPr>
              <w:t>18</w:t>
            </w:r>
            <w:r w:rsidRPr="00527BAA">
              <w:rPr>
                <w:sz w:val="22"/>
              </w:rPr>
              <w:br/>
              <w:t>(35.3%)</w:t>
            </w:r>
          </w:p>
        </w:tc>
        <w:tc>
          <w:tcPr>
            <w:tcW w:w="1162" w:type="dxa"/>
            <w:tcBorders>
              <w:top w:val="single" w:sz="4" w:space="0" w:color="auto"/>
              <w:left w:val="single" w:sz="4" w:space="0" w:color="auto"/>
              <w:bottom w:val="single" w:sz="4" w:space="0" w:color="auto"/>
              <w:right w:val="single" w:sz="4" w:space="0" w:color="auto"/>
            </w:tcBorders>
          </w:tcPr>
          <w:p w14:paraId="4E0A919D" w14:textId="1B26E8E0" w:rsidR="004D1E35" w:rsidRPr="00527BAA" w:rsidRDefault="004D1E35" w:rsidP="004D1E35">
            <w:pPr>
              <w:spacing w:before="60" w:after="60" w:line="240" w:lineRule="auto"/>
              <w:jc w:val="center"/>
              <w:rPr>
                <w:sz w:val="22"/>
              </w:rPr>
            </w:pPr>
            <w:r w:rsidRPr="00527BAA">
              <w:rPr>
                <w:sz w:val="22"/>
              </w:rPr>
              <w:t>2</w:t>
            </w:r>
            <w:r w:rsidRPr="00527BAA">
              <w:rPr>
                <w:sz w:val="22"/>
              </w:rPr>
              <w:br/>
              <w:t>(3.9%)</w:t>
            </w:r>
          </w:p>
        </w:tc>
        <w:tc>
          <w:tcPr>
            <w:tcW w:w="1224" w:type="dxa"/>
            <w:tcBorders>
              <w:top w:val="single" w:sz="4" w:space="0" w:color="auto"/>
              <w:left w:val="single" w:sz="4" w:space="0" w:color="auto"/>
              <w:bottom w:val="single" w:sz="4" w:space="0" w:color="auto"/>
              <w:right w:val="single" w:sz="4" w:space="0" w:color="auto"/>
            </w:tcBorders>
          </w:tcPr>
          <w:p w14:paraId="0681172B" w14:textId="7D7AC6C2" w:rsidR="004D1E35" w:rsidRPr="00527BAA" w:rsidRDefault="004D1E35" w:rsidP="004D1E35">
            <w:pPr>
              <w:spacing w:before="60" w:after="60" w:line="240" w:lineRule="auto"/>
              <w:jc w:val="center"/>
              <w:rPr>
                <w:sz w:val="22"/>
              </w:rPr>
            </w:pPr>
            <w:r w:rsidRPr="00527BAA">
              <w:rPr>
                <w:sz w:val="22"/>
              </w:rPr>
              <w:t>31</w:t>
            </w:r>
            <w:r w:rsidRPr="00527BAA">
              <w:rPr>
                <w:sz w:val="22"/>
              </w:rPr>
              <w:br/>
              <w:t>(60.8%)</w:t>
            </w:r>
          </w:p>
        </w:tc>
        <w:tc>
          <w:tcPr>
            <w:tcW w:w="906" w:type="dxa"/>
            <w:tcBorders>
              <w:top w:val="single" w:sz="4" w:space="0" w:color="auto"/>
              <w:left w:val="single" w:sz="4" w:space="0" w:color="auto"/>
              <w:bottom w:val="single" w:sz="4" w:space="0" w:color="auto"/>
              <w:right w:val="single" w:sz="4" w:space="0" w:color="auto"/>
            </w:tcBorders>
          </w:tcPr>
          <w:p w14:paraId="21628C03" w14:textId="55AD5669" w:rsidR="004D1E35" w:rsidRPr="00527BAA" w:rsidRDefault="004D1E35" w:rsidP="004D1E35">
            <w:pPr>
              <w:spacing w:before="60" w:after="60" w:line="240" w:lineRule="auto"/>
              <w:jc w:val="center"/>
              <w:rPr>
                <w:sz w:val="22"/>
              </w:rPr>
            </w:pPr>
            <w:r w:rsidRPr="00527BAA">
              <w:rPr>
                <w:sz w:val="22"/>
              </w:rPr>
              <w:t>51</w:t>
            </w:r>
          </w:p>
        </w:tc>
      </w:tr>
      <w:tr w:rsidR="004D1E35" w:rsidRPr="00527BAA" w14:paraId="145F0953" w14:textId="77777777" w:rsidTr="004D1E35">
        <w:trPr>
          <w:trHeight w:val="622"/>
        </w:trPr>
        <w:tc>
          <w:tcPr>
            <w:tcW w:w="4686" w:type="dxa"/>
            <w:tcBorders>
              <w:top w:val="single" w:sz="4" w:space="0" w:color="auto"/>
              <w:left w:val="single" w:sz="4" w:space="0" w:color="auto"/>
              <w:bottom w:val="single" w:sz="4" w:space="0" w:color="auto"/>
              <w:right w:val="single" w:sz="4" w:space="0" w:color="auto"/>
            </w:tcBorders>
          </w:tcPr>
          <w:p w14:paraId="7BA75183" w14:textId="05891506" w:rsidR="004D1E35" w:rsidRPr="00527BAA" w:rsidRDefault="004D1E35" w:rsidP="004D1E35">
            <w:pPr>
              <w:spacing w:before="60" w:after="60" w:line="240" w:lineRule="auto"/>
              <w:rPr>
                <w:rFonts w:cs="Arial"/>
                <w:sz w:val="22"/>
              </w:rPr>
            </w:pPr>
            <w:r w:rsidRPr="00527BAA">
              <w:rPr>
                <w:sz w:val="22"/>
              </w:rPr>
              <w:t>Indicator 4: Nutritional status monitoring in primary care after bariatric surgery (new patients)</w:t>
            </w:r>
          </w:p>
        </w:tc>
        <w:tc>
          <w:tcPr>
            <w:tcW w:w="1231" w:type="dxa"/>
            <w:tcBorders>
              <w:top w:val="single" w:sz="4" w:space="0" w:color="auto"/>
              <w:left w:val="single" w:sz="4" w:space="0" w:color="auto"/>
              <w:bottom w:val="single" w:sz="4" w:space="0" w:color="auto"/>
              <w:right w:val="single" w:sz="4" w:space="0" w:color="auto"/>
            </w:tcBorders>
          </w:tcPr>
          <w:p w14:paraId="5CEF1084" w14:textId="1B642853" w:rsidR="004D1E35" w:rsidRPr="00527BAA" w:rsidRDefault="004D1E35" w:rsidP="004D1E35">
            <w:pPr>
              <w:spacing w:before="60" w:after="60" w:line="240" w:lineRule="auto"/>
              <w:jc w:val="center"/>
              <w:rPr>
                <w:sz w:val="22"/>
              </w:rPr>
            </w:pPr>
            <w:r w:rsidRPr="00527BAA">
              <w:rPr>
                <w:sz w:val="22"/>
              </w:rPr>
              <w:t>17</w:t>
            </w:r>
            <w:r w:rsidRPr="00527BAA">
              <w:rPr>
                <w:sz w:val="22"/>
              </w:rPr>
              <w:br/>
              <w:t>(33.3%)</w:t>
            </w:r>
          </w:p>
        </w:tc>
        <w:tc>
          <w:tcPr>
            <w:tcW w:w="1162" w:type="dxa"/>
            <w:tcBorders>
              <w:top w:val="single" w:sz="4" w:space="0" w:color="auto"/>
              <w:left w:val="single" w:sz="4" w:space="0" w:color="auto"/>
              <w:bottom w:val="single" w:sz="4" w:space="0" w:color="auto"/>
              <w:right w:val="single" w:sz="4" w:space="0" w:color="auto"/>
            </w:tcBorders>
          </w:tcPr>
          <w:p w14:paraId="5A597098" w14:textId="796D739D" w:rsidR="004D1E35" w:rsidRPr="00527BAA" w:rsidRDefault="004D1E35" w:rsidP="004D1E35">
            <w:pPr>
              <w:spacing w:before="60" w:after="60" w:line="240" w:lineRule="auto"/>
              <w:jc w:val="center"/>
              <w:rPr>
                <w:sz w:val="22"/>
              </w:rPr>
            </w:pPr>
            <w:r w:rsidRPr="00527BAA">
              <w:rPr>
                <w:sz w:val="22"/>
              </w:rPr>
              <w:t>2</w:t>
            </w:r>
            <w:r w:rsidRPr="00527BAA">
              <w:rPr>
                <w:sz w:val="22"/>
              </w:rPr>
              <w:br/>
              <w:t>(3.9%)</w:t>
            </w:r>
          </w:p>
        </w:tc>
        <w:tc>
          <w:tcPr>
            <w:tcW w:w="1224" w:type="dxa"/>
            <w:tcBorders>
              <w:top w:val="single" w:sz="4" w:space="0" w:color="auto"/>
              <w:left w:val="single" w:sz="4" w:space="0" w:color="auto"/>
              <w:bottom w:val="single" w:sz="4" w:space="0" w:color="auto"/>
              <w:right w:val="single" w:sz="4" w:space="0" w:color="auto"/>
            </w:tcBorders>
          </w:tcPr>
          <w:p w14:paraId="34414C7D" w14:textId="556949D6" w:rsidR="004D1E35" w:rsidRPr="00527BAA" w:rsidRDefault="004D1E35" w:rsidP="004D1E35">
            <w:pPr>
              <w:spacing w:before="60" w:after="60" w:line="240" w:lineRule="auto"/>
              <w:jc w:val="center"/>
              <w:rPr>
                <w:sz w:val="22"/>
              </w:rPr>
            </w:pPr>
            <w:r w:rsidRPr="00527BAA">
              <w:rPr>
                <w:sz w:val="22"/>
              </w:rPr>
              <w:t>32</w:t>
            </w:r>
            <w:r w:rsidRPr="00527BAA">
              <w:rPr>
                <w:sz w:val="22"/>
              </w:rPr>
              <w:br/>
              <w:t>(62.7%)</w:t>
            </w:r>
          </w:p>
        </w:tc>
        <w:tc>
          <w:tcPr>
            <w:tcW w:w="906" w:type="dxa"/>
            <w:tcBorders>
              <w:top w:val="single" w:sz="4" w:space="0" w:color="auto"/>
              <w:left w:val="single" w:sz="4" w:space="0" w:color="auto"/>
              <w:bottom w:val="single" w:sz="4" w:space="0" w:color="auto"/>
              <w:right w:val="single" w:sz="4" w:space="0" w:color="auto"/>
            </w:tcBorders>
          </w:tcPr>
          <w:p w14:paraId="48202602" w14:textId="0E1BB54E" w:rsidR="004D1E35" w:rsidRPr="00527BAA" w:rsidRDefault="004D1E35" w:rsidP="004D1E35">
            <w:pPr>
              <w:spacing w:before="60" w:after="60" w:line="240" w:lineRule="auto"/>
              <w:jc w:val="center"/>
              <w:rPr>
                <w:sz w:val="22"/>
              </w:rPr>
            </w:pPr>
            <w:r w:rsidRPr="00527BAA">
              <w:rPr>
                <w:sz w:val="22"/>
              </w:rPr>
              <w:t>51</w:t>
            </w:r>
          </w:p>
        </w:tc>
      </w:tr>
    </w:tbl>
    <w:p w14:paraId="7E7B937E" w14:textId="77777777" w:rsidR="0094530C" w:rsidRPr="00CB5DF2" w:rsidRDefault="0094530C" w:rsidP="0094530C">
      <w:pPr>
        <w:spacing w:line="312" w:lineRule="auto"/>
        <w:rPr>
          <w:sz w:val="22"/>
        </w:rPr>
      </w:pPr>
      <w:r w:rsidRPr="00CB5DF2">
        <w:rPr>
          <w:sz w:val="22"/>
        </w:rPr>
        <w:t>Please note where percentages do not total 100%, this is as a result of rounding.</w:t>
      </w:r>
    </w:p>
    <w:p w14:paraId="691594E0" w14:textId="65D64F31" w:rsidR="009829E5" w:rsidRDefault="009829E5" w:rsidP="009829E5">
      <w:r>
        <w:t xml:space="preserve">Interviewee views were mixed on the topic of the exclusion of patients with learning disabilities from indicator 1 (weight management advice). Three GPs tentatively suggested these patients should be excluded, however in one interview, this exclusion’s potential to widen health inequalities was raised by the interviewer in response. The discussion then covered whether some of these patients would be less likely to engage with the referral and whether they could process the necessary information given. However, the conversation concluded that the process would maybe need to be tailored to as required (for example to include a carer) and that in order to address health inequalities </w:t>
      </w:r>
      <w:r w:rsidRPr="00E06F46">
        <w:t>vulnerable groups should be included in any initiatives that could benefit their health.</w:t>
      </w:r>
    </w:p>
    <w:p w14:paraId="17F8EE66" w14:textId="7BC851F6" w:rsidR="004246A2" w:rsidRDefault="00F023A7" w:rsidP="009829E5">
      <w:r>
        <w:t>Interviewees agreed that the opportunistic approach proposed for indicator 1 could result in gender inequalities as young, otherwise healthy women are more likely to have reason to attend a GP practice than their male counterparts.</w:t>
      </w:r>
    </w:p>
    <w:p w14:paraId="5A2A6D97" w14:textId="0D61149F" w:rsidR="00E46F9B" w:rsidRPr="0094684B" w:rsidRDefault="00FD2694" w:rsidP="00AA0981">
      <w:pPr>
        <w:pStyle w:val="Heading2"/>
      </w:pPr>
      <w:bookmarkStart w:id="26" w:name="_Toc198538523"/>
      <w:r w:rsidRPr="0094684B">
        <w:t>O</w:t>
      </w:r>
      <w:r w:rsidR="000A7674" w:rsidRPr="0094684B">
        <w:t xml:space="preserve">ther overall views on implementation of the indicators (including unintended </w:t>
      </w:r>
      <w:r w:rsidRPr="0094684B">
        <w:t>consequences)</w:t>
      </w:r>
      <w:bookmarkEnd w:id="26"/>
    </w:p>
    <w:p w14:paraId="7E785CC6" w14:textId="66BA557F" w:rsidR="000D6A93" w:rsidRDefault="00914C1A" w:rsidP="00B436BC">
      <w:r w:rsidRPr="00B436BC">
        <w:t>The views of</w:t>
      </w:r>
      <w:r w:rsidR="000D6A93" w:rsidRPr="00B436BC">
        <w:t xml:space="preserve"> survey respondents </w:t>
      </w:r>
      <w:r w:rsidRPr="00B436BC">
        <w:t>were mixed on</w:t>
      </w:r>
      <w:r w:rsidR="000D6A93" w:rsidRPr="00B436BC">
        <w:t xml:space="preserve"> </w:t>
      </w:r>
      <w:r w:rsidRPr="00B436BC">
        <w:t xml:space="preserve">potential </w:t>
      </w:r>
      <w:r w:rsidR="000D6A93" w:rsidRPr="00B436BC">
        <w:t xml:space="preserve">unintended (positive or negative) consequences </w:t>
      </w:r>
      <w:r w:rsidRPr="00B436BC">
        <w:t>of the indicators</w:t>
      </w:r>
      <w:r w:rsidR="00DA5577">
        <w:t xml:space="preserve"> (Table 12)</w:t>
      </w:r>
      <w:r w:rsidRPr="00B436BC">
        <w:t xml:space="preserve">. </w:t>
      </w:r>
      <w:r w:rsidR="00B436BC" w:rsidRPr="00B436BC">
        <w:t>For indicators 1 and 2, more respondents anticipated negative unintended consequences than positive (27.5%, 14/51 for</w:t>
      </w:r>
      <w:r w:rsidR="00B436BC">
        <w:t xml:space="preserve"> indicator 1 and 31.4%, 16/51 for indicator 2). For these indicators, about </w:t>
      </w:r>
      <w:r w:rsidR="00B436BC">
        <w:lastRenderedPageBreak/>
        <w:t xml:space="preserve">the same proportions again thought there would be no </w:t>
      </w:r>
      <w:r w:rsidR="00B436BC" w:rsidRPr="00B436BC">
        <w:t>unintended consequences</w:t>
      </w:r>
      <w:r w:rsidR="00B436BC">
        <w:t>, and over a quarter were unsure.</w:t>
      </w:r>
    </w:p>
    <w:p w14:paraId="3CCB8880" w14:textId="614E2AF0" w:rsidR="00B436BC" w:rsidRDefault="00B436BC" w:rsidP="00B436BC">
      <w:r>
        <w:t>For indicators</w:t>
      </w:r>
      <w:r w:rsidR="00042754">
        <w:t xml:space="preserve"> </w:t>
      </w:r>
      <w:r w:rsidR="00A214D5">
        <w:t>3</w:t>
      </w:r>
      <w:r>
        <w:t xml:space="preserve"> and 4, about 40% of respondents</w:t>
      </w:r>
      <w:r w:rsidRPr="00B436BC">
        <w:t xml:space="preserve"> </w:t>
      </w:r>
      <w:r>
        <w:t xml:space="preserve">thought there would be no </w:t>
      </w:r>
      <w:r w:rsidRPr="00B436BC">
        <w:t xml:space="preserve">unintended consequences, and over a quarter in both cases were unsure. For indicators 3 and 4, </w:t>
      </w:r>
      <w:r w:rsidR="00A214D5">
        <w:t xml:space="preserve">slightly </w:t>
      </w:r>
      <w:r w:rsidRPr="00B436BC">
        <w:t xml:space="preserve">more </w:t>
      </w:r>
      <w:r>
        <w:t xml:space="preserve">respondents anticipated positive </w:t>
      </w:r>
      <w:r w:rsidRPr="00B436BC">
        <w:t>unintended consequences</w:t>
      </w:r>
      <w:r>
        <w:t xml:space="preserve"> than negative.</w:t>
      </w:r>
    </w:p>
    <w:p w14:paraId="2A788AD6" w14:textId="11607740" w:rsidR="00903A9F" w:rsidRDefault="00903A9F" w:rsidP="00EC0D33">
      <w:pPr>
        <w:spacing w:line="276" w:lineRule="auto"/>
        <w:rPr>
          <w:u w:val="single"/>
        </w:rPr>
      </w:pPr>
      <w:r w:rsidRPr="004B4482">
        <w:rPr>
          <w:u w:val="single"/>
        </w:rPr>
        <w:t>Table</w:t>
      </w:r>
      <w:r>
        <w:rPr>
          <w:u w:val="single"/>
        </w:rPr>
        <w:t xml:space="preserve"> 1</w:t>
      </w:r>
      <w:r w:rsidR="0094684B">
        <w:rPr>
          <w:u w:val="single"/>
        </w:rPr>
        <w:t>2</w:t>
      </w:r>
      <w:r w:rsidRPr="004B4482">
        <w:rPr>
          <w:u w:val="single"/>
        </w:rPr>
        <w:t xml:space="preserve">: Views on </w:t>
      </w:r>
      <w:r>
        <w:rPr>
          <w:u w:val="single"/>
        </w:rPr>
        <w:t>potential unintended consequences relating to the indicator</w:t>
      </w:r>
      <w:r w:rsidR="001A198C">
        <w:rPr>
          <w:u w:val="single"/>
        </w:rPr>
        <w:t>s</w:t>
      </w:r>
      <w:r>
        <w:rPr>
          <w:u w:val="single"/>
        </w:rPr>
        <w:t xml:space="preserve"> </w:t>
      </w:r>
      <w:r w:rsidRPr="004B4482">
        <w:rPr>
          <w:u w:val="single"/>
        </w:rPr>
        <w:t>(survey)</w:t>
      </w:r>
    </w:p>
    <w:p w14:paraId="6FD9BB17" w14:textId="0EEB4F34" w:rsidR="00780FA2" w:rsidRPr="000774F0" w:rsidRDefault="00780FA2" w:rsidP="00780FA2">
      <w:pPr>
        <w:spacing w:line="276" w:lineRule="auto"/>
        <w:rPr>
          <w:u w:val="single"/>
        </w:rPr>
      </w:pPr>
      <w:r w:rsidRPr="008C7154">
        <w:rPr>
          <w:rFonts w:cs="Arial"/>
          <w:b/>
          <w:bCs/>
          <w:color w:val="010205"/>
          <w:sz w:val="22"/>
        </w:rPr>
        <w:t>Are there any unintended positive or negative consequences that you can think of that could be experienced locally if these indicators were introduced nationally?</w:t>
      </w:r>
    </w:p>
    <w:tbl>
      <w:tblPr>
        <w:tblStyle w:val="TableGrid"/>
        <w:tblW w:w="9634" w:type="dxa"/>
        <w:tblLook w:val="04A0" w:firstRow="1" w:lastRow="0" w:firstColumn="1" w:lastColumn="0" w:noHBand="0" w:noVBand="1"/>
      </w:tblPr>
      <w:tblGrid>
        <w:gridCol w:w="4248"/>
        <w:gridCol w:w="1134"/>
        <w:gridCol w:w="1276"/>
        <w:gridCol w:w="1134"/>
        <w:gridCol w:w="1134"/>
        <w:gridCol w:w="708"/>
      </w:tblGrid>
      <w:tr w:rsidR="00903A9F" w:rsidRPr="00527BAA" w14:paraId="396BCFB8" w14:textId="77777777" w:rsidTr="00DD28EC">
        <w:tc>
          <w:tcPr>
            <w:tcW w:w="4248" w:type="dxa"/>
            <w:tcBorders>
              <w:top w:val="single" w:sz="4" w:space="0" w:color="auto"/>
              <w:left w:val="single" w:sz="4" w:space="0" w:color="auto"/>
              <w:bottom w:val="single" w:sz="4" w:space="0" w:color="auto"/>
              <w:right w:val="single" w:sz="4" w:space="0" w:color="auto"/>
            </w:tcBorders>
          </w:tcPr>
          <w:p w14:paraId="08BF04E1" w14:textId="77777777" w:rsidR="00903A9F" w:rsidRPr="00527BAA" w:rsidRDefault="00903A9F" w:rsidP="00DD28EC">
            <w:pPr>
              <w:spacing w:before="60" w:after="60" w:line="240" w:lineRule="auto"/>
              <w:rPr>
                <w:sz w:val="22"/>
              </w:rPr>
            </w:pPr>
          </w:p>
        </w:tc>
        <w:tc>
          <w:tcPr>
            <w:tcW w:w="1134" w:type="dxa"/>
            <w:tcBorders>
              <w:top w:val="single" w:sz="4" w:space="0" w:color="auto"/>
              <w:left w:val="single" w:sz="4" w:space="0" w:color="auto"/>
              <w:bottom w:val="single" w:sz="4" w:space="0" w:color="auto"/>
              <w:right w:val="single" w:sz="4" w:space="0" w:color="auto"/>
            </w:tcBorders>
            <w:hideMark/>
          </w:tcPr>
          <w:p w14:paraId="232AF1CC" w14:textId="77777777" w:rsidR="00903A9F" w:rsidRPr="00527BAA" w:rsidRDefault="00903A9F" w:rsidP="00DD28EC">
            <w:pPr>
              <w:spacing w:before="60" w:after="60" w:line="240" w:lineRule="auto"/>
              <w:jc w:val="center"/>
              <w:rPr>
                <w:sz w:val="22"/>
              </w:rPr>
            </w:pPr>
            <w:r w:rsidRPr="00527BAA">
              <w:rPr>
                <w:sz w:val="22"/>
              </w:rPr>
              <w:t>Yes, positive</w:t>
            </w:r>
          </w:p>
        </w:tc>
        <w:tc>
          <w:tcPr>
            <w:tcW w:w="1276" w:type="dxa"/>
            <w:tcBorders>
              <w:top w:val="single" w:sz="4" w:space="0" w:color="auto"/>
              <w:left w:val="single" w:sz="4" w:space="0" w:color="auto"/>
              <w:bottom w:val="single" w:sz="4" w:space="0" w:color="auto"/>
              <w:right w:val="single" w:sz="4" w:space="0" w:color="auto"/>
            </w:tcBorders>
            <w:hideMark/>
          </w:tcPr>
          <w:p w14:paraId="418AF294" w14:textId="77777777" w:rsidR="00903A9F" w:rsidRPr="00527BAA" w:rsidRDefault="00903A9F" w:rsidP="00DD28EC">
            <w:pPr>
              <w:spacing w:before="60" w:after="60" w:line="240" w:lineRule="auto"/>
              <w:jc w:val="center"/>
              <w:rPr>
                <w:sz w:val="22"/>
              </w:rPr>
            </w:pPr>
            <w:r w:rsidRPr="00527BAA">
              <w:rPr>
                <w:sz w:val="22"/>
              </w:rPr>
              <w:t xml:space="preserve">Yes, negative </w:t>
            </w:r>
          </w:p>
        </w:tc>
        <w:tc>
          <w:tcPr>
            <w:tcW w:w="1134" w:type="dxa"/>
            <w:tcBorders>
              <w:top w:val="single" w:sz="4" w:space="0" w:color="auto"/>
              <w:left w:val="single" w:sz="4" w:space="0" w:color="auto"/>
              <w:bottom w:val="single" w:sz="4" w:space="0" w:color="auto"/>
              <w:right w:val="single" w:sz="4" w:space="0" w:color="auto"/>
            </w:tcBorders>
            <w:hideMark/>
          </w:tcPr>
          <w:p w14:paraId="0A88FEF2" w14:textId="77777777" w:rsidR="00903A9F" w:rsidRPr="00527BAA" w:rsidRDefault="00903A9F" w:rsidP="00DD28EC">
            <w:pPr>
              <w:spacing w:before="60" w:after="60" w:line="240" w:lineRule="auto"/>
              <w:jc w:val="center"/>
              <w:rPr>
                <w:sz w:val="22"/>
              </w:rPr>
            </w:pPr>
            <w:r w:rsidRPr="00527BAA">
              <w:rPr>
                <w:sz w:val="22"/>
              </w:rPr>
              <w:t>No</w:t>
            </w:r>
          </w:p>
        </w:tc>
        <w:tc>
          <w:tcPr>
            <w:tcW w:w="1134" w:type="dxa"/>
            <w:tcBorders>
              <w:top w:val="single" w:sz="4" w:space="0" w:color="auto"/>
              <w:left w:val="single" w:sz="4" w:space="0" w:color="auto"/>
              <w:bottom w:val="single" w:sz="4" w:space="0" w:color="auto"/>
              <w:right w:val="single" w:sz="4" w:space="0" w:color="auto"/>
            </w:tcBorders>
          </w:tcPr>
          <w:p w14:paraId="44A941F6" w14:textId="77777777" w:rsidR="00903A9F" w:rsidRPr="00527BAA" w:rsidRDefault="00903A9F" w:rsidP="00DD28EC">
            <w:pPr>
              <w:spacing w:before="60" w:after="60" w:line="240" w:lineRule="auto"/>
              <w:jc w:val="center"/>
              <w:rPr>
                <w:sz w:val="22"/>
              </w:rPr>
            </w:pPr>
            <w:r w:rsidRPr="00527BAA">
              <w:rPr>
                <w:sz w:val="22"/>
              </w:rPr>
              <w:t>Unsure</w:t>
            </w:r>
          </w:p>
        </w:tc>
        <w:tc>
          <w:tcPr>
            <w:tcW w:w="708" w:type="dxa"/>
            <w:tcBorders>
              <w:top w:val="single" w:sz="4" w:space="0" w:color="auto"/>
              <w:left w:val="single" w:sz="4" w:space="0" w:color="auto"/>
              <w:bottom w:val="single" w:sz="4" w:space="0" w:color="auto"/>
              <w:right w:val="single" w:sz="4" w:space="0" w:color="auto"/>
            </w:tcBorders>
            <w:hideMark/>
          </w:tcPr>
          <w:p w14:paraId="2C544F1D" w14:textId="77777777" w:rsidR="00903A9F" w:rsidRPr="00527BAA" w:rsidRDefault="00903A9F" w:rsidP="00DD28EC">
            <w:pPr>
              <w:spacing w:before="60" w:after="60" w:line="240" w:lineRule="auto"/>
              <w:jc w:val="center"/>
              <w:rPr>
                <w:sz w:val="22"/>
              </w:rPr>
            </w:pPr>
            <w:r w:rsidRPr="00527BAA">
              <w:rPr>
                <w:sz w:val="22"/>
              </w:rPr>
              <w:t>Total</w:t>
            </w:r>
          </w:p>
        </w:tc>
      </w:tr>
      <w:tr w:rsidR="00C3112F" w:rsidRPr="00527BAA" w14:paraId="7664ED67" w14:textId="77777777" w:rsidTr="00C3112F">
        <w:trPr>
          <w:trHeight w:val="804"/>
        </w:trPr>
        <w:tc>
          <w:tcPr>
            <w:tcW w:w="4248" w:type="dxa"/>
            <w:tcBorders>
              <w:top w:val="single" w:sz="4" w:space="0" w:color="auto"/>
              <w:left w:val="single" w:sz="4" w:space="0" w:color="auto"/>
              <w:bottom w:val="single" w:sz="4" w:space="0" w:color="auto"/>
              <w:right w:val="single" w:sz="4" w:space="0" w:color="auto"/>
            </w:tcBorders>
            <w:hideMark/>
          </w:tcPr>
          <w:p w14:paraId="780CAAEB" w14:textId="58D3BC1A" w:rsidR="00C3112F" w:rsidRPr="00527BAA" w:rsidRDefault="00C3112F" w:rsidP="00C3112F">
            <w:pPr>
              <w:spacing w:before="60" w:after="60" w:line="240" w:lineRule="auto"/>
              <w:rPr>
                <w:sz w:val="22"/>
              </w:rPr>
            </w:pPr>
            <w:r w:rsidRPr="00527BAA">
              <w:rPr>
                <w:sz w:val="22"/>
              </w:rPr>
              <w:t>Indicator 1: Weight management advice</w:t>
            </w:r>
          </w:p>
        </w:tc>
        <w:tc>
          <w:tcPr>
            <w:tcW w:w="1134" w:type="dxa"/>
            <w:tcBorders>
              <w:top w:val="single" w:sz="4" w:space="0" w:color="auto"/>
              <w:left w:val="single" w:sz="4" w:space="0" w:color="auto"/>
              <w:bottom w:val="single" w:sz="4" w:space="0" w:color="auto"/>
              <w:right w:val="single" w:sz="4" w:space="0" w:color="auto"/>
            </w:tcBorders>
          </w:tcPr>
          <w:p w14:paraId="15752BE1" w14:textId="118ECD7D" w:rsidR="00C3112F" w:rsidRPr="00527BAA" w:rsidRDefault="00C3112F" w:rsidP="00C3112F">
            <w:pPr>
              <w:spacing w:before="60" w:after="60" w:line="240" w:lineRule="auto"/>
              <w:jc w:val="center"/>
              <w:rPr>
                <w:rFonts w:cs="Arial"/>
                <w:sz w:val="22"/>
              </w:rPr>
            </w:pPr>
            <w:r w:rsidRPr="00527BAA">
              <w:rPr>
                <w:rFonts w:cs="Arial"/>
                <w:sz w:val="22"/>
              </w:rPr>
              <w:t>6</w:t>
            </w:r>
            <w:r w:rsidRPr="00527BAA">
              <w:rPr>
                <w:rFonts w:cs="Arial"/>
                <w:sz w:val="22"/>
              </w:rPr>
              <w:br/>
              <w:t>(11.8%)</w:t>
            </w:r>
          </w:p>
        </w:tc>
        <w:tc>
          <w:tcPr>
            <w:tcW w:w="1276" w:type="dxa"/>
            <w:tcBorders>
              <w:top w:val="single" w:sz="4" w:space="0" w:color="auto"/>
              <w:left w:val="single" w:sz="4" w:space="0" w:color="auto"/>
              <w:bottom w:val="single" w:sz="4" w:space="0" w:color="auto"/>
              <w:right w:val="single" w:sz="4" w:space="0" w:color="auto"/>
            </w:tcBorders>
          </w:tcPr>
          <w:p w14:paraId="4E8046EB" w14:textId="2E6DDDC6" w:rsidR="00C3112F" w:rsidRPr="00527BAA" w:rsidRDefault="00C3112F" w:rsidP="00C3112F">
            <w:pPr>
              <w:spacing w:before="60" w:after="60" w:line="240" w:lineRule="auto"/>
              <w:jc w:val="center"/>
              <w:rPr>
                <w:rFonts w:cs="Arial"/>
                <w:sz w:val="22"/>
              </w:rPr>
            </w:pPr>
            <w:r w:rsidRPr="00527BAA">
              <w:rPr>
                <w:rFonts w:cs="Arial"/>
                <w:sz w:val="22"/>
              </w:rPr>
              <w:t>14</w:t>
            </w:r>
            <w:r w:rsidRPr="00527BAA">
              <w:rPr>
                <w:rFonts w:cs="Arial"/>
                <w:sz w:val="22"/>
              </w:rPr>
              <w:br/>
              <w:t>(27.5%)</w:t>
            </w:r>
          </w:p>
        </w:tc>
        <w:tc>
          <w:tcPr>
            <w:tcW w:w="1134" w:type="dxa"/>
            <w:tcBorders>
              <w:top w:val="single" w:sz="4" w:space="0" w:color="auto"/>
              <w:left w:val="single" w:sz="4" w:space="0" w:color="auto"/>
              <w:bottom w:val="single" w:sz="4" w:space="0" w:color="auto"/>
              <w:right w:val="single" w:sz="4" w:space="0" w:color="auto"/>
            </w:tcBorders>
          </w:tcPr>
          <w:p w14:paraId="2EE06781" w14:textId="47E1B298" w:rsidR="00C3112F" w:rsidRPr="00527BAA" w:rsidRDefault="00C3112F" w:rsidP="00C3112F">
            <w:pPr>
              <w:spacing w:before="60" w:after="60" w:line="240" w:lineRule="auto"/>
              <w:jc w:val="center"/>
              <w:rPr>
                <w:rFonts w:cs="Arial"/>
                <w:sz w:val="22"/>
              </w:rPr>
            </w:pPr>
            <w:r w:rsidRPr="00527BAA">
              <w:rPr>
                <w:rFonts w:cs="Arial"/>
                <w:sz w:val="22"/>
              </w:rPr>
              <w:t>17</w:t>
            </w:r>
            <w:r w:rsidRPr="00527BAA">
              <w:rPr>
                <w:rFonts w:cs="Arial"/>
                <w:sz w:val="22"/>
              </w:rPr>
              <w:br/>
              <w:t>(33.3%)</w:t>
            </w:r>
          </w:p>
        </w:tc>
        <w:tc>
          <w:tcPr>
            <w:tcW w:w="1134" w:type="dxa"/>
            <w:tcBorders>
              <w:top w:val="single" w:sz="4" w:space="0" w:color="auto"/>
              <w:left w:val="single" w:sz="4" w:space="0" w:color="auto"/>
              <w:bottom w:val="single" w:sz="4" w:space="0" w:color="auto"/>
              <w:right w:val="single" w:sz="4" w:space="0" w:color="auto"/>
            </w:tcBorders>
          </w:tcPr>
          <w:p w14:paraId="0FFC7F29" w14:textId="388D5DDE" w:rsidR="00C3112F" w:rsidRPr="00527BAA" w:rsidRDefault="00C3112F" w:rsidP="00C3112F">
            <w:pPr>
              <w:spacing w:before="60" w:after="60" w:line="240" w:lineRule="auto"/>
              <w:jc w:val="center"/>
              <w:rPr>
                <w:rFonts w:cs="Arial"/>
                <w:sz w:val="22"/>
              </w:rPr>
            </w:pPr>
            <w:r w:rsidRPr="00527BAA">
              <w:rPr>
                <w:rFonts w:cs="Arial"/>
                <w:sz w:val="22"/>
              </w:rPr>
              <w:t>14</w:t>
            </w:r>
            <w:r w:rsidRPr="00527BAA">
              <w:rPr>
                <w:rFonts w:cs="Arial"/>
                <w:sz w:val="22"/>
              </w:rPr>
              <w:br/>
              <w:t>(27.5%)</w:t>
            </w:r>
          </w:p>
        </w:tc>
        <w:tc>
          <w:tcPr>
            <w:tcW w:w="708" w:type="dxa"/>
            <w:tcBorders>
              <w:top w:val="single" w:sz="4" w:space="0" w:color="auto"/>
              <w:left w:val="single" w:sz="4" w:space="0" w:color="auto"/>
              <w:bottom w:val="single" w:sz="4" w:space="0" w:color="auto"/>
              <w:right w:val="single" w:sz="4" w:space="0" w:color="auto"/>
            </w:tcBorders>
          </w:tcPr>
          <w:p w14:paraId="64A70482" w14:textId="4BDEF5DC" w:rsidR="00C3112F" w:rsidRPr="00527BAA" w:rsidRDefault="00C3112F" w:rsidP="00C3112F">
            <w:pPr>
              <w:spacing w:before="60" w:after="60" w:line="240" w:lineRule="auto"/>
              <w:jc w:val="center"/>
              <w:rPr>
                <w:sz w:val="22"/>
              </w:rPr>
            </w:pPr>
            <w:r w:rsidRPr="00527BAA">
              <w:rPr>
                <w:sz w:val="22"/>
              </w:rPr>
              <w:t>51</w:t>
            </w:r>
          </w:p>
        </w:tc>
      </w:tr>
      <w:tr w:rsidR="00C3112F" w:rsidRPr="00527BAA" w14:paraId="1A3721E8" w14:textId="77777777" w:rsidTr="00C3112F">
        <w:trPr>
          <w:trHeight w:val="804"/>
        </w:trPr>
        <w:tc>
          <w:tcPr>
            <w:tcW w:w="4248" w:type="dxa"/>
            <w:tcBorders>
              <w:top w:val="single" w:sz="4" w:space="0" w:color="auto"/>
              <w:left w:val="single" w:sz="4" w:space="0" w:color="auto"/>
              <w:bottom w:val="single" w:sz="4" w:space="0" w:color="auto"/>
              <w:right w:val="single" w:sz="4" w:space="0" w:color="auto"/>
            </w:tcBorders>
          </w:tcPr>
          <w:p w14:paraId="09483D06" w14:textId="4DE422A9" w:rsidR="00C3112F" w:rsidRPr="00527BAA" w:rsidRDefault="00C3112F" w:rsidP="00C3112F">
            <w:pPr>
              <w:spacing w:before="60" w:after="60" w:line="240" w:lineRule="auto"/>
              <w:rPr>
                <w:rFonts w:cs="Arial"/>
                <w:sz w:val="22"/>
              </w:rPr>
            </w:pPr>
            <w:r w:rsidRPr="00527BAA">
              <w:rPr>
                <w:sz w:val="22"/>
              </w:rPr>
              <w:t>Indicator 2: Referral for bariatric surgery</w:t>
            </w:r>
          </w:p>
        </w:tc>
        <w:tc>
          <w:tcPr>
            <w:tcW w:w="1134" w:type="dxa"/>
            <w:tcBorders>
              <w:top w:val="single" w:sz="4" w:space="0" w:color="auto"/>
              <w:left w:val="single" w:sz="4" w:space="0" w:color="auto"/>
              <w:bottom w:val="single" w:sz="4" w:space="0" w:color="auto"/>
              <w:right w:val="single" w:sz="4" w:space="0" w:color="auto"/>
            </w:tcBorders>
          </w:tcPr>
          <w:p w14:paraId="3359BFF6" w14:textId="2256CFAA" w:rsidR="00C3112F" w:rsidRPr="00527BAA" w:rsidRDefault="00C3112F" w:rsidP="00C3112F">
            <w:pPr>
              <w:spacing w:before="60" w:after="60" w:line="240" w:lineRule="auto"/>
              <w:jc w:val="center"/>
              <w:rPr>
                <w:rFonts w:cs="Arial"/>
                <w:sz w:val="22"/>
              </w:rPr>
            </w:pPr>
            <w:r w:rsidRPr="00527BAA">
              <w:rPr>
                <w:rFonts w:cs="Arial"/>
                <w:sz w:val="22"/>
              </w:rPr>
              <w:t>7</w:t>
            </w:r>
            <w:r w:rsidRPr="00527BAA">
              <w:rPr>
                <w:rFonts w:cs="Arial"/>
                <w:sz w:val="22"/>
              </w:rPr>
              <w:br/>
              <w:t>(13.7%)</w:t>
            </w:r>
          </w:p>
        </w:tc>
        <w:tc>
          <w:tcPr>
            <w:tcW w:w="1276" w:type="dxa"/>
            <w:tcBorders>
              <w:top w:val="single" w:sz="4" w:space="0" w:color="auto"/>
              <w:left w:val="single" w:sz="4" w:space="0" w:color="auto"/>
              <w:bottom w:val="single" w:sz="4" w:space="0" w:color="auto"/>
              <w:right w:val="single" w:sz="4" w:space="0" w:color="auto"/>
            </w:tcBorders>
          </w:tcPr>
          <w:p w14:paraId="1525FD5D" w14:textId="77696134" w:rsidR="00C3112F" w:rsidRPr="00527BAA" w:rsidRDefault="00C3112F" w:rsidP="00C3112F">
            <w:pPr>
              <w:spacing w:before="60" w:after="60" w:line="240" w:lineRule="auto"/>
              <w:jc w:val="center"/>
              <w:rPr>
                <w:rFonts w:cs="Arial"/>
                <w:sz w:val="22"/>
              </w:rPr>
            </w:pPr>
            <w:r w:rsidRPr="00527BAA">
              <w:rPr>
                <w:rFonts w:cs="Arial"/>
                <w:sz w:val="22"/>
              </w:rPr>
              <w:t>16</w:t>
            </w:r>
            <w:r w:rsidRPr="00527BAA">
              <w:rPr>
                <w:rFonts w:cs="Arial"/>
                <w:sz w:val="22"/>
              </w:rPr>
              <w:br/>
              <w:t>(31.4%)</w:t>
            </w:r>
          </w:p>
        </w:tc>
        <w:tc>
          <w:tcPr>
            <w:tcW w:w="1134" w:type="dxa"/>
            <w:tcBorders>
              <w:top w:val="single" w:sz="4" w:space="0" w:color="auto"/>
              <w:left w:val="single" w:sz="4" w:space="0" w:color="auto"/>
              <w:bottom w:val="single" w:sz="4" w:space="0" w:color="auto"/>
              <w:right w:val="single" w:sz="4" w:space="0" w:color="auto"/>
            </w:tcBorders>
          </w:tcPr>
          <w:p w14:paraId="6D7586B7" w14:textId="20C30DCA" w:rsidR="00C3112F" w:rsidRPr="00527BAA" w:rsidRDefault="00C3112F" w:rsidP="00C3112F">
            <w:pPr>
              <w:spacing w:before="60" w:after="60" w:line="240" w:lineRule="auto"/>
              <w:jc w:val="center"/>
              <w:rPr>
                <w:rFonts w:cs="Arial"/>
                <w:sz w:val="22"/>
              </w:rPr>
            </w:pPr>
            <w:r w:rsidRPr="00527BAA">
              <w:rPr>
                <w:rFonts w:cs="Arial"/>
                <w:sz w:val="22"/>
              </w:rPr>
              <w:t>15</w:t>
            </w:r>
            <w:r w:rsidRPr="00527BAA">
              <w:rPr>
                <w:rFonts w:cs="Arial"/>
                <w:sz w:val="22"/>
              </w:rPr>
              <w:br/>
              <w:t>(29.4%)</w:t>
            </w:r>
          </w:p>
        </w:tc>
        <w:tc>
          <w:tcPr>
            <w:tcW w:w="1134" w:type="dxa"/>
            <w:tcBorders>
              <w:top w:val="single" w:sz="4" w:space="0" w:color="auto"/>
              <w:left w:val="single" w:sz="4" w:space="0" w:color="auto"/>
              <w:bottom w:val="single" w:sz="4" w:space="0" w:color="auto"/>
              <w:right w:val="single" w:sz="4" w:space="0" w:color="auto"/>
            </w:tcBorders>
          </w:tcPr>
          <w:p w14:paraId="50BE0195" w14:textId="75F4C8A2" w:rsidR="00C3112F" w:rsidRPr="00527BAA" w:rsidRDefault="00C3112F" w:rsidP="00C3112F">
            <w:pPr>
              <w:spacing w:before="60" w:after="60" w:line="240" w:lineRule="auto"/>
              <w:jc w:val="center"/>
              <w:rPr>
                <w:rFonts w:cs="Arial"/>
                <w:sz w:val="22"/>
              </w:rPr>
            </w:pPr>
            <w:r w:rsidRPr="00527BAA">
              <w:rPr>
                <w:rFonts w:cs="Arial"/>
                <w:sz w:val="22"/>
              </w:rPr>
              <w:t>13</w:t>
            </w:r>
            <w:r w:rsidRPr="00527BAA">
              <w:rPr>
                <w:rFonts w:cs="Arial"/>
                <w:sz w:val="22"/>
              </w:rPr>
              <w:br/>
              <w:t>(25.5%)</w:t>
            </w:r>
          </w:p>
        </w:tc>
        <w:tc>
          <w:tcPr>
            <w:tcW w:w="708" w:type="dxa"/>
            <w:tcBorders>
              <w:top w:val="single" w:sz="4" w:space="0" w:color="auto"/>
              <w:left w:val="single" w:sz="4" w:space="0" w:color="auto"/>
              <w:bottom w:val="single" w:sz="4" w:space="0" w:color="auto"/>
              <w:right w:val="single" w:sz="4" w:space="0" w:color="auto"/>
            </w:tcBorders>
          </w:tcPr>
          <w:p w14:paraId="244F8892" w14:textId="3414A34C" w:rsidR="00C3112F" w:rsidRPr="00527BAA" w:rsidRDefault="00C3112F" w:rsidP="00C3112F">
            <w:pPr>
              <w:spacing w:before="60" w:after="60" w:line="240" w:lineRule="auto"/>
              <w:jc w:val="center"/>
              <w:rPr>
                <w:sz w:val="22"/>
              </w:rPr>
            </w:pPr>
            <w:r w:rsidRPr="00527BAA">
              <w:rPr>
                <w:sz w:val="22"/>
              </w:rPr>
              <w:t>51</w:t>
            </w:r>
          </w:p>
        </w:tc>
      </w:tr>
      <w:tr w:rsidR="00C3112F" w:rsidRPr="00527BAA" w14:paraId="1BE50B52" w14:textId="77777777" w:rsidTr="00C3112F">
        <w:trPr>
          <w:trHeight w:val="804"/>
        </w:trPr>
        <w:tc>
          <w:tcPr>
            <w:tcW w:w="4248" w:type="dxa"/>
            <w:tcBorders>
              <w:top w:val="single" w:sz="4" w:space="0" w:color="auto"/>
              <w:left w:val="single" w:sz="4" w:space="0" w:color="auto"/>
              <w:bottom w:val="single" w:sz="4" w:space="0" w:color="auto"/>
              <w:right w:val="single" w:sz="4" w:space="0" w:color="auto"/>
            </w:tcBorders>
          </w:tcPr>
          <w:p w14:paraId="313A0111" w14:textId="441298D7" w:rsidR="00C3112F" w:rsidRPr="00527BAA" w:rsidRDefault="00C3112F" w:rsidP="00C3112F">
            <w:pPr>
              <w:spacing w:before="60" w:after="60" w:line="240" w:lineRule="auto"/>
              <w:rPr>
                <w:rFonts w:cs="Arial"/>
                <w:sz w:val="22"/>
              </w:rPr>
            </w:pPr>
            <w:r w:rsidRPr="00527BAA">
              <w:rPr>
                <w:sz w:val="22"/>
              </w:rPr>
              <w:t>Indicator 3: Nutritional status monitoring in primary care after bariatric surgery (all patients)</w:t>
            </w:r>
          </w:p>
        </w:tc>
        <w:tc>
          <w:tcPr>
            <w:tcW w:w="1134" w:type="dxa"/>
            <w:tcBorders>
              <w:top w:val="single" w:sz="4" w:space="0" w:color="auto"/>
              <w:left w:val="single" w:sz="4" w:space="0" w:color="auto"/>
              <w:bottom w:val="single" w:sz="4" w:space="0" w:color="auto"/>
              <w:right w:val="single" w:sz="4" w:space="0" w:color="auto"/>
            </w:tcBorders>
          </w:tcPr>
          <w:p w14:paraId="1947B7EE" w14:textId="4AC1EF47" w:rsidR="00C3112F" w:rsidRPr="00527BAA" w:rsidRDefault="00C3112F" w:rsidP="00C3112F">
            <w:pPr>
              <w:spacing w:before="60" w:after="60" w:line="240" w:lineRule="auto"/>
              <w:jc w:val="center"/>
              <w:rPr>
                <w:rFonts w:cs="Arial"/>
                <w:sz w:val="22"/>
              </w:rPr>
            </w:pPr>
            <w:r w:rsidRPr="00527BAA">
              <w:rPr>
                <w:rFonts w:cs="Arial"/>
                <w:sz w:val="22"/>
              </w:rPr>
              <w:t>9</w:t>
            </w:r>
            <w:r w:rsidRPr="00527BAA">
              <w:rPr>
                <w:rFonts w:cs="Arial"/>
                <w:sz w:val="22"/>
              </w:rPr>
              <w:br/>
              <w:t>(17.6%)</w:t>
            </w:r>
          </w:p>
        </w:tc>
        <w:tc>
          <w:tcPr>
            <w:tcW w:w="1276" w:type="dxa"/>
            <w:tcBorders>
              <w:top w:val="single" w:sz="4" w:space="0" w:color="auto"/>
              <w:left w:val="single" w:sz="4" w:space="0" w:color="auto"/>
              <w:bottom w:val="single" w:sz="4" w:space="0" w:color="auto"/>
              <w:right w:val="single" w:sz="4" w:space="0" w:color="auto"/>
            </w:tcBorders>
          </w:tcPr>
          <w:p w14:paraId="6F67D543" w14:textId="0D055D86" w:rsidR="00C3112F" w:rsidRPr="00527BAA" w:rsidRDefault="00C3112F" w:rsidP="00C3112F">
            <w:pPr>
              <w:spacing w:before="60" w:after="60" w:line="240" w:lineRule="auto"/>
              <w:jc w:val="center"/>
              <w:rPr>
                <w:rFonts w:cs="Arial"/>
                <w:sz w:val="22"/>
              </w:rPr>
            </w:pPr>
            <w:r w:rsidRPr="00527BAA">
              <w:rPr>
                <w:rFonts w:cs="Arial"/>
                <w:sz w:val="22"/>
              </w:rPr>
              <w:t>7</w:t>
            </w:r>
            <w:r w:rsidRPr="00527BAA">
              <w:rPr>
                <w:rFonts w:cs="Arial"/>
                <w:sz w:val="22"/>
              </w:rPr>
              <w:br/>
              <w:t>(13.7%)</w:t>
            </w:r>
          </w:p>
        </w:tc>
        <w:tc>
          <w:tcPr>
            <w:tcW w:w="1134" w:type="dxa"/>
            <w:tcBorders>
              <w:top w:val="single" w:sz="4" w:space="0" w:color="auto"/>
              <w:left w:val="single" w:sz="4" w:space="0" w:color="auto"/>
              <w:bottom w:val="single" w:sz="4" w:space="0" w:color="auto"/>
              <w:right w:val="single" w:sz="4" w:space="0" w:color="auto"/>
            </w:tcBorders>
          </w:tcPr>
          <w:p w14:paraId="7D6D6731" w14:textId="21E19248" w:rsidR="00C3112F" w:rsidRPr="00527BAA" w:rsidRDefault="00C3112F" w:rsidP="00C3112F">
            <w:pPr>
              <w:spacing w:before="60" w:after="60" w:line="240" w:lineRule="auto"/>
              <w:jc w:val="center"/>
              <w:rPr>
                <w:rFonts w:cs="Arial"/>
                <w:sz w:val="22"/>
              </w:rPr>
            </w:pPr>
            <w:r w:rsidRPr="00527BAA">
              <w:rPr>
                <w:rFonts w:cs="Arial"/>
                <w:sz w:val="22"/>
              </w:rPr>
              <w:t>21</w:t>
            </w:r>
            <w:r w:rsidRPr="00527BAA">
              <w:rPr>
                <w:rFonts w:cs="Arial"/>
                <w:sz w:val="22"/>
              </w:rPr>
              <w:br/>
              <w:t>(41.2%)</w:t>
            </w:r>
          </w:p>
        </w:tc>
        <w:tc>
          <w:tcPr>
            <w:tcW w:w="1134" w:type="dxa"/>
            <w:tcBorders>
              <w:top w:val="single" w:sz="4" w:space="0" w:color="auto"/>
              <w:left w:val="single" w:sz="4" w:space="0" w:color="auto"/>
              <w:bottom w:val="single" w:sz="4" w:space="0" w:color="auto"/>
              <w:right w:val="single" w:sz="4" w:space="0" w:color="auto"/>
            </w:tcBorders>
          </w:tcPr>
          <w:p w14:paraId="691CCCBE" w14:textId="65B59B43" w:rsidR="00C3112F" w:rsidRPr="00527BAA" w:rsidRDefault="00C3112F" w:rsidP="00C3112F">
            <w:pPr>
              <w:spacing w:before="60" w:after="60" w:line="240" w:lineRule="auto"/>
              <w:jc w:val="center"/>
              <w:rPr>
                <w:rFonts w:cs="Arial"/>
                <w:sz w:val="22"/>
              </w:rPr>
            </w:pPr>
            <w:r w:rsidRPr="00527BAA">
              <w:rPr>
                <w:rFonts w:cs="Arial"/>
                <w:sz w:val="22"/>
              </w:rPr>
              <w:t>14</w:t>
            </w:r>
            <w:r w:rsidRPr="00527BAA">
              <w:rPr>
                <w:rFonts w:cs="Arial"/>
                <w:sz w:val="22"/>
              </w:rPr>
              <w:br/>
              <w:t>(27.5%)</w:t>
            </w:r>
          </w:p>
        </w:tc>
        <w:tc>
          <w:tcPr>
            <w:tcW w:w="708" w:type="dxa"/>
            <w:tcBorders>
              <w:top w:val="single" w:sz="4" w:space="0" w:color="auto"/>
              <w:left w:val="single" w:sz="4" w:space="0" w:color="auto"/>
              <w:bottom w:val="single" w:sz="4" w:space="0" w:color="auto"/>
              <w:right w:val="single" w:sz="4" w:space="0" w:color="auto"/>
            </w:tcBorders>
          </w:tcPr>
          <w:p w14:paraId="10E77E4D" w14:textId="18BA5B48" w:rsidR="00C3112F" w:rsidRPr="00527BAA" w:rsidRDefault="00C3112F" w:rsidP="00C3112F">
            <w:pPr>
              <w:spacing w:before="60" w:after="60" w:line="240" w:lineRule="auto"/>
              <w:jc w:val="center"/>
              <w:rPr>
                <w:sz w:val="22"/>
              </w:rPr>
            </w:pPr>
            <w:r w:rsidRPr="00527BAA">
              <w:rPr>
                <w:sz w:val="22"/>
              </w:rPr>
              <w:t>51</w:t>
            </w:r>
          </w:p>
        </w:tc>
      </w:tr>
      <w:tr w:rsidR="00C3112F" w:rsidRPr="00527BAA" w14:paraId="122F5697" w14:textId="77777777" w:rsidTr="00C3112F">
        <w:trPr>
          <w:trHeight w:val="804"/>
        </w:trPr>
        <w:tc>
          <w:tcPr>
            <w:tcW w:w="4248" w:type="dxa"/>
            <w:tcBorders>
              <w:top w:val="single" w:sz="4" w:space="0" w:color="auto"/>
              <w:left w:val="single" w:sz="4" w:space="0" w:color="auto"/>
              <w:bottom w:val="single" w:sz="4" w:space="0" w:color="auto"/>
              <w:right w:val="single" w:sz="4" w:space="0" w:color="auto"/>
            </w:tcBorders>
          </w:tcPr>
          <w:p w14:paraId="3DB7DFC4" w14:textId="187E5C14" w:rsidR="00C3112F" w:rsidRPr="00527BAA" w:rsidRDefault="00C3112F" w:rsidP="00C3112F">
            <w:pPr>
              <w:spacing w:before="60" w:after="60" w:line="240" w:lineRule="auto"/>
              <w:rPr>
                <w:rFonts w:cs="Arial"/>
                <w:sz w:val="22"/>
              </w:rPr>
            </w:pPr>
            <w:r w:rsidRPr="00527BAA">
              <w:rPr>
                <w:sz w:val="22"/>
              </w:rPr>
              <w:t>Indicator 4: Nutritional status monitoring in primary care after bariatric surgery (new patients)</w:t>
            </w:r>
          </w:p>
        </w:tc>
        <w:tc>
          <w:tcPr>
            <w:tcW w:w="1134" w:type="dxa"/>
            <w:tcBorders>
              <w:top w:val="single" w:sz="4" w:space="0" w:color="auto"/>
              <w:left w:val="single" w:sz="4" w:space="0" w:color="auto"/>
              <w:bottom w:val="single" w:sz="4" w:space="0" w:color="auto"/>
              <w:right w:val="single" w:sz="4" w:space="0" w:color="auto"/>
            </w:tcBorders>
          </w:tcPr>
          <w:p w14:paraId="52103885" w14:textId="031241A5" w:rsidR="00C3112F" w:rsidRPr="00527BAA" w:rsidRDefault="00C3112F" w:rsidP="00C3112F">
            <w:pPr>
              <w:spacing w:before="60" w:after="60" w:line="240" w:lineRule="auto"/>
              <w:jc w:val="center"/>
              <w:rPr>
                <w:rFonts w:cs="Arial"/>
                <w:sz w:val="22"/>
              </w:rPr>
            </w:pPr>
            <w:r w:rsidRPr="00527BAA">
              <w:rPr>
                <w:rFonts w:cs="Arial"/>
                <w:sz w:val="22"/>
              </w:rPr>
              <w:t>9</w:t>
            </w:r>
            <w:r w:rsidRPr="00527BAA">
              <w:rPr>
                <w:rFonts w:cs="Arial"/>
                <w:sz w:val="22"/>
              </w:rPr>
              <w:br/>
              <w:t>(17.6%)</w:t>
            </w:r>
          </w:p>
        </w:tc>
        <w:tc>
          <w:tcPr>
            <w:tcW w:w="1276" w:type="dxa"/>
            <w:tcBorders>
              <w:top w:val="single" w:sz="4" w:space="0" w:color="auto"/>
              <w:left w:val="single" w:sz="4" w:space="0" w:color="auto"/>
              <w:bottom w:val="single" w:sz="4" w:space="0" w:color="auto"/>
              <w:right w:val="single" w:sz="4" w:space="0" w:color="auto"/>
            </w:tcBorders>
          </w:tcPr>
          <w:p w14:paraId="535529BF" w14:textId="6E6D046C" w:rsidR="00C3112F" w:rsidRPr="00527BAA" w:rsidRDefault="00C3112F" w:rsidP="00C3112F">
            <w:pPr>
              <w:spacing w:before="60" w:after="60" w:line="240" w:lineRule="auto"/>
              <w:jc w:val="center"/>
              <w:rPr>
                <w:rFonts w:cs="Arial"/>
                <w:sz w:val="22"/>
              </w:rPr>
            </w:pPr>
            <w:r w:rsidRPr="00527BAA">
              <w:rPr>
                <w:rFonts w:cs="Arial"/>
                <w:sz w:val="22"/>
              </w:rPr>
              <w:t>6</w:t>
            </w:r>
            <w:r w:rsidRPr="00527BAA">
              <w:rPr>
                <w:rFonts w:cs="Arial"/>
                <w:sz w:val="22"/>
              </w:rPr>
              <w:br/>
              <w:t>(11.8%)</w:t>
            </w:r>
          </w:p>
        </w:tc>
        <w:tc>
          <w:tcPr>
            <w:tcW w:w="1134" w:type="dxa"/>
            <w:tcBorders>
              <w:top w:val="single" w:sz="4" w:space="0" w:color="auto"/>
              <w:left w:val="single" w:sz="4" w:space="0" w:color="auto"/>
              <w:bottom w:val="single" w:sz="4" w:space="0" w:color="auto"/>
              <w:right w:val="single" w:sz="4" w:space="0" w:color="auto"/>
            </w:tcBorders>
          </w:tcPr>
          <w:p w14:paraId="052F5FA7" w14:textId="674F86E4" w:rsidR="00C3112F" w:rsidRPr="00527BAA" w:rsidRDefault="00C3112F" w:rsidP="00C3112F">
            <w:pPr>
              <w:spacing w:before="60" w:after="60" w:line="240" w:lineRule="auto"/>
              <w:jc w:val="center"/>
              <w:rPr>
                <w:rFonts w:cs="Arial"/>
                <w:sz w:val="22"/>
              </w:rPr>
            </w:pPr>
            <w:r w:rsidRPr="00527BAA">
              <w:rPr>
                <w:rFonts w:cs="Arial"/>
                <w:sz w:val="22"/>
              </w:rPr>
              <w:t>22</w:t>
            </w:r>
            <w:r w:rsidRPr="00527BAA">
              <w:rPr>
                <w:rFonts w:cs="Arial"/>
                <w:sz w:val="22"/>
              </w:rPr>
              <w:br/>
              <w:t>(43.1%)</w:t>
            </w:r>
          </w:p>
        </w:tc>
        <w:tc>
          <w:tcPr>
            <w:tcW w:w="1134" w:type="dxa"/>
            <w:tcBorders>
              <w:top w:val="single" w:sz="4" w:space="0" w:color="auto"/>
              <w:left w:val="single" w:sz="4" w:space="0" w:color="auto"/>
              <w:bottom w:val="single" w:sz="4" w:space="0" w:color="auto"/>
              <w:right w:val="single" w:sz="4" w:space="0" w:color="auto"/>
            </w:tcBorders>
          </w:tcPr>
          <w:p w14:paraId="0575464A" w14:textId="70F6B9B5" w:rsidR="00C3112F" w:rsidRPr="00527BAA" w:rsidRDefault="00C3112F" w:rsidP="00C3112F">
            <w:pPr>
              <w:spacing w:before="60" w:after="60" w:line="240" w:lineRule="auto"/>
              <w:jc w:val="center"/>
              <w:rPr>
                <w:rFonts w:cs="Arial"/>
                <w:sz w:val="22"/>
              </w:rPr>
            </w:pPr>
            <w:r w:rsidRPr="00527BAA">
              <w:rPr>
                <w:rFonts w:cs="Arial"/>
                <w:sz w:val="22"/>
              </w:rPr>
              <w:t>14</w:t>
            </w:r>
            <w:r w:rsidRPr="00527BAA">
              <w:rPr>
                <w:rFonts w:cs="Arial"/>
                <w:sz w:val="22"/>
              </w:rPr>
              <w:br/>
              <w:t>(27.5%)</w:t>
            </w:r>
          </w:p>
        </w:tc>
        <w:tc>
          <w:tcPr>
            <w:tcW w:w="708" w:type="dxa"/>
            <w:tcBorders>
              <w:top w:val="single" w:sz="4" w:space="0" w:color="auto"/>
              <w:left w:val="single" w:sz="4" w:space="0" w:color="auto"/>
              <w:bottom w:val="single" w:sz="4" w:space="0" w:color="auto"/>
              <w:right w:val="single" w:sz="4" w:space="0" w:color="auto"/>
            </w:tcBorders>
          </w:tcPr>
          <w:p w14:paraId="7F163655" w14:textId="1AA7011A" w:rsidR="00C3112F" w:rsidRPr="00527BAA" w:rsidRDefault="00C3112F" w:rsidP="00C3112F">
            <w:pPr>
              <w:spacing w:before="60" w:after="60" w:line="240" w:lineRule="auto"/>
              <w:jc w:val="center"/>
              <w:rPr>
                <w:sz w:val="22"/>
              </w:rPr>
            </w:pPr>
            <w:r w:rsidRPr="00527BAA">
              <w:rPr>
                <w:sz w:val="22"/>
              </w:rPr>
              <w:t>51</w:t>
            </w:r>
          </w:p>
        </w:tc>
      </w:tr>
    </w:tbl>
    <w:p w14:paraId="69A905E8" w14:textId="77777777" w:rsidR="0094530C" w:rsidRPr="00CB5DF2" w:rsidRDefault="0094530C" w:rsidP="0094530C">
      <w:pPr>
        <w:spacing w:line="312" w:lineRule="auto"/>
        <w:rPr>
          <w:sz w:val="22"/>
        </w:rPr>
      </w:pPr>
      <w:r w:rsidRPr="00CB5DF2">
        <w:rPr>
          <w:sz w:val="22"/>
        </w:rPr>
        <w:t>Please note where percentages do not total 100%, this is as a result of rounding.</w:t>
      </w:r>
    </w:p>
    <w:p w14:paraId="3E48CA82" w14:textId="40A5E016" w:rsidR="00FF5DA3" w:rsidRPr="00FF5DA3" w:rsidRDefault="00FF5DA3" w:rsidP="006B1E49">
      <w:pPr>
        <w:spacing w:before="240"/>
      </w:pPr>
      <w:r w:rsidRPr="00FF5DA3">
        <w:t xml:space="preserve">As mentioned above, comments received on this topic relating to </w:t>
      </w:r>
      <w:r w:rsidR="000F37FB" w:rsidRPr="00FF5DA3">
        <w:t>indicator</w:t>
      </w:r>
      <w:r w:rsidRPr="00FF5DA3">
        <w:t xml:space="preserve"> 1 have related to </w:t>
      </w:r>
      <w:r w:rsidR="00E70AF6">
        <w:t xml:space="preserve">potential detrimental effects on patient </w:t>
      </w:r>
      <w:r w:rsidR="00E70AF6" w:rsidRPr="00E70AF6">
        <w:t>relationships</w:t>
      </w:r>
      <w:r w:rsidRPr="00E70AF6">
        <w:t xml:space="preserve"> (</w:t>
      </w:r>
      <w:r w:rsidR="00E70AF6">
        <w:t xml:space="preserve">see report </w:t>
      </w:r>
      <w:r w:rsidRPr="00E70AF6">
        <w:t>section 6.3.1)</w:t>
      </w:r>
    </w:p>
    <w:p w14:paraId="55FF1D8F" w14:textId="39606ED8" w:rsidR="00FF5DA3" w:rsidRPr="00250C8E" w:rsidRDefault="00FF5DA3" w:rsidP="00250C8E">
      <w:r w:rsidRPr="00FF5DA3">
        <w:t xml:space="preserve">Other comments relating to indicators 1 and 2 have referred to a potential surge in demand for weight management services (including surgery), when respondents report services are already failing </w:t>
      </w:r>
      <w:r w:rsidRPr="00E70AF6">
        <w:t>to keep up with demand (</w:t>
      </w:r>
      <w:r w:rsidR="00E70AF6">
        <w:t xml:space="preserve">see report </w:t>
      </w:r>
      <w:r w:rsidRPr="00E70AF6">
        <w:t>section 6.3.2).</w:t>
      </w:r>
      <w:r w:rsidRPr="00FF5DA3">
        <w:t xml:space="preserve"> </w:t>
      </w:r>
      <w:bookmarkEnd w:id="0"/>
    </w:p>
    <w:sectPr w:rsidR="00FF5DA3" w:rsidRPr="00250C8E" w:rsidSect="001E2FF7">
      <w:headerReference w:type="default" r:id="rId19"/>
      <w:footerReference w:type="default" r:id="rId2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3271" w14:textId="77777777" w:rsidR="004842D9" w:rsidRDefault="004842D9" w:rsidP="00461419">
      <w:pPr>
        <w:spacing w:after="0" w:line="240" w:lineRule="auto"/>
      </w:pPr>
      <w:r>
        <w:separator/>
      </w:r>
    </w:p>
    <w:p w14:paraId="1FE1F25E" w14:textId="77777777" w:rsidR="004842D9" w:rsidRDefault="004842D9"/>
  </w:endnote>
  <w:endnote w:type="continuationSeparator" w:id="0">
    <w:p w14:paraId="56BDB0A7" w14:textId="77777777" w:rsidR="004842D9" w:rsidRDefault="004842D9" w:rsidP="00461419">
      <w:pPr>
        <w:spacing w:after="0" w:line="240" w:lineRule="auto"/>
      </w:pPr>
      <w:r>
        <w:continuationSeparator/>
      </w:r>
    </w:p>
    <w:p w14:paraId="462EE8A2" w14:textId="77777777" w:rsidR="004842D9" w:rsidRDefault="004842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35297"/>
      <w:docPartObj>
        <w:docPartGallery w:val="Page Numbers (Bottom of Page)"/>
        <w:docPartUnique/>
      </w:docPartObj>
    </w:sdtPr>
    <w:sdtEndPr>
      <w:rPr>
        <w:noProof/>
      </w:rPr>
    </w:sdtEndPr>
    <w:sdtContent>
      <w:p w14:paraId="7C4DC8CB" w14:textId="277307E1" w:rsidR="004842D9" w:rsidRDefault="004842D9">
        <w:pPr>
          <w:pStyle w:val="Footer"/>
          <w:jc w:val="right"/>
        </w:pPr>
        <w:r>
          <w:fldChar w:fldCharType="begin"/>
        </w:r>
        <w:r>
          <w:instrText xml:space="preserve"> PAGE   \* MERGEFORMAT </w:instrText>
        </w:r>
        <w:r>
          <w:fldChar w:fldCharType="separate"/>
        </w:r>
        <w:r w:rsidR="00D57E7B">
          <w:rPr>
            <w:noProof/>
          </w:rPr>
          <w:t>21</w:t>
        </w:r>
        <w:r>
          <w:rPr>
            <w:noProof/>
          </w:rPr>
          <w:fldChar w:fldCharType="end"/>
        </w:r>
      </w:p>
    </w:sdtContent>
  </w:sdt>
  <w:p w14:paraId="4F1CFF91" w14:textId="77777777" w:rsidR="004842D9" w:rsidRDefault="004842D9">
    <w:pPr>
      <w:pStyle w:val="Footer"/>
    </w:pPr>
  </w:p>
  <w:p w14:paraId="26854634" w14:textId="77777777" w:rsidR="004842D9" w:rsidRDefault="004842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AB87" w14:textId="77777777" w:rsidR="004842D9" w:rsidRDefault="004842D9" w:rsidP="00461419">
      <w:pPr>
        <w:spacing w:after="0" w:line="240" w:lineRule="auto"/>
      </w:pPr>
      <w:r>
        <w:separator/>
      </w:r>
    </w:p>
    <w:p w14:paraId="4CCE3082" w14:textId="77777777" w:rsidR="004842D9" w:rsidRDefault="004842D9"/>
  </w:footnote>
  <w:footnote w:type="continuationSeparator" w:id="0">
    <w:p w14:paraId="1D46863E" w14:textId="77777777" w:rsidR="004842D9" w:rsidRDefault="004842D9" w:rsidP="00461419">
      <w:pPr>
        <w:spacing w:after="0" w:line="240" w:lineRule="auto"/>
      </w:pPr>
      <w:r>
        <w:continuationSeparator/>
      </w:r>
    </w:p>
    <w:p w14:paraId="3598B5E4" w14:textId="77777777" w:rsidR="004842D9" w:rsidRDefault="004842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95AFA" w14:textId="26D1C5DA" w:rsidR="004842D9" w:rsidRDefault="004842D9" w:rsidP="001B5774">
    <w:pPr>
      <w:pStyle w:val="Header"/>
      <w:jc w:val="right"/>
    </w:pPr>
    <w:r>
      <w:t xml:space="preserve">Paper </w:t>
    </w:r>
    <w:r w:rsidR="00D35D45">
      <w:t>4d</w:t>
    </w:r>
    <w:r>
      <w:t xml:space="preserve">: NCCID </w:t>
    </w:r>
    <w:r w:rsidR="00D35D45">
      <w:t>2025</w:t>
    </w:r>
    <w:r>
      <w:t xml:space="preserve"> </w:t>
    </w:r>
    <w:r w:rsidR="00D35D45">
      <w:t xml:space="preserve">weight management </w:t>
    </w:r>
    <w:r>
      <w:t xml:space="preserve">piloting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E409A"/>
    <w:multiLevelType w:val="hybridMultilevel"/>
    <w:tmpl w:val="3892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7211DA"/>
    <w:multiLevelType w:val="hybridMultilevel"/>
    <w:tmpl w:val="F3B643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C90A99"/>
    <w:multiLevelType w:val="hybridMultilevel"/>
    <w:tmpl w:val="9A342E70"/>
    <w:lvl w:ilvl="0" w:tplc="675459BE">
      <w:start w:val="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6B6B5C"/>
    <w:multiLevelType w:val="hybridMultilevel"/>
    <w:tmpl w:val="D9148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1C5E10"/>
    <w:multiLevelType w:val="hybridMultilevel"/>
    <w:tmpl w:val="B0A096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3997FF3"/>
    <w:multiLevelType w:val="hybridMultilevel"/>
    <w:tmpl w:val="1F58EA80"/>
    <w:lvl w:ilvl="0" w:tplc="675459BE">
      <w:start w:val="1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F876D2"/>
    <w:multiLevelType w:val="hybridMultilevel"/>
    <w:tmpl w:val="3D2C24F8"/>
    <w:lvl w:ilvl="0" w:tplc="9F80908E">
      <w:start w:val="1"/>
      <w:numFmt w:val="lowerLetter"/>
      <w:lvlText w:val="%1)"/>
      <w:lvlJc w:val="left"/>
      <w:pPr>
        <w:ind w:left="1440" w:hanging="360"/>
      </w:pPr>
    </w:lvl>
    <w:lvl w:ilvl="1" w:tplc="28942904">
      <w:start w:val="1"/>
      <w:numFmt w:val="lowerLetter"/>
      <w:lvlText w:val="%2)"/>
      <w:lvlJc w:val="left"/>
      <w:pPr>
        <w:ind w:left="1440" w:hanging="360"/>
      </w:pPr>
    </w:lvl>
    <w:lvl w:ilvl="2" w:tplc="F8440316">
      <w:start w:val="1"/>
      <w:numFmt w:val="lowerLetter"/>
      <w:lvlText w:val="%3)"/>
      <w:lvlJc w:val="left"/>
      <w:pPr>
        <w:ind w:left="1440" w:hanging="360"/>
      </w:pPr>
    </w:lvl>
    <w:lvl w:ilvl="3" w:tplc="9DC03AFC">
      <w:start w:val="1"/>
      <w:numFmt w:val="lowerLetter"/>
      <w:lvlText w:val="%4)"/>
      <w:lvlJc w:val="left"/>
      <w:pPr>
        <w:ind w:left="1440" w:hanging="360"/>
      </w:pPr>
    </w:lvl>
    <w:lvl w:ilvl="4" w:tplc="54ACA484">
      <w:start w:val="1"/>
      <w:numFmt w:val="lowerLetter"/>
      <w:lvlText w:val="%5)"/>
      <w:lvlJc w:val="left"/>
      <w:pPr>
        <w:ind w:left="1440" w:hanging="360"/>
      </w:pPr>
    </w:lvl>
    <w:lvl w:ilvl="5" w:tplc="CF86E774">
      <w:start w:val="1"/>
      <w:numFmt w:val="lowerLetter"/>
      <w:lvlText w:val="%6)"/>
      <w:lvlJc w:val="left"/>
      <w:pPr>
        <w:ind w:left="1440" w:hanging="360"/>
      </w:pPr>
    </w:lvl>
    <w:lvl w:ilvl="6" w:tplc="07EC4A38">
      <w:start w:val="1"/>
      <w:numFmt w:val="lowerLetter"/>
      <w:lvlText w:val="%7)"/>
      <w:lvlJc w:val="left"/>
      <w:pPr>
        <w:ind w:left="1440" w:hanging="360"/>
      </w:pPr>
    </w:lvl>
    <w:lvl w:ilvl="7" w:tplc="9DB231CC">
      <w:start w:val="1"/>
      <w:numFmt w:val="lowerLetter"/>
      <w:lvlText w:val="%8)"/>
      <w:lvlJc w:val="left"/>
      <w:pPr>
        <w:ind w:left="1440" w:hanging="360"/>
      </w:pPr>
    </w:lvl>
    <w:lvl w:ilvl="8" w:tplc="AE3E27FC">
      <w:start w:val="1"/>
      <w:numFmt w:val="lowerLetter"/>
      <w:lvlText w:val="%9)"/>
      <w:lvlJc w:val="left"/>
      <w:pPr>
        <w:ind w:left="1440" w:hanging="360"/>
      </w:pPr>
    </w:lvl>
  </w:abstractNum>
  <w:abstractNum w:abstractNumId="7" w15:restartNumberingAfterBreak="0">
    <w:nsid w:val="20382C58"/>
    <w:multiLevelType w:val="hybridMultilevel"/>
    <w:tmpl w:val="F3B6431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4CC685E"/>
    <w:multiLevelType w:val="hybridMultilevel"/>
    <w:tmpl w:val="61266C5C"/>
    <w:lvl w:ilvl="0" w:tplc="8CDC622E">
      <w:start w:val="6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367A46"/>
    <w:multiLevelType w:val="hybridMultilevel"/>
    <w:tmpl w:val="0E066DE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5C3DA3"/>
    <w:multiLevelType w:val="hybridMultilevel"/>
    <w:tmpl w:val="BF18AE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44058A"/>
    <w:multiLevelType w:val="hybridMultilevel"/>
    <w:tmpl w:val="3CAAC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0C32DB"/>
    <w:multiLevelType w:val="hybridMultilevel"/>
    <w:tmpl w:val="40FA3E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2CD1E7D"/>
    <w:multiLevelType w:val="hybridMultilevel"/>
    <w:tmpl w:val="87B8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7B0F9F"/>
    <w:multiLevelType w:val="hybridMultilevel"/>
    <w:tmpl w:val="FDD0CABC"/>
    <w:lvl w:ilvl="0" w:tplc="E56278A2">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30A14CE"/>
    <w:multiLevelType w:val="multilevel"/>
    <w:tmpl w:val="1F02D6E4"/>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7B1251"/>
    <w:multiLevelType w:val="hybridMultilevel"/>
    <w:tmpl w:val="CC8EF6C6"/>
    <w:lvl w:ilvl="0" w:tplc="6D7EECD4">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84107D7"/>
    <w:multiLevelType w:val="hybridMultilevel"/>
    <w:tmpl w:val="FF761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9C93D14"/>
    <w:multiLevelType w:val="hybridMultilevel"/>
    <w:tmpl w:val="554CD630"/>
    <w:lvl w:ilvl="0" w:tplc="99140A64">
      <w:start w:val="1"/>
      <w:numFmt w:val="decimal"/>
      <w:pStyle w:val="ParagraphNumbered"/>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1D45548"/>
    <w:multiLevelType w:val="hybridMultilevel"/>
    <w:tmpl w:val="E3802CA4"/>
    <w:lvl w:ilvl="0" w:tplc="8CDC622E">
      <w:start w:val="6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4D1769"/>
    <w:multiLevelType w:val="hybridMultilevel"/>
    <w:tmpl w:val="ABCEA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D90110"/>
    <w:multiLevelType w:val="hybridMultilevel"/>
    <w:tmpl w:val="AABED33C"/>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2" w15:restartNumberingAfterBreak="0">
    <w:nsid w:val="6D2C0A63"/>
    <w:multiLevelType w:val="hybridMultilevel"/>
    <w:tmpl w:val="4052F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AB6005"/>
    <w:multiLevelType w:val="hybridMultilevel"/>
    <w:tmpl w:val="7890C7B8"/>
    <w:lvl w:ilvl="0" w:tplc="5C2C5DA2">
      <w:numFmt w:val="bullet"/>
      <w:lvlText w:val="-"/>
      <w:lvlJc w:val="left"/>
      <w:pPr>
        <w:ind w:left="360" w:hanging="360"/>
      </w:pPr>
      <w:rPr>
        <w:rFonts w:ascii="Arial" w:eastAsiaTheme="minorHAnsi" w:hAnsi="Arial" w:cs="Arial" w:hint="default"/>
        <w:b w:val="0"/>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10073778">
    <w:abstractNumId w:val="15"/>
  </w:num>
  <w:num w:numId="2" w16cid:durableId="366570188">
    <w:abstractNumId w:val="20"/>
  </w:num>
  <w:num w:numId="3" w16cid:durableId="63384370">
    <w:abstractNumId w:val="18"/>
  </w:num>
  <w:num w:numId="4" w16cid:durableId="534393170">
    <w:abstractNumId w:val="21"/>
  </w:num>
  <w:num w:numId="5" w16cid:durableId="416286369">
    <w:abstractNumId w:val="0"/>
  </w:num>
  <w:num w:numId="6" w16cid:durableId="2052611043">
    <w:abstractNumId w:val="22"/>
  </w:num>
  <w:num w:numId="7" w16cid:durableId="10600604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3420317">
    <w:abstractNumId w:val="5"/>
  </w:num>
  <w:num w:numId="9" w16cid:durableId="2093116954">
    <w:abstractNumId w:val="23"/>
  </w:num>
  <w:num w:numId="10" w16cid:durableId="38408406">
    <w:abstractNumId w:val="2"/>
  </w:num>
  <w:num w:numId="11" w16cid:durableId="636106496">
    <w:abstractNumId w:val="13"/>
  </w:num>
  <w:num w:numId="12" w16cid:durableId="215967283">
    <w:abstractNumId w:val="12"/>
  </w:num>
  <w:num w:numId="13" w16cid:durableId="1718021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5951273">
    <w:abstractNumId w:val="15"/>
  </w:num>
  <w:num w:numId="15" w16cid:durableId="13197678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54787043">
    <w:abstractNumId w:val="1"/>
  </w:num>
  <w:num w:numId="17" w16cid:durableId="1307005580">
    <w:abstractNumId w:val="4"/>
  </w:num>
  <w:num w:numId="18" w16cid:durableId="488788455">
    <w:abstractNumId w:val="19"/>
  </w:num>
  <w:num w:numId="19" w16cid:durableId="1224028750">
    <w:abstractNumId w:val="8"/>
  </w:num>
  <w:num w:numId="20" w16cid:durableId="774600322">
    <w:abstractNumId w:val="10"/>
  </w:num>
  <w:num w:numId="21" w16cid:durableId="458573119">
    <w:abstractNumId w:val="15"/>
  </w:num>
  <w:num w:numId="22" w16cid:durableId="3349638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9741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13954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3614966">
    <w:abstractNumId w:val="6"/>
  </w:num>
  <w:num w:numId="26" w16cid:durableId="1702050414">
    <w:abstractNumId w:val="7"/>
  </w:num>
  <w:num w:numId="27" w16cid:durableId="242839484">
    <w:abstractNumId w:val="16"/>
  </w:num>
  <w:num w:numId="28" w16cid:durableId="591358500">
    <w:abstractNumId w:val="14"/>
  </w:num>
  <w:num w:numId="29" w16cid:durableId="547374505">
    <w:abstractNumId w:val="11"/>
  </w:num>
  <w:num w:numId="30" w16cid:durableId="881287361">
    <w:abstractNumId w:val="3"/>
  </w:num>
  <w:num w:numId="31" w16cid:durableId="567762687">
    <w:abstractNumId w:val="9"/>
  </w:num>
  <w:num w:numId="32" w16cid:durableId="1302272874">
    <w:abstractNumId w:val="1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951"/>
    <w:rsid w:val="00000795"/>
    <w:rsid w:val="00000B8B"/>
    <w:rsid w:val="000010A5"/>
    <w:rsid w:val="000025D6"/>
    <w:rsid w:val="000029D2"/>
    <w:rsid w:val="00002B3C"/>
    <w:rsid w:val="00002E87"/>
    <w:rsid w:val="00003372"/>
    <w:rsid w:val="00003717"/>
    <w:rsid w:val="000048AE"/>
    <w:rsid w:val="00005132"/>
    <w:rsid w:val="00006640"/>
    <w:rsid w:val="00010C89"/>
    <w:rsid w:val="00011352"/>
    <w:rsid w:val="0001159D"/>
    <w:rsid w:val="00013EC8"/>
    <w:rsid w:val="000152B6"/>
    <w:rsid w:val="00015CF3"/>
    <w:rsid w:val="00015D18"/>
    <w:rsid w:val="00015DCC"/>
    <w:rsid w:val="00016151"/>
    <w:rsid w:val="0001641B"/>
    <w:rsid w:val="00016CB6"/>
    <w:rsid w:val="00017285"/>
    <w:rsid w:val="0001797B"/>
    <w:rsid w:val="000204F4"/>
    <w:rsid w:val="00020983"/>
    <w:rsid w:val="00021262"/>
    <w:rsid w:val="00021C9A"/>
    <w:rsid w:val="00021FB7"/>
    <w:rsid w:val="00023255"/>
    <w:rsid w:val="00023692"/>
    <w:rsid w:val="00023E03"/>
    <w:rsid w:val="00024F45"/>
    <w:rsid w:val="000262FC"/>
    <w:rsid w:val="00027151"/>
    <w:rsid w:val="00027265"/>
    <w:rsid w:val="00030949"/>
    <w:rsid w:val="000312B4"/>
    <w:rsid w:val="00031760"/>
    <w:rsid w:val="00032992"/>
    <w:rsid w:val="00034450"/>
    <w:rsid w:val="00034C0F"/>
    <w:rsid w:val="000352AB"/>
    <w:rsid w:val="00035799"/>
    <w:rsid w:val="00035A55"/>
    <w:rsid w:val="00037AE7"/>
    <w:rsid w:val="00037BE9"/>
    <w:rsid w:val="00037C4E"/>
    <w:rsid w:val="00041089"/>
    <w:rsid w:val="00041BDE"/>
    <w:rsid w:val="00042182"/>
    <w:rsid w:val="00042754"/>
    <w:rsid w:val="000431AC"/>
    <w:rsid w:val="000454BC"/>
    <w:rsid w:val="000469C2"/>
    <w:rsid w:val="000470AA"/>
    <w:rsid w:val="0004730F"/>
    <w:rsid w:val="00047ED4"/>
    <w:rsid w:val="00050182"/>
    <w:rsid w:val="000507D6"/>
    <w:rsid w:val="00051DBA"/>
    <w:rsid w:val="000520C5"/>
    <w:rsid w:val="00052F16"/>
    <w:rsid w:val="0005308B"/>
    <w:rsid w:val="00053223"/>
    <w:rsid w:val="000537D4"/>
    <w:rsid w:val="00053F32"/>
    <w:rsid w:val="00056D8A"/>
    <w:rsid w:val="00056FF6"/>
    <w:rsid w:val="00057A19"/>
    <w:rsid w:val="00061502"/>
    <w:rsid w:val="00061D9C"/>
    <w:rsid w:val="0006201D"/>
    <w:rsid w:val="000620CB"/>
    <w:rsid w:val="0006222E"/>
    <w:rsid w:val="00063525"/>
    <w:rsid w:val="000636E3"/>
    <w:rsid w:val="00064904"/>
    <w:rsid w:val="00064B3C"/>
    <w:rsid w:val="00066A43"/>
    <w:rsid w:val="00066E2F"/>
    <w:rsid w:val="00066F2B"/>
    <w:rsid w:val="0006724A"/>
    <w:rsid w:val="00067507"/>
    <w:rsid w:val="000700B1"/>
    <w:rsid w:val="00070AA3"/>
    <w:rsid w:val="00070E6B"/>
    <w:rsid w:val="00070FB6"/>
    <w:rsid w:val="00072928"/>
    <w:rsid w:val="00072AFC"/>
    <w:rsid w:val="00073E52"/>
    <w:rsid w:val="00073EEB"/>
    <w:rsid w:val="00075725"/>
    <w:rsid w:val="0007573C"/>
    <w:rsid w:val="000760FE"/>
    <w:rsid w:val="000766F5"/>
    <w:rsid w:val="0007672C"/>
    <w:rsid w:val="00076C0C"/>
    <w:rsid w:val="00076E90"/>
    <w:rsid w:val="00077977"/>
    <w:rsid w:val="00077D60"/>
    <w:rsid w:val="000800EE"/>
    <w:rsid w:val="00080436"/>
    <w:rsid w:val="00080582"/>
    <w:rsid w:val="00080B41"/>
    <w:rsid w:val="000815B8"/>
    <w:rsid w:val="0008166B"/>
    <w:rsid w:val="0008166E"/>
    <w:rsid w:val="00081C56"/>
    <w:rsid w:val="00082A32"/>
    <w:rsid w:val="00082B5F"/>
    <w:rsid w:val="000832DE"/>
    <w:rsid w:val="00083CFF"/>
    <w:rsid w:val="000852CB"/>
    <w:rsid w:val="00085727"/>
    <w:rsid w:val="00086E1A"/>
    <w:rsid w:val="00087540"/>
    <w:rsid w:val="00087F0A"/>
    <w:rsid w:val="00091CB7"/>
    <w:rsid w:val="00092224"/>
    <w:rsid w:val="000924AC"/>
    <w:rsid w:val="00092CEF"/>
    <w:rsid w:val="000939FC"/>
    <w:rsid w:val="00093A01"/>
    <w:rsid w:val="00094923"/>
    <w:rsid w:val="00094948"/>
    <w:rsid w:val="0009494A"/>
    <w:rsid w:val="00095753"/>
    <w:rsid w:val="00097308"/>
    <w:rsid w:val="0009792E"/>
    <w:rsid w:val="000A2255"/>
    <w:rsid w:val="000A33D7"/>
    <w:rsid w:val="000A374B"/>
    <w:rsid w:val="000A3ACD"/>
    <w:rsid w:val="000A3F02"/>
    <w:rsid w:val="000A67C7"/>
    <w:rsid w:val="000A6C07"/>
    <w:rsid w:val="000A6CE6"/>
    <w:rsid w:val="000A7056"/>
    <w:rsid w:val="000A71E7"/>
    <w:rsid w:val="000A7674"/>
    <w:rsid w:val="000B024F"/>
    <w:rsid w:val="000B0ED2"/>
    <w:rsid w:val="000B13C1"/>
    <w:rsid w:val="000B159D"/>
    <w:rsid w:val="000B1AC1"/>
    <w:rsid w:val="000B25F4"/>
    <w:rsid w:val="000B2B57"/>
    <w:rsid w:val="000B2C16"/>
    <w:rsid w:val="000B32E8"/>
    <w:rsid w:val="000B4652"/>
    <w:rsid w:val="000B56E6"/>
    <w:rsid w:val="000B5743"/>
    <w:rsid w:val="000B6544"/>
    <w:rsid w:val="000B67F4"/>
    <w:rsid w:val="000B725E"/>
    <w:rsid w:val="000C0098"/>
    <w:rsid w:val="000C0D5C"/>
    <w:rsid w:val="000C0F0F"/>
    <w:rsid w:val="000C15A6"/>
    <w:rsid w:val="000C1B15"/>
    <w:rsid w:val="000C1E0D"/>
    <w:rsid w:val="000C23F3"/>
    <w:rsid w:val="000C25FE"/>
    <w:rsid w:val="000C2F8A"/>
    <w:rsid w:val="000C3B01"/>
    <w:rsid w:val="000C3B25"/>
    <w:rsid w:val="000C3D03"/>
    <w:rsid w:val="000C3E00"/>
    <w:rsid w:val="000C41C6"/>
    <w:rsid w:val="000C487D"/>
    <w:rsid w:val="000C4F47"/>
    <w:rsid w:val="000C5588"/>
    <w:rsid w:val="000C6226"/>
    <w:rsid w:val="000D0070"/>
    <w:rsid w:val="000D023B"/>
    <w:rsid w:val="000D0A8A"/>
    <w:rsid w:val="000D15A7"/>
    <w:rsid w:val="000D1B32"/>
    <w:rsid w:val="000D25AA"/>
    <w:rsid w:val="000D362A"/>
    <w:rsid w:val="000D3725"/>
    <w:rsid w:val="000D6207"/>
    <w:rsid w:val="000D6A93"/>
    <w:rsid w:val="000E0B17"/>
    <w:rsid w:val="000E33C3"/>
    <w:rsid w:val="000E42E3"/>
    <w:rsid w:val="000E6612"/>
    <w:rsid w:val="000E72E2"/>
    <w:rsid w:val="000F03ED"/>
    <w:rsid w:val="000F0E68"/>
    <w:rsid w:val="000F221E"/>
    <w:rsid w:val="000F2A79"/>
    <w:rsid w:val="000F2CC6"/>
    <w:rsid w:val="000F3280"/>
    <w:rsid w:val="000F37FB"/>
    <w:rsid w:val="000F3992"/>
    <w:rsid w:val="000F3E0D"/>
    <w:rsid w:val="000F4667"/>
    <w:rsid w:val="000F56CB"/>
    <w:rsid w:val="000F57D5"/>
    <w:rsid w:val="000F5E0C"/>
    <w:rsid w:val="000F6F12"/>
    <w:rsid w:val="000F7130"/>
    <w:rsid w:val="000F71BD"/>
    <w:rsid w:val="0010112C"/>
    <w:rsid w:val="00101AEB"/>
    <w:rsid w:val="00101F57"/>
    <w:rsid w:val="00102762"/>
    <w:rsid w:val="0010282F"/>
    <w:rsid w:val="00103F79"/>
    <w:rsid w:val="0010479E"/>
    <w:rsid w:val="001049AF"/>
    <w:rsid w:val="00104B64"/>
    <w:rsid w:val="00104E08"/>
    <w:rsid w:val="00105222"/>
    <w:rsid w:val="00105C45"/>
    <w:rsid w:val="00110795"/>
    <w:rsid w:val="001109B2"/>
    <w:rsid w:val="00110BCF"/>
    <w:rsid w:val="001122E4"/>
    <w:rsid w:val="00112643"/>
    <w:rsid w:val="00113218"/>
    <w:rsid w:val="001134B4"/>
    <w:rsid w:val="001138E8"/>
    <w:rsid w:val="00113CFC"/>
    <w:rsid w:val="00113F00"/>
    <w:rsid w:val="00115CBC"/>
    <w:rsid w:val="00116883"/>
    <w:rsid w:val="00117245"/>
    <w:rsid w:val="0011787C"/>
    <w:rsid w:val="00117C3D"/>
    <w:rsid w:val="00120112"/>
    <w:rsid w:val="00121267"/>
    <w:rsid w:val="00122910"/>
    <w:rsid w:val="001233D0"/>
    <w:rsid w:val="001246F2"/>
    <w:rsid w:val="00125686"/>
    <w:rsid w:val="00125E56"/>
    <w:rsid w:val="00127466"/>
    <w:rsid w:val="00127CFA"/>
    <w:rsid w:val="001300EC"/>
    <w:rsid w:val="001318E2"/>
    <w:rsid w:val="00131EFD"/>
    <w:rsid w:val="00132ADD"/>
    <w:rsid w:val="00133070"/>
    <w:rsid w:val="00134CDE"/>
    <w:rsid w:val="00135FE7"/>
    <w:rsid w:val="00136317"/>
    <w:rsid w:val="00136342"/>
    <w:rsid w:val="001377F1"/>
    <w:rsid w:val="00137B08"/>
    <w:rsid w:val="0014073F"/>
    <w:rsid w:val="0014107E"/>
    <w:rsid w:val="00141B72"/>
    <w:rsid w:val="001420E9"/>
    <w:rsid w:val="00142A96"/>
    <w:rsid w:val="00143504"/>
    <w:rsid w:val="00144BBC"/>
    <w:rsid w:val="00144F28"/>
    <w:rsid w:val="001457F1"/>
    <w:rsid w:val="00147015"/>
    <w:rsid w:val="00151F19"/>
    <w:rsid w:val="00152763"/>
    <w:rsid w:val="00154EEA"/>
    <w:rsid w:val="00154FD1"/>
    <w:rsid w:val="00155595"/>
    <w:rsid w:val="001556F6"/>
    <w:rsid w:val="0015594E"/>
    <w:rsid w:val="00155DB3"/>
    <w:rsid w:val="00156D77"/>
    <w:rsid w:val="00156E6B"/>
    <w:rsid w:val="00157222"/>
    <w:rsid w:val="001578D7"/>
    <w:rsid w:val="00157BC3"/>
    <w:rsid w:val="0016028E"/>
    <w:rsid w:val="00161416"/>
    <w:rsid w:val="001614E2"/>
    <w:rsid w:val="00161ECD"/>
    <w:rsid w:val="0016225C"/>
    <w:rsid w:val="00163DD1"/>
    <w:rsid w:val="00164158"/>
    <w:rsid w:val="00164FE5"/>
    <w:rsid w:val="00165FD1"/>
    <w:rsid w:val="0016665A"/>
    <w:rsid w:val="00166944"/>
    <w:rsid w:val="001703D1"/>
    <w:rsid w:val="0017189C"/>
    <w:rsid w:val="00171C0E"/>
    <w:rsid w:val="00171E55"/>
    <w:rsid w:val="00173D31"/>
    <w:rsid w:val="001754B2"/>
    <w:rsid w:val="0017689B"/>
    <w:rsid w:val="001769FD"/>
    <w:rsid w:val="00176C17"/>
    <w:rsid w:val="00177483"/>
    <w:rsid w:val="00180750"/>
    <w:rsid w:val="00180D19"/>
    <w:rsid w:val="00182128"/>
    <w:rsid w:val="00182CA6"/>
    <w:rsid w:val="001833CF"/>
    <w:rsid w:val="00184391"/>
    <w:rsid w:val="00184DEC"/>
    <w:rsid w:val="0018559D"/>
    <w:rsid w:val="00186BEC"/>
    <w:rsid w:val="00187270"/>
    <w:rsid w:val="0018742D"/>
    <w:rsid w:val="00190011"/>
    <w:rsid w:val="0019011C"/>
    <w:rsid w:val="001907BB"/>
    <w:rsid w:val="001917D3"/>
    <w:rsid w:val="00193105"/>
    <w:rsid w:val="00193526"/>
    <w:rsid w:val="00193AEB"/>
    <w:rsid w:val="00194E10"/>
    <w:rsid w:val="00195414"/>
    <w:rsid w:val="001A198C"/>
    <w:rsid w:val="001A238A"/>
    <w:rsid w:val="001A284B"/>
    <w:rsid w:val="001A30BD"/>
    <w:rsid w:val="001A354A"/>
    <w:rsid w:val="001A3DB7"/>
    <w:rsid w:val="001A4AE9"/>
    <w:rsid w:val="001A5443"/>
    <w:rsid w:val="001A5605"/>
    <w:rsid w:val="001A66B8"/>
    <w:rsid w:val="001A74EF"/>
    <w:rsid w:val="001A757F"/>
    <w:rsid w:val="001B0398"/>
    <w:rsid w:val="001B0D48"/>
    <w:rsid w:val="001B156F"/>
    <w:rsid w:val="001B2CD9"/>
    <w:rsid w:val="001B42EF"/>
    <w:rsid w:val="001B4DAD"/>
    <w:rsid w:val="001B4F95"/>
    <w:rsid w:val="001B535D"/>
    <w:rsid w:val="001B5774"/>
    <w:rsid w:val="001B5C61"/>
    <w:rsid w:val="001B68E1"/>
    <w:rsid w:val="001B6CE6"/>
    <w:rsid w:val="001B71DE"/>
    <w:rsid w:val="001B73A6"/>
    <w:rsid w:val="001C12A8"/>
    <w:rsid w:val="001C15EC"/>
    <w:rsid w:val="001C2714"/>
    <w:rsid w:val="001C316D"/>
    <w:rsid w:val="001C31B5"/>
    <w:rsid w:val="001C34E9"/>
    <w:rsid w:val="001C3545"/>
    <w:rsid w:val="001C3770"/>
    <w:rsid w:val="001C3CFD"/>
    <w:rsid w:val="001C42A3"/>
    <w:rsid w:val="001C444F"/>
    <w:rsid w:val="001C4484"/>
    <w:rsid w:val="001C4F80"/>
    <w:rsid w:val="001C54CE"/>
    <w:rsid w:val="001C5ADE"/>
    <w:rsid w:val="001C730C"/>
    <w:rsid w:val="001C7574"/>
    <w:rsid w:val="001C7BCD"/>
    <w:rsid w:val="001D06C7"/>
    <w:rsid w:val="001D111C"/>
    <w:rsid w:val="001D15BB"/>
    <w:rsid w:val="001D16EA"/>
    <w:rsid w:val="001D18A8"/>
    <w:rsid w:val="001D24C8"/>
    <w:rsid w:val="001D3391"/>
    <w:rsid w:val="001D429A"/>
    <w:rsid w:val="001D544C"/>
    <w:rsid w:val="001D580C"/>
    <w:rsid w:val="001D5B95"/>
    <w:rsid w:val="001D7534"/>
    <w:rsid w:val="001D79BB"/>
    <w:rsid w:val="001D7A55"/>
    <w:rsid w:val="001E07EC"/>
    <w:rsid w:val="001E0B25"/>
    <w:rsid w:val="001E1700"/>
    <w:rsid w:val="001E1D18"/>
    <w:rsid w:val="001E1EC5"/>
    <w:rsid w:val="001E245A"/>
    <w:rsid w:val="001E2468"/>
    <w:rsid w:val="001E2FF7"/>
    <w:rsid w:val="001E306B"/>
    <w:rsid w:val="001E38B8"/>
    <w:rsid w:val="001E42D1"/>
    <w:rsid w:val="001E4773"/>
    <w:rsid w:val="001E4853"/>
    <w:rsid w:val="001E4FB1"/>
    <w:rsid w:val="001E52C0"/>
    <w:rsid w:val="001E6582"/>
    <w:rsid w:val="001E7084"/>
    <w:rsid w:val="001E7183"/>
    <w:rsid w:val="001F057C"/>
    <w:rsid w:val="001F08F2"/>
    <w:rsid w:val="001F0A28"/>
    <w:rsid w:val="001F16E0"/>
    <w:rsid w:val="001F1AF1"/>
    <w:rsid w:val="001F23E5"/>
    <w:rsid w:val="001F3F33"/>
    <w:rsid w:val="001F3F8C"/>
    <w:rsid w:val="001F41ED"/>
    <w:rsid w:val="001F43BE"/>
    <w:rsid w:val="001F53E7"/>
    <w:rsid w:val="001F5F2F"/>
    <w:rsid w:val="001F5F48"/>
    <w:rsid w:val="001F61F1"/>
    <w:rsid w:val="001F6E95"/>
    <w:rsid w:val="001F7A38"/>
    <w:rsid w:val="00200A46"/>
    <w:rsid w:val="0020169D"/>
    <w:rsid w:val="00201E56"/>
    <w:rsid w:val="002023C5"/>
    <w:rsid w:val="002041D0"/>
    <w:rsid w:val="0020511C"/>
    <w:rsid w:val="00205F17"/>
    <w:rsid w:val="00207799"/>
    <w:rsid w:val="00207C3E"/>
    <w:rsid w:val="0021081E"/>
    <w:rsid w:val="00210B69"/>
    <w:rsid w:val="00210D51"/>
    <w:rsid w:val="00210F20"/>
    <w:rsid w:val="00211148"/>
    <w:rsid w:val="002119B6"/>
    <w:rsid w:val="00211CF0"/>
    <w:rsid w:val="00212048"/>
    <w:rsid w:val="0021283F"/>
    <w:rsid w:val="00212984"/>
    <w:rsid w:val="0021338A"/>
    <w:rsid w:val="00213BE2"/>
    <w:rsid w:val="00214BE9"/>
    <w:rsid w:val="00214CAF"/>
    <w:rsid w:val="00216A10"/>
    <w:rsid w:val="00217BBE"/>
    <w:rsid w:val="0022103F"/>
    <w:rsid w:val="0022170B"/>
    <w:rsid w:val="002217B1"/>
    <w:rsid w:val="00221D02"/>
    <w:rsid w:val="0022209E"/>
    <w:rsid w:val="0022296D"/>
    <w:rsid w:val="002233FF"/>
    <w:rsid w:val="00223416"/>
    <w:rsid w:val="00223963"/>
    <w:rsid w:val="00223993"/>
    <w:rsid w:val="00224812"/>
    <w:rsid w:val="00225EA0"/>
    <w:rsid w:val="00226BBC"/>
    <w:rsid w:val="0022754B"/>
    <w:rsid w:val="002308A4"/>
    <w:rsid w:val="002330FB"/>
    <w:rsid w:val="00233600"/>
    <w:rsid w:val="00234DA7"/>
    <w:rsid w:val="002351B0"/>
    <w:rsid w:val="002354B2"/>
    <w:rsid w:val="002358DC"/>
    <w:rsid w:val="00235D34"/>
    <w:rsid w:val="00236653"/>
    <w:rsid w:val="00236785"/>
    <w:rsid w:val="00236A94"/>
    <w:rsid w:val="00236C30"/>
    <w:rsid w:val="00240D04"/>
    <w:rsid w:val="002425E7"/>
    <w:rsid w:val="00243C02"/>
    <w:rsid w:val="002454B7"/>
    <w:rsid w:val="00245648"/>
    <w:rsid w:val="00245874"/>
    <w:rsid w:val="00246226"/>
    <w:rsid w:val="00246FB6"/>
    <w:rsid w:val="00247209"/>
    <w:rsid w:val="002476A4"/>
    <w:rsid w:val="00247D9A"/>
    <w:rsid w:val="002507FE"/>
    <w:rsid w:val="00250C6B"/>
    <w:rsid w:val="00250C8E"/>
    <w:rsid w:val="00250EB4"/>
    <w:rsid w:val="002510C8"/>
    <w:rsid w:val="00251EEB"/>
    <w:rsid w:val="002529C7"/>
    <w:rsid w:val="00253128"/>
    <w:rsid w:val="00255415"/>
    <w:rsid w:val="0025665F"/>
    <w:rsid w:val="0025699A"/>
    <w:rsid w:val="00257157"/>
    <w:rsid w:val="00257898"/>
    <w:rsid w:val="002578A2"/>
    <w:rsid w:val="00257F2A"/>
    <w:rsid w:val="00261751"/>
    <w:rsid w:val="00261905"/>
    <w:rsid w:val="002639E6"/>
    <w:rsid w:val="00263AB3"/>
    <w:rsid w:val="0026427F"/>
    <w:rsid w:val="002645BF"/>
    <w:rsid w:val="00266F01"/>
    <w:rsid w:val="00267130"/>
    <w:rsid w:val="002675D5"/>
    <w:rsid w:val="00267DE6"/>
    <w:rsid w:val="002708B6"/>
    <w:rsid w:val="00272337"/>
    <w:rsid w:val="002741CF"/>
    <w:rsid w:val="00274211"/>
    <w:rsid w:val="00274CA1"/>
    <w:rsid w:val="00274DB9"/>
    <w:rsid w:val="002754E3"/>
    <w:rsid w:val="00275B57"/>
    <w:rsid w:val="00280844"/>
    <w:rsid w:val="00281C8E"/>
    <w:rsid w:val="00282064"/>
    <w:rsid w:val="00282984"/>
    <w:rsid w:val="00282E5B"/>
    <w:rsid w:val="0028615B"/>
    <w:rsid w:val="002862BA"/>
    <w:rsid w:val="00286A19"/>
    <w:rsid w:val="00286E2B"/>
    <w:rsid w:val="00286ECC"/>
    <w:rsid w:val="00286FDC"/>
    <w:rsid w:val="0028723F"/>
    <w:rsid w:val="00287304"/>
    <w:rsid w:val="00291930"/>
    <w:rsid w:val="00291A54"/>
    <w:rsid w:val="002922FE"/>
    <w:rsid w:val="00294645"/>
    <w:rsid w:val="002950F7"/>
    <w:rsid w:val="00296003"/>
    <w:rsid w:val="002961EF"/>
    <w:rsid w:val="002966C8"/>
    <w:rsid w:val="0029684F"/>
    <w:rsid w:val="002970E8"/>
    <w:rsid w:val="0029744C"/>
    <w:rsid w:val="002A0A4E"/>
    <w:rsid w:val="002A1154"/>
    <w:rsid w:val="002A2395"/>
    <w:rsid w:val="002A4D25"/>
    <w:rsid w:val="002A5482"/>
    <w:rsid w:val="002A5BF8"/>
    <w:rsid w:val="002A64F5"/>
    <w:rsid w:val="002A733E"/>
    <w:rsid w:val="002A7DEA"/>
    <w:rsid w:val="002A7FDE"/>
    <w:rsid w:val="002B0170"/>
    <w:rsid w:val="002B0487"/>
    <w:rsid w:val="002B0823"/>
    <w:rsid w:val="002B19B0"/>
    <w:rsid w:val="002B2173"/>
    <w:rsid w:val="002B2271"/>
    <w:rsid w:val="002B2E35"/>
    <w:rsid w:val="002B3443"/>
    <w:rsid w:val="002B3799"/>
    <w:rsid w:val="002B3EF9"/>
    <w:rsid w:val="002B4109"/>
    <w:rsid w:val="002B443A"/>
    <w:rsid w:val="002B4CC7"/>
    <w:rsid w:val="002B5734"/>
    <w:rsid w:val="002B5E53"/>
    <w:rsid w:val="002B67C6"/>
    <w:rsid w:val="002B6F9E"/>
    <w:rsid w:val="002B76BC"/>
    <w:rsid w:val="002B7A14"/>
    <w:rsid w:val="002C0119"/>
    <w:rsid w:val="002C1796"/>
    <w:rsid w:val="002C41ED"/>
    <w:rsid w:val="002C4709"/>
    <w:rsid w:val="002C5A98"/>
    <w:rsid w:val="002C6D43"/>
    <w:rsid w:val="002C6E27"/>
    <w:rsid w:val="002D1FAF"/>
    <w:rsid w:val="002D22D4"/>
    <w:rsid w:val="002D34B0"/>
    <w:rsid w:val="002D4BC9"/>
    <w:rsid w:val="002D4BD1"/>
    <w:rsid w:val="002D52C3"/>
    <w:rsid w:val="002D6A1C"/>
    <w:rsid w:val="002D6D51"/>
    <w:rsid w:val="002D700A"/>
    <w:rsid w:val="002D7939"/>
    <w:rsid w:val="002D7AF3"/>
    <w:rsid w:val="002E02F9"/>
    <w:rsid w:val="002E09AB"/>
    <w:rsid w:val="002E0EC0"/>
    <w:rsid w:val="002E0F0C"/>
    <w:rsid w:val="002E19D5"/>
    <w:rsid w:val="002E1D77"/>
    <w:rsid w:val="002E2048"/>
    <w:rsid w:val="002E2134"/>
    <w:rsid w:val="002E2399"/>
    <w:rsid w:val="002E2A4B"/>
    <w:rsid w:val="002E2DF3"/>
    <w:rsid w:val="002E3046"/>
    <w:rsid w:val="002E3887"/>
    <w:rsid w:val="002E4005"/>
    <w:rsid w:val="002E4151"/>
    <w:rsid w:val="002E4BA2"/>
    <w:rsid w:val="002E4DE3"/>
    <w:rsid w:val="002E4F2E"/>
    <w:rsid w:val="002E733F"/>
    <w:rsid w:val="002E7B49"/>
    <w:rsid w:val="002E7EDF"/>
    <w:rsid w:val="002F0992"/>
    <w:rsid w:val="002F10A7"/>
    <w:rsid w:val="002F14FD"/>
    <w:rsid w:val="002F290D"/>
    <w:rsid w:val="002F431B"/>
    <w:rsid w:val="002F436C"/>
    <w:rsid w:val="002F4670"/>
    <w:rsid w:val="002F4936"/>
    <w:rsid w:val="002F6189"/>
    <w:rsid w:val="002F747D"/>
    <w:rsid w:val="002F7D11"/>
    <w:rsid w:val="00300328"/>
    <w:rsid w:val="0030112C"/>
    <w:rsid w:val="00301482"/>
    <w:rsid w:val="00301B88"/>
    <w:rsid w:val="003021AF"/>
    <w:rsid w:val="00304D77"/>
    <w:rsid w:val="0030580E"/>
    <w:rsid w:val="00305CD3"/>
    <w:rsid w:val="00307F7E"/>
    <w:rsid w:val="00310616"/>
    <w:rsid w:val="00310C1E"/>
    <w:rsid w:val="00311236"/>
    <w:rsid w:val="0031177B"/>
    <w:rsid w:val="003122AD"/>
    <w:rsid w:val="0031236D"/>
    <w:rsid w:val="00313C84"/>
    <w:rsid w:val="00315816"/>
    <w:rsid w:val="00316D7E"/>
    <w:rsid w:val="003171FB"/>
    <w:rsid w:val="00317F95"/>
    <w:rsid w:val="00322555"/>
    <w:rsid w:val="0032275D"/>
    <w:rsid w:val="003232DB"/>
    <w:rsid w:val="00323ABA"/>
    <w:rsid w:val="00324077"/>
    <w:rsid w:val="00324BD6"/>
    <w:rsid w:val="0032571B"/>
    <w:rsid w:val="003262C5"/>
    <w:rsid w:val="00327A02"/>
    <w:rsid w:val="00330CA9"/>
    <w:rsid w:val="003314BA"/>
    <w:rsid w:val="00331A24"/>
    <w:rsid w:val="00331CDE"/>
    <w:rsid w:val="00331EF1"/>
    <w:rsid w:val="00332032"/>
    <w:rsid w:val="003331B3"/>
    <w:rsid w:val="00335C0F"/>
    <w:rsid w:val="0033603A"/>
    <w:rsid w:val="0033623D"/>
    <w:rsid w:val="003365B7"/>
    <w:rsid w:val="00337904"/>
    <w:rsid w:val="00337C88"/>
    <w:rsid w:val="00340DDE"/>
    <w:rsid w:val="00342B00"/>
    <w:rsid w:val="003436CA"/>
    <w:rsid w:val="003438CC"/>
    <w:rsid w:val="00346BBF"/>
    <w:rsid w:val="00346E32"/>
    <w:rsid w:val="00347FA8"/>
    <w:rsid w:val="00350230"/>
    <w:rsid w:val="00350D85"/>
    <w:rsid w:val="003520FF"/>
    <w:rsid w:val="003523BF"/>
    <w:rsid w:val="00352A6B"/>
    <w:rsid w:val="00352B8E"/>
    <w:rsid w:val="00352E14"/>
    <w:rsid w:val="0035315B"/>
    <w:rsid w:val="00354365"/>
    <w:rsid w:val="00354C70"/>
    <w:rsid w:val="0035547D"/>
    <w:rsid w:val="00356BFD"/>
    <w:rsid w:val="00356F03"/>
    <w:rsid w:val="0035702E"/>
    <w:rsid w:val="0036154E"/>
    <w:rsid w:val="00361D93"/>
    <w:rsid w:val="00361EE5"/>
    <w:rsid w:val="00363181"/>
    <w:rsid w:val="0036325E"/>
    <w:rsid w:val="00364DB9"/>
    <w:rsid w:val="00364FF0"/>
    <w:rsid w:val="00365018"/>
    <w:rsid w:val="00366879"/>
    <w:rsid w:val="003668B5"/>
    <w:rsid w:val="00366FB4"/>
    <w:rsid w:val="0036737A"/>
    <w:rsid w:val="00370878"/>
    <w:rsid w:val="003712D5"/>
    <w:rsid w:val="00371A9C"/>
    <w:rsid w:val="00372B76"/>
    <w:rsid w:val="003736F9"/>
    <w:rsid w:val="00375961"/>
    <w:rsid w:val="003765FB"/>
    <w:rsid w:val="00376A77"/>
    <w:rsid w:val="003804DA"/>
    <w:rsid w:val="00380C53"/>
    <w:rsid w:val="003818CA"/>
    <w:rsid w:val="003824D5"/>
    <w:rsid w:val="00382DF3"/>
    <w:rsid w:val="00383413"/>
    <w:rsid w:val="00383BA1"/>
    <w:rsid w:val="003844C7"/>
    <w:rsid w:val="003846FB"/>
    <w:rsid w:val="00384B14"/>
    <w:rsid w:val="003859EF"/>
    <w:rsid w:val="00385A61"/>
    <w:rsid w:val="0038668D"/>
    <w:rsid w:val="0038697E"/>
    <w:rsid w:val="00386B1E"/>
    <w:rsid w:val="00387AEB"/>
    <w:rsid w:val="00387F5A"/>
    <w:rsid w:val="00391889"/>
    <w:rsid w:val="00391E51"/>
    <w:rsid w:val="003920A9"/>
    <w:rsid w:val="003921E2"/>
    <w:rsid w:val="0039254A"/>
    <w:rsid w:val="00392868"/>
    <w:rsid w:val="003930D2"/>
    <w:rsid w:val="00394088"/>
    <w:rsid w:val="00395142"/>
    <w:rsid w:val="003978E9"/>
    <w:rsid w:val="00397C25"/>
    <w:rsid w:val="00397D0C"/>
    <w:rsid w:val="00397E2C"/>
    <w:rsid w:val="003A09E5"/>
    <w:rsid w:val="003A1CE6"/>
    <w:rsid w:val="003A5BE1"/>
    <w:rsid w:val="003A66FD"/>
    <w:rsid w:val="003A6998"/>
    <w:rsid w:val="003A77AD"/>
    <w:rsid w:val="003B0842"/>
    <w:rsid w:val="003B0F16"/>
    <w:rsid w:val="003B14A5"/>
    <w:rsid w:val="003B2E53"/>
    <w:rsid w:val="003B2F8A"/>
    <w:rsid w:val="003B34E0"/>
    <w:rsid w:val="003B4EE5"/>
    <w:rsid w:val="003B50C5"/>
    <w:rsid w:val="003B50CD"/>
    <w:rsid w:val="003B5A18"/>
    <w:rsid w:val="003B5DBF"/>
    <w:rsid w:val="003B65FE"/>
    <w:rsid w:val="003B67D8"/>
    <w:rsid w:val="003B71D7"/>
    <w:rsid w:val="003B77A1"/>
    <w:rsid w:val="003B77AE"/>
    <w:rsid w:val="003B7AC3"/>
    <w:rsid w:val="003C0174"/>
    <w:rsid w:val="003C04EF"/>
    <w:rsid w:val="003C2F59"/>
    <w:rsid w:val="003C3540"/>
    <w:rsid w:val="003C3ABE"/>
    <w:rsid w:val="003C487B"/>
    <w:rsid w:val="003C533D"/>
    <w:rsid w:val="003C5911"/>
    <w:rsid w:val="003C637A"/>
    <w:rsid w:val="003C70D1"/>
    <w:rsid w:val="003C756C"/>
    <w:rsid w:val="003D0A6D"/>
    <w:rsid w:val="003D0EC7"/>
    <w:rsid w:val="003D10A0"/>
    <w:rsid w:val="003D216A"/>
    <w:rsid w:val="003D3A4F"/>
    <w:rsid w:val="003D4A98"/>
    <w:rsid w:val="003D7543"/>
    <w:rsid w:val="003E162E"/>
    <w:rsid w:val="003E2A79"/>
    <w:rsid w:val="003E3F14"/>
    <w:rsid w:val="003E4F4A"/>
    <w:rsid w:val="003E5256"/>
    <w:rsid w:val="003E732C"/>
    <w:rsid w:val="003E78FC"/>
    <w:rsid w:val="003E7CB5"/>
    <w:rsid w:val="003F1487"/>
    <w:rsid w:val="003F14B8"/>
    <w:rsid w:val="003F2A7B"/>
    <w:rsid w:val="003F2F6B"/>
    <w:rsid w:val="003F3623"/>
    <w:rsid w:val="003F3BD7"/>
    <w:rsid w:val="003F4322"/>
    <w:rsid w:val="003F4607"/>
    <w:rsid w:val="003F5901"/>
    <w:rsid w:val="003F5940"/>
    <w:rsid w:val="003F6156"/>
    <w:rsid w:val="004021D5"/>
    <w:rsid w:val="00402A09"/>
    <w:rsid w:val="00402E4B"/>
    <w:rsid w:val="004035CB"/>
    <w:rsid w:val="004037AC"/>
    <w:rsid w:val="004037BA"/>
    <w:rsid w:val="00403B5C"/>
    <w:rsid w:val="0040404D"/>
    <w:rsid w:val="004044A0"/>
    <w:rsid w:val="004052DF"/>
    <w:rsid w:val="00406031"/>
    <w:rsid w:val="00410C6D"/>
    <w:rsid w:val="00410E5F"/>
    <w:rsid w:val="004116CF"/>
    <w:rsid w:val="004121AF"/>
    <w:rsid w:val="004126AD"/>
    <w:rsid w:val="00412C47"/>
    <w:rsid w:val="00413260"/>
    <w:rsid w:val="004139E8"/>
    <w:rsid w:val="00413D09"/>
    <w:rsid w:val="0041486F"/>
    <w:rsid w:val="004151D6"/>
    <w:rsid w:val="00415552"/>
    <w:rsid w:val="004163FB"/>
    <w:rsid w:val="00417F96"/>
    <w:rsid w:val="004200BB"/>
    <w:rsid w:val="00420102"/>
    <w:rsid w:val="0042224C"/>
    <w:rsid w:val="004225DB"/>
    <w:rsid w:val="00422A40"/>
    <w:rsid w:val="00422F80"/>
    <w:rsid w:val="00423D70"/>
    <w:rsid w:val="004246A2"/>
    <w:rsid w:val="004251C5"/>
    <w:rsid w:val="00425815"/>
    <w:rsid w:val="0042662D"/>
    <w:rsid w:val="004309FC"/>
    <w:rsid w:val="00430B44"/>
    <w:rsid w:val="00431F06"/>
    <w:rsid w:val="00432635"/>
    <w:rsid w:val="004329B4"/>
    <w:rsid w:val="004332BD"/>
    <w:rsid w:val="00434072"/>
    <w:rsid w:val="00435584"/>
    <w:rsid w:val="00435B4D"/>
    <w:rsid w:val="0043674C"/>
    <w:rsid w:val="00436856"/>
    <w:rsid w:val="00436E25"/>
    <w:rsid w:val="00436E4A"/>
    <w:rsid w:val="00436E7E"/>
    <w:rsid w:val="004373CB"/>
    <w:rsid w:val="00437E89"/>
    <w:rsid w:val="00437F50"/>
    <w:rsid w:val="004411D7"/>
    <w:rsid w:val="004413DA"/>
    <w:rsid w:val="0044226D"/>
    <w:rsid w:val="00442837"/>
    <w:rsid w:val="00442C52"/>
    <w:rsid w:val="004432B7"/>
    <w:rsid w:val="00443F88"/>
    <w:rsid w:val="00444A8E"/>
    <w:rsid w:val="00446493"/>
    <w:rsid w:val="00446DDC"/>
    <w:rsid w:val="00446FFF"/>
    <w:rsid w:val="004478B2"/>
    <w:rsid w:val="0045007A"/>
    <w:rsid w:val="004514B8"/>
    <w:rsid w:val="00451580"/>
    <w:rsid w:val="004528DE"/>
    <w:rsid w:val="00453E05"/>
    <w:rsid w:val="00453EA0"/>
    <w:rsid w:val="00456208"/>
    <w:rsid w:val="004567CD"/>
    <w:rsid w:val="0045721A"/>
    <w:rsid w:val="0045734E"/>
    <w:rsid w:val="004576B6"/>
    <w:rsid w:val="004601AE"/>
    <w:rsid w:val="00460EEB"/>
    <w:rsid w:val="00461419"/>
    <w:rsid w:val="004621AD"/>
    <w:rsid w:val="004629DC"/>
    <w:rsid w:val="00463012"/>
    <w:rsid w:val="00464ABC"/>
    <w:rsid w:val="00465342"/>
    <w:rsid w:val="00465C10"/>
    <w:rsid w:val="00467167"/>
    <w:rsid w:val="00467488"/>
    <w:rsid w:val="004676BF"/>
    <w:rsid w:val="00467C4C"/>
    <w:rsid w:val="00467D21"/>
    <w:rsid w:val="00467D2C"/>
    <w:rsid w:val="004700F3"/>
    <w:rsid w:val="00471F4E"/>
    <w:rsid w:val="0047277E"/>
    <w:rsid w:val="0047472F"/>
    <w:rsid w:val="00475BC7"/>
    <w:rsid w:val="004769EB"/>
    <w:rsid w:val="00477065"/>
    <w:rsid w:val="00477113"/>
    <w:rsid w:val="00480286"/>
    <w:rsid w:val="0048055F"/>
    <w:rsid w:val="00480AC1"/>
    <w:rsid w:val="00481868"/>
    <w:rsid w:val="00481DE8"/>
    <w:rsid w:val="0048218E"/>
    <w:rsid w:val="00482964"/>
    <w:rsid w:val="00483DFF"/>
    <w:rsid w:val="004842D9"/>
    <w:rsid w:val="00484CAA"/>
    <w:rsid w:val="0048643E"/>
    <w:rsid w:val="00487175"/>
    <w:rsid w:val="004876F2"/>
    <w:rsid w:val="004900BB"/>
    <w:rsid w:val="00490560"/>
    <w:rsid w:val="00491253"/>
    <w:rsid w:val="00491B06"/>
    <w:rsid w:val="00491F02"/>
    <w:rsid w:val="00492089"/>
    <w:rsid w:val="004921AC"/>
    <w:rsid w:val="00492426"/>
    <w:rsid w:val="00492816"/>
    <w:rsid w:val="00492AD7"/>
    <w:rsid w:val="00493701"/>
    <w:rsid w:val="00494344"/>
    <w:rsid w:val="004947B6"/>
    <w:rsid w:val="0049485F"/>
    <w:rsid w:val="004964F2"/>
    <w:rsid w:val="00496B6D"/>
    <w:rsid w:val="004A05D4"/>
    <w:rsid w:val="004A0BDE"/>
    <w:rsid w:val="004A33AD"/>
    <w:rsid w:val="004A3D9A"/>
    <w:rsid w:val="004A4BD3"/>
    <w:rsid w:val="004A5BC4"/>
    <w:rsid w:val="004A5F98"/>
    <w:rsid w:val="004A62CB"/>
    <w:rsid w:val="004A7059"/>
    <w:rsid w:val="004A7684"/>
    <w:rsid w:val="004B0525"/>
    <w:rsid w:val="004B0F5F"/>
    <w:rsid w:val="004B198E"/>
    <w:rsid w:val="004B1F85"/>
    <w:rsid w:val="004B246C"/>
    <w:rsid w:val="004B29E2"/>
    <w:rsid w:val="004B32D5"/>
    <w:rsid w:val="004B6327"/>
    <w:rsid w:val="004B66EB"/>
    <w:rsid w:val="004B7A60"/>
    <w:rsid w:val="004C08C2"/>
    <w:rsid w:val="004C2045"/>
    <w:rsid w:val="004C25AB"/>
    <w:rsid w:val="004C4645"/>
    <w:rsid w:val="004C5A05"/>
    <w:rsid w:val="004C7BA7"/>
    <w:rsid w:val="004D0435"/>
    <w:rsid w:val="004D0506"/>
    <w:rsid w:val="004D0CB7"/>
    <w:rsid w:val="004D1328"/>
    <w:rsid w:val="004D1E35"/>
    <w:rsid w:val="004D273B"/>
    <w:rsid w:val="004D299B"/>
    <w:rsid w:val="004D35FF"/>
    <w:rsid w:val="004D42C1"/>
    <w:rsid w:val="004D48E2"/>
    <w:rsid w:val="004D497E"/>
    <w:rsid w:val="004D76F6"/>
    <w:rsid w:val="004D7A26"/>
    <w:rsid w:val="004D7D6B"/>
    <w:rsid w:val="004E0C76"/>
    <w:rsid w:val="004E0E76"/>
    <w:rsid w:val="004E2134"/>
    <w:rsid w:val="004E2F40"/>
    <w:rsid w:val="004E4544"/>
    <w:rsid w:val="004E4750"/>
    <w:rsid w:val="004E6187"/>
    <w:rsid w:val="004E6469"/>
    <w:rsid w:val="004E67E9"/>
    <w:rsid w:val="004E6969"/>
    <w:rsid w:val="004E6F7C"/>
    <w:rsid w:val="004F19EB"/>
    <w:rsid w:val="004F1F6B"/>
    <w:rsid w:val="004F242F"/>
    <w:rsid w:val="004F3FBB"/>
    <w:rsid w:val="004F4446"/>
    <w:rsid w:val="004F5091"/>
    <w:rsid w:val="004F5577"/>
    <w:rsid w:val="004F5AA5"/>
    <w:rsid w:val="004F5B49"/>
    <w:rsid w:val="004F695D"/>
    <w:rsid w:val="004F6CA9"/>
    <w:rsid w:val="004F79EB"/>
    <w:rsid w:val="00501073"/>
    <w:rsid w:val="0050138A"/>
    <w:rsid w:val="005013FE"/>
    <w:rsid w:val="0050262B"/>
    <w:rsid w:val="00502C0F"/>
    <w:rsid w:val="005030C8"/>
    <w:rsid w:val="00503552"/>
    <w:rsid w:val="00505A63"/>
    <w:rsid w:val="005064B4"/>
    <w:rsid w:val="00506641"/>
    <w:rsid w:val="00506DA8"/>
    <w:rsid w:val="00507560"/>
    <w:rsid w:val="0051037F"/>
    <w:rsid w:val="005106F1"/>
    <w:rsid w:val="005119F2"/>
    <w:rsid w:val="005121F6"/>
    <w:rsid w:val="0051252C"/>
    <w:rsid w:val="005125C4"/>
    <w:rsid w:val="005129FF"/>
    <w:rsid w:val="00513122"/>
    <w:rsid w:val="005135FA"/>
    <w:rsid w:val="005136FE"/>
    <w:rsid w:val="00513A83"/>
    <w:rsid w:val="00513F41"/>
    <w:rsid w:val="00514A82"/>
    <w:rsid w:val="00515286"/>
    <w:rsid w:val="0051623F"/>
    <w:rsid w:val="005170B1"/>
    <w:rsid w:val="00517C7E"/>
    <w:rsid w:val="00520466"/>
    <w:rsid w:val="00520B17"/>
    <w:rsid w:val="005210A3"/>
    <w:rsid w:val="00521B20"/>
    <w:rsid w:val="00522300"/>
    <w:rsid w:val="00522421"/>
    <w:rsid w:val="005264F7"/>
    <w:rsid w:val="00527957"/>
    <w:rsid w:val="00527BAA"/>
    <w:rsid w:val="00530AE8"/>
    <w:rsid w:val="005312AC"/>
    <w:rsid w:val="00532598"/>
    <w:rsid w:val="0053312A"/>
    <w:rsid w:val="005335C4"/>
    <w:rsid w:val="0053400C"/>
    <w:rsid w:val="0053576F"/>
    <w:rsid w:val="005368F8"/>
    <w:rsid w:val="00536AE3"/>
    <w:rsid w:val="00540A01"/>
    <w:rsid w:val="00540E14"/>
    <w:rsid w:val="005436D0"/>
    <w:rsid w:val="005452E1"/>
    <w:rsid w:val="00545B1A"/>
    <w:rsid w:val="005460DC"/>
    <w:rsid w:val="00547981"/>
    <w:rsid w:val="00550B4E"/>
    <w:rsid w:val="00550B9E"/>
    <w:rsid w:val="00553334"/>
    <w:rsid w:val="0055384E"/>
    <w:rsid w:val="00554BB4"/>
    <w:rsid w:val="00554C70"/>
    <w:rsid w:val="00554FE9"/>
    <w:rsid w:val="005553B4"/>
    <w:rsid w:val="0055567F"/>
    <w:rsid w:val="00555E7A"/>
    <w:rsid w:val="00555FA0"/>
    <w:rsid w:val="0055684F"/>
    <w:rsid w:val="00560AD7"/>
    <w:rsid w:val="00560C8F"/>
    <w:rsid w:val="00561A94"/>
    <w:rsid w:val="005624E5"/>
    <w:rsid w:val="005635F3"/>
    <w:rsid w:val="00563C21"/>
    <w:rsid w:val="00564501"/>
    <w:rsid w:val="00566B13"/>
    <w:rsid w:val="00566BE3"/>
    <w:rsid w:val="00567814"/>
    <w:rsid w:val="00567F84"/>
    <w:rsid w:val="00570089"/>
    <w:rsid w:val="00570A96"/>
    <w:rsid w:val="00570F94"/>
    <w:rsid w:val="00571937"/>
    <w:rsid w:val="0057247B"/>
    <w:rsid w:val="00572490"/>
    <w:rsid w:val="005736D4"/>
    <w:rsid w:val="00574CC5"/>
    <w:rsid w:val="005750F1"/>
    <w:rsid w:val="00576478"/>
    <w:rsid w:val="0058025E"/>
    <w:rsid w:val="00582390"/>
    <w:rsid w:val="00582BB9"/>
    <w:rsid w:val="0058375E"/>
    <w:rsid w:val="00583923"/>
    <w:rsid w:val="00583F3A"/>
    <w:rsid w:val="00584060"/>
    <w:rsid w:val="00584761"/>
    <w:rsid w:val="00585863"/>
    <w:rsid w:val="0058625F"/>
    <w:rsid w:val="00586CB5"/>
    <w:rsid w:val="00587575"/>
    <w:rsid w:val="00592D50"/>
    <w:rsid w:val="00593D54"/>
    <w:rsid w:val="00594FEB"/>
    <w:rsid w:val="00595314"/>
    <w:rsid w:val="0059571E"/>
    <w:rsid w:val="0059573D"/>
    <w:rsid w:val="00596407"/>
    <w:rsid w:val="00597CA2"/>
    <w:rsid w:val="005A0117"/>
    <w:rsid w:val="005A017B"/>
    <w:rsid w:val="005A0773"/>
    <w:rsid w:val="005A1034"/>
    <w:rsid w:val="005A1E8D"/>
    <w:rsid w:val="005A353F"/>
    <w:rsid w:val="005A47FD"/>
    <w:rsid w:val="005A5D1E"/>
    <w:rsid w:val="005A6A84"/>
    <w:rsid w:val="005A77E6"/>
    <w:rsid w:val="005A7B49"/>
    <w:rsid w:val="005B0506"/>
    <w:rsid w:val="005B0A54"/>
    <w:rsid w:val="005B16DB"/>
    <w:rsid w:val="005B1BC0"/>
    <w:rsid w:val="005B269A"/>
    <w:rsid w:val="005B30B5"/>
    <w:rsid w:val="005B345A"/>
    <w:rsid w:val="005B36A6"/>
    <w:rsid w:val="005B3ABC"/>
    <w:rsid w:val="005B636D"/>
    <w:rsid w:val="005B697D"/>
    <w:rsid w:val="005C090A"/>
    <w:rsid w:val="005C0957"/>
    <w:rsid w:val="005C0C37"/>
    <w:rsid w:val="005C1089"/>
    <w:rsid w:val="005C20D7"/>
    <w:rsid w:val="005C2436"/>
    <w:rsid w:val="005C25A5"/>
    <w:rsid w:val="005C3282"/>
    <w:rsid w:val="005C3E98"/>
    <w:rsid w:val="005C4245"/>
    <w:rsid w:val="005C7494"/>
    <w:rsid w:val="005C7E72"/>
    <w:rsid w:val="005C7EA2"/>
    <w:rsid w:val="005D1450"/>
    <w:rsid w:val="005D1FA4"/>
    <w:rsid w:val="005D25EA"/>
    <w:rsid w:val="005D277B"/>
    <w:rsid w:val="005D2833"/>
    <w:rsid w:val="005D2B0A"/>
    <w:rsid w:val="005D2DF7"/>
    <w:rsid w:val="005D3343"/>
    <w:rsid w:val="005D4C31"/>
    <w:rsid w:val="005D5F84"/>
    <w:rsid w:val="005D7E82"/>
    <w:rsid w:val="005E1244"/>
    <w:rsid w:val="005E15AA"/>
    <w:rsid w:val="005E15B0"/>
    <w:rsid w:val="005E299E"/>
    <w:rsid w:val="005E2D39"/>
    <w:rsid w:val="005E38B8"/>
    <w:rsid w:val="005E400D"/>
    <w:rsid w:val="005E493C"/>
    <w:rsid w:val="005E4AA1"/>
    <w:rsid w:val="005E5A9B"/>
    <w:rsid w:val="005E743B"/>
    <w:rsid w:val="005E77F9"/>
    <w:rsid w:val="005E7D9F"/>
    <w:rsid w:val="005F011A"/>
    <w:rsid w:val="005F145D"/>
    <w:rsid w:val="005F3810"/>
    <w:rsid w:val="005F3C3D"/>
    <w:rsid w:val="005F3E37"/>
    <w:rsid w:val="005F4197"/>
    <w:rsid w:val="005F42A1"/>
    <w:rsid w:val="005F441C"/>
    <w:rsid w:val="005F4E7A"/>
    <w:rsid w:val="005F601D"/>
    <w:rsid w:val="005F6385"/>
    <w:rsid w:val="005F69CE"/>
    <w:rsid w:val="005F6A8A"/>
    <w:rsid w:val="005F7B6E"/>
    <w:rsid w:val="006003C1"/>
    <w:rsid w:val="006005D7"/>
    <w:rsid w:val="00600C8A"/>
    <w:rsid w:val="00600FAE"/>
    <w:rsid w:val="0060186E"/>
    <w:rsid w:val="00602A42"/>
    <w:rsid w:val="006035D8"/>
    <w:rsid w:val="0060368E"/>
    <w:rsid w:val="0060383A"/>
    <w:rsid w:val="00603EBD"/>
    <w:rsid w:val="00603FF3"/>
    <w:rsid w:val="00605BC4"/>
    <w:rsid w:val="00607D4B"/>
    <w:rsid w:val="00610DD7"/>
    <w:rsid w:val="00612239"/>
    <w:rsid w:val="006122F7"/>
    <w:rsid w:val="00612456"/>
    <w:rsid w:val="0061322D"/>
    <w:rsid w:val="00613BE3"/>
    <w:rsid w:val="00614749"/>
    <w:rsid w:val="00614A8C"/>
    <w:rsid w:val="00614C10"/>
    <w:rsid w:val="00614C5C"/>
    <w:rsid w:val="00614D0F"/>
    <w:rsid w:val="0061517B"/>
    <w:rsid w:val="00615878"/>
    <w:rsid w:val="00616150"/>
    <w:rsid w:val="00616AD9"/>
    <w:rsid w:val="00617267"/>
    <w:rsid w:val="006176DA"/>
    <w:rsid w:val="00617B23"/>
    <w:rsid w:val="006216C9"/>
    <w:rsid w:val="0062206F"/>
    <w:rsid w:val="0062418D"/>
    <w:rsid w:val="0062482D"/>
    <w:rsid w:val="0062485B"/>
    <w:rsid w:val="006254C8"/>
    <w:rsid w:val="00626751"/>
    <w:rsid w:val="0062696B"/>
    <w:rsid w:val="006270C3"/>
    <w:rsid w:val="00632025"/>
    <w:rsid w:val="00632932"/>
    <w:rsid w:val="00632964"/>
    <w:rsid w:val="00632B68"/>
    <w:rsid w:val="00633629"/>
    <w:rsid w:val="00634BCD"/>
    <w:rsid w:val="006350B3"/>
    <w:rsid w:val="00635D78"/>
    <w:rsid w:val="0064073B"/>
    <w:rsid w:val="00640816"/>
    <w:rsid w:val="00641ED4"/>
    <w:rsid w:val="006426F6"/>
    <w:rsid w:val="0064309C"/>
    <w:rsid w:val="00643A52"/>
    <w:rsid w:val="0064533D"/>
    <w:rsid w:val="00645C79"/>
    <w:rsid w:val="00645DDD"/>
    <w:rsid w:val="00645EC1"/>
    <w:rsid w:val="00645EFA"/>
    <w:rsid w:val="0064692A"/>
    <w:rsid w:val="00646B86"/>
    <w:rsid w:val="00650275"/>
    <w:rsid w:val="006503E1"/>
    <w:rsid w:val="006506B5"/>
    <w:rsid w:val="00650843"/>
    <w:rsid w:val="006525AE"/>
    <w:rsid w:val="00652CE0"/>
    <w:rsid w:val="00652DBF"/>
    <w:rsid w:val="00653534"/>
    <w:rsid w:val="0065379A"/>
    <w:rsid w:val="00653F43"/>
    <w:rsid w:val="006542B2"/>
    <w:rsid w:val="00654C3E"/>
    <w:rsid w:val="006556ED"/>
    <w:rsid w:val="00655BB0"/>
    <w:rsid w:val="00655F77"/>
    <w:rsid w:val="00656C1A"/>
    <w:rsid w:val="006576E6"/>
    <w:rsid w:val="006578DC"/>
    <w:rsid w:val="00657C3F"/>
    <w:rsid w:val="00660CD9"/>
    <w:rsid w:val="006616D3"/>
    <w:rsid w:val="006640F4"/>
    <w:rsid w:val="00664384"/>
    <w:rsid w:val="00665068"/>
    <w:rsid w:val="00665435"/>
    <w:rsid w:val="00665938"/>
    <w:rsid w:val="00665CBC"/>
    <w:rsid w:val="0066615A"/>
    <w:rsid w:val="00667B74"/>
    <w:rsid w:val="00670453"/>
    <w:rsid w:val="00673816"/>
    <w:rsid w:val="00673D68"/>
    <w:rsid w:val="00675DC6"/>
    <w:rsid w:val="00676CDF"/>
    <w:rsid w:val="00680D19"/>
    <w:rsid w:val="00680F2D"/>
    <w:rsid w:val="006816EF"/>
    <w:rsid w:val="00681802"/>
    <w:rsid w:val="00681D96"/>
    <w:rsid w:val="00685B26"/>
    <w:rsid w:val="00685B89"/>
    <w:rsid w:val="00686D7F"/>
    <w:rsid w:val="00687E8B"/>
    <w:rsid w:val="00687F32"/>
    <w:rsid w:val="006903CB"/>
    <w:rsid w:val="0069130C"/>
    <w:rsid w:val="00691E7C"/>
    <w:rsid w:val="00692BB1"/>
    <w:rsid w:val="00692EB0"/>
    <w:rsid w:val="00693089"/>
    <w:rsid w:val="006935BF"/>
    <w:rsid w:val="00694157"/>
    <w:rsid w:val="0069506D"/>
    <w:rsid w:val="0069553C"/>
    <w:rsid w:val="00695615"/>
    <w:rsid w:val="006956C7"/>
    <w:rsid w:val="0069747A"/>
    <w:rsid w:val="00697EE0"/>
    <w:rsid w:val="00697F39"/>
    <w:rsid w:val="006A0437"/>
    <w:rsid w:val="006A0E9A"/>
    <w:rsid w:val="006A281C"/>
    <w:rsid w:val="006A2D75"/>
    <w:rsid w:val="006A2E0A"/>
    <w:rsid w:val="006A30A4"/>
    <w:rsid w:val="006A3D49"/>
    <w:rsid w:val="006A42CA"/>
    <w:rsid w:val="006A6B56"/>
    <w:rsid w:val="006A6D9E"/>
    <w:rsid w:val="006A72E7"/>
    <w:rsid w:val="006A72FE"/>
    <w:rsid w:val="006A7B6B"/>
    <w:rsid w:val="006B0F33"/>
    <w:rsid w:val="006B1042"/>
    <w:rsid w:val="006B167D"/>
    <w:rsid w:val="006B1B66"/>
    <w:rsid w:val="006B1BB3"/>
    <w:rsid w:val="006B1E49"/>
    <w:rsid w:val="006B1F73"/>
    <w:rsid w:val="006B273B"/>
    <w:rsid w:val="006B37F0"/>
    <w:rsid w:val="006B3B61"/>
    <w:rsid w:val="006B4506"/>
    <w:rsid w:val="006B59C0"/>
    <w:rsid w:val="006B5C73"/>
    <w:rsid w:val="006B6630"/>
    <w:rsid w:val="006B7B0F"/>
    <w:rsid w:val="006C003C"/>
    <w:rsid w:val="006C079F"/>
    <w:rsid w:val="006C0A8F"/>
    <w:rsid w:val="006C0D2F"/>
    <w:rsid w:val="006C0EEE"/>
    <w:rsid w:val="006C1A22"/>
    <w:rsid w:val="006C270F"/>
    <w:rsid w:val="006C350F"/>
    <w:rsid w:val="006C351F"/>
    <w:rsid w:val="006C36F8"/>
    <w:rsid w:val="006C441B"/>
    <w:rsid w:val="006C45A7"/>
    <w:rsid w:val="006C4676"/>
    <w:rsid w:val="006C5525"/>
    <w:rsid w:val="006C57F2"/>
    <w:rsid w:val="006C5BC3"/>
    <w:rsid w:val="006C62E5"/>
    <w:rsid w:val="006C6E59"/>
    <w:rsid w:val="006D08EC"/>
    <w:rsid w:val="006D188F"/>
    <w:rsid w:val="006D211C"/>
    <w:rsid w:val="006D2A05"/>
    <w:rsid w:val="006D2B6D"/>
    <w:rsid w:val="006D4AC2"/>
    <w:rsid w:val="006D5BD3"/>
    <w:rsid w:val="006D6FE1"/>
    <w:rsid w:val="006D74AA"/>
    <w:rsid w:val="006D798B"/>
    <w:rsid w:val="006D7E1F"/>
    <w:rsid w:val="006E0093"/>
    <w:rsid w:val="006E1332"/>
    <w:rsid w:val="006E173B"/>
    <w:rsid w:val="006E21AE"/>
    <w:rsid w:val="006E25ED"/>
    <w:rsid w:val="006E3421"/>
    <w:rsid w:val="006E3E6A"/>
    <w:rsid w:val="006E4064"/>
    <w:rsid w:val="006E46E7"/>
    <w:rsid w:val="006E4F1B"/>
    <w:rsid w:val="006E4F28"/>
    <w:rsid w:val="006E5168"/>
    <w:rsid w:val="006E51A9"/>
    <w:rsid w:val="006E6756"/>
    <w:rsid w:val="006E6BA6"/>
    <w:rsid w:val="006E7A9A"/>
    <w:rsid w:val="006E7E30"/>
    <w:rsid w:val="006F0CC8"/>
    <w:rsid w:val="006F0E3E"/>
    <w:rsid w:val="006F1E34"/>
    <w:rsid w:val="006F521A"/>
    <w:rsid w:val="006F5F3C"/>
    <w:rsid w:val="006F6AB6"/>
    <w:rsid w:val="006F7360"/>
    <w:rsid w:val="00700071"/>
    <w:rsid w:val="007033AC"/>
    <w:rsid w:val="007034B7"/>
    <w:rsid w:val="00703CBB"/>
    <w:rsid w:val="00703D20"/>
    <w:rsid w:val="00705F06"/>
    <w:rsid w:val="007063FD"/>
    <w:rsid w:val="00706CD5"/>
    <w:rsid w:val="007074A0"/>
    <w:rsid w:val="007074AD"/>
    <w:rsid w:val="007100B7"/>
    <w:rsid w:val="007102A6"/>
    <w:rsid w:val="00710C73"/>
    <w:rsid w:val="0071169C"/>
    <w:rsid w:val="0071178F"/>
    <w:rsid w:val="007117B6"/>
    <w:rsid w:val="00711C0A"/>
    <w:rsid w:val="00711D4B"/>
    <w:rsid w:val="007123AE"/>
    <w:rsid w:val="00712F49"/>
    <w:rsid w:val="00713B4D"/>
    <w:rsid w:val="00717064"/>
    <w:rsid w:val="007178B4"/>
    <w:rsid w:val="007216AA"/>
    <w:rsid w:val="007219A3"/>
    <w:rsid w:val="00723181"/>
    <w:rsid w:val="007241BB"/>
    <w:rsid w:val="007246D3"/>
    <w:rsid w:val="0072663D"/>
    <w:rsid w:val="00727F45"/>
    <w:rsid w:val="00730138"/>
    <w:rsid w:val="007311A6"/>
    <w:rsid w:val="007317DC"/>
    <w:rsid w:val="007335F3"/>
    <w:rsid w:val="00733739"/>
    <w:rsid w:val="00734358"/>
    <w:rsid w:val="00735915"/>
    <w:rsid w:val="007359BD"/>
    <w:rsid w:val="007368CE"/>
    <w:rsid w:val="00737315"/>
    <w:rsid w:val="00740184"/>
    <w:rsid w:val="00740B40"/>
    <w:rsid w:val="00740EEF"/>
    <w:rsid w:val="007411F9"/>
    <w:rsid w:val="0074264E"/>
    <w:rsid w:val="0074305A"/>
    <w:rsid w:val="00743154"/>
    <w:rsid w:val="007443AE"/>
    <w:rsid w:val="00744F7D"/>
    <w:rsid w:val="00745B53"/>
    <w:rsid w:val="00746096"/>
    <w:rsid w:val="0074642E"/>
    <w:rsid w:val="0075196B"/>
    <w:rsid w:val="0075219C"/>
    <w:rsid w:val="007524CD"/>
    <w:rsid w:val="00752532"/>
    <w:rsid w:val="00752EB2"/>
    <w:rsid w:val="00753230"/>
    <w:rsid w:val="007540FD"/>
    <w:rsid w:val="00754CA6"/>
    <w:rsid w:val="0075597E"/>
    <w:rsid w:val="00755FA4"/>
    <w:rsid w:val="007570AD"/>
    <w:rsid w:val="007571E2"/>
    <w:rsid w:val="007577DF"/>
    <w:rsid w:val="00757FF5"/>
    <w:rsid w:val="00761A4E"/>
    <w:rsid w:val="00761F7B"/>
    <w:rsid w:val="00762BBE"/>
    <w:rsid w:val="00763366"/>
    <w:rsid w:val="00763CB1"/>
    <w:rsid w:val="0076448E"/>
    <w:rsid w:val="0076562E"/>
    <w:rsid w:val="00765CC6"/>
    <w:rsid w:val="007663BF"/>
    <w:rsid w:val="00766783"/>
    <w:rsid w:val="007672D9"/>
    <w:rsid w:val="0076756B"/>
    <w:rsid w:val="00767B6E"/>
    <w:rsid w:val="00770321"/>
    <w:rsid w:val="00770DCA"/>
    <w:rsid w:val="00771C26"/>
    <w:rsid w:val="00771E95"/>
    <w:rsid w:val="00772337"/>
    <w:rsid w:val="00772992"/>
    <w:rsid w:val="00773273"/>
    <w:rsid w:val="0077383E"/>
    <w:rsid w:val="00773995"/>
    <w:rsid w:val="00773F3E"/>
    <w:rsid w:val="00774507"/>
    <w:rsid w:val="007752E9"/>
    <w:rsid w:val="00775788"/>
    <w:rsid w:val="00776E98"/>
    <w:rsid w:val="00780FA2"/>
    <w:rsid w:val="00781C60"/>
    <w:rsid w:val="0078238A"/>
    <w:rsid w:val="00782B03"/>
    <w:rsid w:val="00782B71"/>
    <w:rsid w:val="00783278"/>
    <w:rsid w:val="00783899"/>
    <w:rsid w:val="00783B71"/>
    <w:rsid w:val="00783D9F"/>
    <w:rsid w:val="00784751"/>
    <w:rsid w:val="007847BD"/>
    <w:rsid w:val="00786A9F"/>
    <w:rsid w:val="00790488"/>
    <w:rsid w:val="00792F37"/>
    <w:rsid w:val="0079309F"/>
    <w:rsid w:val="007939D2"/>
    <w:rsid w:val="00793B14"/>
    <w:rsid w:val="0079455A"/>
    <w:rsid w:val="007948FC"/>
    <w:rsid w:val="007954C6"/>
    <w:rsid w:val="00795F4C"/>
    <w:rsid w:val="0079607A"/>
    <w:rsid w:val="007A0A5A"/>
    <w:rsid w:val="007A22F4"/>
    <w:rsid w:val="007A2A5E"/>
    <w:rsid w:val="007A34A9"/>
    <w:rsid w:val="007A5232"/>
    <w:rsid w:val="007A5384"/>
    <w:rsid w:val="007A557C"/>
    <w:rsid w:val="007A6092"/>
    <w:rsid w:val="007A64CD"/>
    <w:rsid w:val="007A681D"/>
    <w:rsid w:val="007A6E9F"/>
    <w:rsid w:val="007A7C43"/>
    <w:rsid w:val="007B001B"/>
    <w:rsid w:val="007B05FE"/>
    <w:rsid w:val="007B0CB4"/>
    <w:rsid w:val="007B1267"/>
    <w:rsid w:val="007B18BE"/>
    <w:rsid w:val="007B1E4D"/>
    <w:rsid w:val="007B256B"/>
    <w:rsid w:val="007B285E"/>
    <w:rsid w:val="007B4B69"/>
    <w:rsid w:val="007B5136"/>
    <w:rsid w:val="007B582C"/>
    <w:rsid w:val="007B640E"/>
    <w:rsid w:val="007B6943"/>
    <w:rsid w:val="007B6FA5"/>
    <w:rsid w:val="007B7E7C"/>
    <w:rsid w:val="007C03A0"/>
    <w:rsid w:val="007C07F1"/>
    <w:rsid w:val="007C0AA1"/>
    <w:rsid w:val="007C0C24"/>
    <w:rsid w:val="007C1A82"/>
    <w:rsid w:val="007C22AC"/>
    <w:rsid w:val="007C30CE"/>
    <w:rsid w:val="007C36DD"/>
    <w:rsid w:val="007C36FD"/>
    <w:rsid w:val="007C3A9A"/>
    <w:rsid w:val="007C3AEE"/>
    <w:rsid w:val="007C4E40"/>
    <w:rsid w:val="007C6021"/>
    <w:rsid w:val="007C636B"/>
    <w:rsid w:val="007C6BC8"/>
    <w:rsid w:val="007C737E"/>
    <w:rsid w:val="007C7C7B"/>
    <w:rsid w:val="007D0091"/>
    <w:rsid w:val="007D132A"/>
    <w:rsid w:val="007D2515"/>
    <w:rsid w:val="007D34E4"/>
    <w:rsid w:val="007D3803"/>
    <w:rsid w:val="007D3957"/>
    <w:rsid w:val="007D3E8D"/>
    <w:rsid w:val="007D4492"/>
    <w:rsid w:val="007D44A2"/>
    <w:rsid w:val="007D48AC"/>
    <w:rsid w:val="007D5AFB"/>
    <w:rsid w:val="007D7C4D"/>
    <w:rsid w:val="007E0423"/>
    <w:rsid w:val="007E0904"/>
    <w:rsid w:val="007E091E"/>
    <w:rsid w:val="007E13B4"/>
    <w:rsid w:val="007E1B31"/>
    <w:rsid w:val="007E35AF"/>
    <w:rsid w:val="007E3F7F"/>
    <w:rsid w:val="007E4F5D"/>
    <w:rsid w:val="007E6174"/>
    <w:rsid w:val="007E67CC"/>
    <w:rsid w:val="007E7497"/>
    <w:rsid w:val="007E76B7"/>
    <w:rsid w:val="007E7A03"/>
    <w:rsid w:val="007F060F"/>
    <w:rsid w:val="007F19C2"/>
    <w:rsid w:val="007F240E"/>
    <w:rsid w:val="007F2863"/>
    <w:rsid w:val="007F2979"/>
    <w:rsid w:val="007F3837"/>
    <w:rsid w:val="007F4AD4"/>
    <w:rsid w:val="007F5810"/>
    <w:rsid w:val="007F5CC7"/>
    <w:rsid w:val="007F66E0"/>
    <w:rsid w:val="007F6C81"/>
    <w:rsid w:val="007F72AC"/>
    <w:rsid w:val="007F752D"/>
    <w:rsid w:val="007F7578"/>
    <w:rsid w:val="007F7C0C"/>
    <w:rsid w:val="007F7D33"/>
    <w:rsid w:val="00800810"/>
    <w:rsid w:val="00801F21"/>
    <w:rsid w:val="0080237C"/>
    <w:rsid w:val="0080320A"/>
    <w:rsid w:val="008034D1"/>
    <w:rsid w:val="00803B3B"/>
    <w:rsid w:val="00803D4E"/>
    <w:rsid w:val="008055A4"/>
    <w:rsid w:val="008067C2"/>
    <w:rsid w:val="00806899"/>
    <w:rsid w:val="00807007"/>
    <w:rsid w:val="00807628"/>
    <w:rsid w:val="00807FB0"/>
    <w:rsid w:val="008101BA"/>
    <w:rsid w:val="00810769"/>
    <w:rsid w:val="00810B8C"/>
    <w:rsid w:val="00810CC2"/>
    <w:rsid w:val="0081281D"/>
    <w:rsid w:val="008130E5"/>
    <w:rsid w:val="00813A19"/>
    <w:rsid w:val="00816ABD"/>
    <w:rsid w:val="00817748"/>
    <w:rsid w:val="0081787B"/>
    <w:rsid w:val="0082076E"/>
    <w:rsid w:val="008207C9"/>
    <w:rsid w:val="00821523"/>
    <w:rsid w:val="00822C7B"/>
    <w:rsid w:val="00822F97"/>
    <w:rsid w:val="00823326"/>
    <w:rsid w:val="00823D25"/>
    <w:rsid w:val="008242CC"/>
    <w:rsid w:val="00824573"/>
    <w:rsid w:val="00824C06"/>
    <w:rsid w:val="00824D01"/>
    <w:rsid w:val="008260D1"/>
    <w:rsid w:val="0082649E"/>
    <w:rsid w:val="00826EEA"/>
    <w:rsid w:val="008277D8"/>
    <w:rsid w:val="008302F6"/>
    <w:rsid w:val="0083062E"/>
    <w:rsid w:val="00830F54"/>
    <w:rsid w:val="008323E1"/>
    <w:rsid w:val="00832C41"/>
    <w:rsid w:val="00832E98"/>
    <w:rsid w:val="00833372"/>
    <w:rsid w:val="00833868"/>
    <w:rsid w:val="00834DAC"/>
    <w:rsid w:val="00834F8D"/>
    <w:rsid w:val="0083531C"/>
    <w:rsid w:val="00836B41"/>
    <w:rsid w:val="0083768E"/>
    <w:rsid w:val="00840A96"/>
    <w:rsid w:val="00840DF4"/>
    <w:rsid w:val="0084187A"/>
    <w:rsid w:val="00841F24"/>
    <w:rsid w:val="00842538"/>
    <w:rsid w:val="00843BA3"/>
    <w:rsid w:val="008447A1"/>
    <w:rsid w:val="008459F7"/>
    <w:rsid w:val="00845EBB"/>
    <w:rsid w:val="00846A7B"/>
    <w:rsid w:val="00846AA0"/>
    <w:rsid w:val="008476EE"/>
    <w:rsid w:val="00847D3C"/>
    <w:rsid w:val="00850785"/>
    <w:rsid w:val="00850B2B"/>
    <w:rsid w:val="00850B90"/>
    <w:rsid w:val="008519F9"/>
    <w:rsid w:val="0085253C"/>
    <w:rsid w:val="00853133"/>
    <w:rsid w:val="00853A20"/>
    <w:rsid w:val="00854A91"/>
    <w:rsid w:val="008550C5"/>
    <w:rsid w:val="00856C9B"/>
    <w:rsid w:val="008572EA"/>
    <w:rsid w:val="0085731B"/>
    <w:rsid w:val="00860314"/>
    <w:rsid w:val="0086340F"/>
    <w:rsid w:val="0086343F"/>
    <w:rsid w:val="0086363F"/>
    <w:rsid w:val="008637AC"/>
    <w:rsid w:val="00863D29"/>
    <w:rsid w:val="00863ED0"/>
    <w:rsid w:val="008642CD"/>
    <w:rsid w:val="008648F8"/>
    <w:rsid w:val="00864DDC"/>
    <w:rsid w:val="008652F3"/>
    <w:rsid w:val="00865469"/>
    <w:rsid w:val="008660DD"/>
    <w:rsid w:val="00866102"/>
    <w:rsid w:val="00866507"/>
    <w:rsid w:val="0086662F"/>
    <w:rsid w:val="008675B0"/>
    <w:rsid w:val="00867741"/>
    <w:rsid w:val="00867883"/>
    <w:rsid w:val="00867D56"/>
    <w:rsid w:val="00870DB9"/>
    <w:rsid w:val="008714EC"/>
    <w:rsid w:val="00872A6E"/>
    <w:rsid w:val="00872DE3"/>
    <w:rsid w:val="008732BB"/>
    <w:rsid w:val="00873A57"/>
    <w:rsid w:val="00874457"/>
    <w:rsid w:val="00875D31"/>
    <w:rsid w:val="00876D15"/>
    <w:rsid w:val="008777E1"/>
    <w:rsid w:val="0087795F"/>
    <w:rsid w:val="00877B4B"/>
    <w:rsid w:val="00877DB1"/>
    <w:rsid w:val="0088089E"/>
    <w:rsid w:val="00880FAB"/>
    <w:rsid w:val="00881653"/>
    <w:rsid w:val="008816B7"/>
    <w:rsid w:val="00882A5F"/>
    <w:rsid w:val="0088676E"/>
    <w:rsid w:val="00890912"/>
    <w:rsid w:val="008909C7"/>
    <w:rsid w:val="00890F4D"/>
    <w:rsid w:val="0089192A"/>
    <w:rsid w:val="00892962"/>
    <w:rsid w:val="008939D7"/>
    <w:rsid w:val="00893FE2"/>
    <w:rsid w:val="008971EF"/>
    <w:rsid w:val="00897795"/>
    <w:rsid w:val="008A06B3"/>
    <w:rsid w:val="008A11BA"/>
    <w:rsid w:val="008A19A0"/>
    <w:rsid w:val="008A5167"/>
    <w:rsid w:val="008A5E00"/>
    <w:rsid w:val="008A651E"/>
    <w:rsid w:val="008A70B4"/>
    <w:rsid w:val="008B0045"/>
    <w:rsid w:val="008B0902"/>
    <w:rsid w:val="008B220F"/>
    <w:rsid w:val="008B40CB"/>
    <w:rsid w:val="008B4579"/>
    <w:rsid w:val="008B489E"/>
    <w:rsid w:val="008B77A9"/>
    <w:rsid w:val="008B77AC"/>
    <w:rsid w:val="008C117F"/>
    <w:rsid w:val="008C1437"/>
    <w:rsid w:val="008C1C18"/>
    <w:rsid w:val="008C3BB2"/>
    <w:rsid w:val="008C42B8"/>
    <w:rsid w:val="008C4A5F"/>
    <w:rsid w:val="008C4E91"/>
    <w:rsid w:val="008C5BC6"/>
    <w:rsid w:val="008C7154"/>
    <w:rsid w:val="008D0830"/>
    <w:rsid w:val="008D19DE"/>
    <w:rsid w:val="008D20EC"/>
    <w:rsid w:val="008D211E"/>
    <w:rsid w:val="008D2635"/>
    <w:rsid w:val="008D340F"/>
    <w:rsid w:val="008D425B"/>
    <w:rsid w:val="008D48ED"/>
    <w:rsid w:val="008D5B71"/>
    <w:rsid w:val="008E018F"/>
    <w:rsid w:val="008E108C"/>
    <w:rsid w:val="008E3B4B"/>
    <w:rsid w:val="008E473A"/>
    <w:rsid w:val="008E4B09"/>
    <w:rsid w:val="008E610E"/>
    <w:rsid w:val="008E6C97"/>
    <w:rsid w:val="008F06CE"/>
    <w:rsid w:val="008F124D"/>
    <w:rsid w:val="008F2403"/>
    <w:rsid w:val="008F3586"/>
    <w:rsid w:val="008F50E8"/>
    <w:rsid w:val="008F534E"/>
    <w:rsid w:val="008F5467"/>
    <w:rsid w:val="008F55F5"/>
    <w:rsid w:val="008F620F"/>
    <w:rsid w:val="008F65FB"/>
    <w:rsid w:val="008F67E3"/>
    <w:rsid w:val="008F6A41"/>
    <w:rsid w:val="008F73AC"/>
    <w:rsid w:val="008F7CE3"/>
    <w:rsid w:val="00900AEE"/>
    <w:rsid w:val="00901AC7"/>
    <w:rsid w:val="00901FF4"/>
    <w:rsid w:val="00902635"/>
    <w:rsid w:val="00902AD6"/>
    <w:rsid w:val="00902BAA"/>
    <w:rsid w:val="00903A9F"/>
    <w:rsid w:val="00904D1D"/>
    <w:rsid w:val="009050D9"/>
    <w:rsid w:val="009063A1"/>
    <w:rsid w:val="0090719A"/>
    <w:rsid w:val="009074AC"/>
    <w:rsid w:val="00907E44"/>
    <w:rsid w:val="009109E7"/>
    <w:rsid w:val="009111FD"/>
    <w:rsid w:val="00911385"/>
    <w:rsid w:val="00911E5C"/>
    <w:rsid w:val="0091422B"/>
    <w:rsid w:val="00914C1A"/>
    <w:rsid w:val="00915CFB"/>
    <w:rsid w:val="00915ED9"/>
    <w:rsid w:val="00916AE0"/>
    <w:rsid w:val="009179DB"/>
    <w:rsid w:val="00920BA8"/>
    <w:rsid w:val="009217A3"/>
    <w:rsid w:val="00921A97"/>
    <w:rsid w:val="00922B3D"/>
    <w:rsid w:val="00923256"/>
    <w:rsid w:val="009235D7"/>
    <w:rsid w:val="00923747"/>
    <w:rsid w:val="00923B23"/>
    <w:rsid w:val="009255A5"/>
    <w:rsid w:val="00925C4F"/>
    <w:rsid w:val="00926696"/>
    <w:rsid w:val="00931272"/>
    <w:rsid w:val="00931EC7"/>
    <w:rsid w:val="00932E9E"/>
    <w:rsid w:val="00932F1D"/>
    <w:rsid w:val="00933F45"/>
    <w:rsid w:val="00934923"/>
    <w:rsid w:val="00934954"/>
    <w:rsid w:val="009353C4"/>
    <w:rsid w:val="009358D5"/>
    <w:rsid w:val="009361B2"/>
    <w:rsid w:val="00936B61"/>
    <w:rsid w:val="009372B9"/>
    <w:rsid w:val="00937BE6"/>
    <w:rsid w:val="009401F4"/>
    <w:rsid w:val="00940AAB"/>
    <w:rsid w:val="009420B0"/>
    <w:rsid w:val="009442CF"/>
    <w:rsid w:val="0094530C"/>
    <w:rsid w:val="009453EC"/>
    <w:rsid w:val="00945691"/>
    <w:rsid w:val="0094684B"/>
    <w:rsid w:val="00946A61"/>
    <w:rsid w:val="00950B08"/>
    <w:rsid w:val="00950FEC"/>
    <w:rsid w:val="00952C3E"/>
    <w:rsid w:val="00953A06"/>
    <w:rsid w:val="00954F0C"/>
    <w:rsid w:val="00954F74"/>
    <w:rsid w:val="0095558A"/>
    <w:rsid w:val="00956171"/>
    <w:rsid w:val="00956301"/>
    <w:rsid w:val="0095647E"/>
    <w:rsid w:val="00957629"/>
    <w:rsid w:val="009578DB"/>
    <w:rsid w:val="009605AC"/>
    <w:rsid w:val="009615A4"/>
    <w:rsid w:val="0096265F"/>
    <w:rsid w:val="00962F32"/>
    <w:rsid w:val="00963745"/>
    <w:rsid w:val="0096440D"/>
    <w:rsid w:val="009645B0"/>
    <w:rsid w:val="009658FE"/>
    <w:rsid w:val="00967CC3"/>
    <w:rsid w:val="0097008E"/>
    <w:rsid w:val="009704F1"/>
    <w:rsid w:val="009727A3"/>
    <w:rsid w:val="0097280E"/>
    <w:rsid w:val="00972F82"/>
    <w:rsid w:val="009742C6"/>
    <w:rsid w:val="00974371"/>
    <w:rsid w:val="0097458A"/>
    <w:rsid w:val="009753A1"/>
    <w:rsid w:val="009763CB"/>
    <w:rsid w:val="00976B60"/>
    <w:rsid w:val="0097792B"/>
    <w:rsid w:val="00981357"/>
    <w:rsid w:val="00981F64"/>
    <w:rsid w:val="0098234E"/>
    <w:rsid w:val="009829E5"/>
    <w:rsid w:val="009840C2"/>
    <w:rsid w:val="00984FD4"/>
    <w:rsid w:val="00985176"/>
    <w:rsid w:val="00985F0C"/>
    <w:rsid w:val="0098608D"/>
    <w:rsid w:val="00987149"/>
    <w:rsid w:val="00987733"/>
    <w:rsid w:val="00987870"/>
    <w:rsid w:val="00987F9D"/>
    <w:rsid w:val="0099011F"/>
    <w:rsid w:val="00990197"/>
    <w:rsid w:val="00990A91"/>
    <w:rsid w:val="00991C7B"/>
    <w:rsid w:val="0099473A"/>
    <w:rsid w:val="0099478C"/>
    <w:rsid w:val="00994812"/>
    <w:rsid w:val="009948F0"/>
    <w:rsid w:val="00994DD7"/>
    <w:rsid w:val="00995196"/>
    <w:rsid w:val="009966D6"/>
    <w:rsid w:val="009971C4"/>
    <w:rsid w:val="00997942"/>
    <w:rsid w:val="00997ECD"/>
    <w:rsid w:val="009A03BD"/>
    <w:rsid w:val="009A102D"/>
    <w:rsid w:val="009A16ED"/>
    <w:rsid w:val="009A1A5D"/>
    <w:rsid w:val="009A1B2D"/>
    <w:rsid w:val="009A2047"/>
    <w:rsid w:val="009A22AB"/>
    <w:rsid w:val="009A2C12"/>
    <w:rsid w:val="009A629F"/>
    <w:rsid w:val="009A6793"/>
    <w:rsid w:val="009B038F"/>
    <w:rsid w:val="009B07EA"/>
    <w:rsid w:val="009B1519"/>
    <w:rsid w:val="009B2295"/>
    <w:rsid w:val="009B2436"/>
    <w:rsid w:val="009B2895"/>
    <w:rsid w:val="009B299F"/>
    <w:rsid w:val="009B361D"/>
    <w:rsid w:val="009B3F41"/>
    <w:rsid w:val="009B421F"/>
    <w:rsid w:val="009B50F6"/>
    <w:rsid w:val="009B55FB"/>
    <w:rsid w:val="009B714E"/>
    <w:rsid w:val="009B7C6C"/>
    <w:rsid w:val="009B7D74"/>
    <w:rsid w:val="009C0187"/>
    <w:rsid w:val="009C0261"/>
    <w:rsid w:val="009C1AA2"/>
    <w:rsid w:val="009C2C33"/>
    <w:rsid w:val="009C2E5F"/>
    <w:rsid w:val="009C5275"/>
    <w:rsid w:val="009C596A"/>
    <w:rsid w:val="009C630E"/>
    <w:rsid w:val="009C701B"/>
    <w:rsid w:val="009C7417"/>
    <w:rsid w:val="009D2014"/>
    <w:rsid w:val="009D2334"/>
    <w:rsid w:val="009D2951"/>
    <w:rsid w:val="009D30FE"/>
    <w:rsid w:val="009D355E"/>
    <w:rsid w:val="009D4519"/>
    <w:rsid w:val="009D5B09"/>
    <w:rsid w:val="009D7AE4"/>
    <w:rsid w:val="009E0CDF"/>
    <w:rsid w:val="009E2C6D"/>
    <w:rsid w:val="009E4305"/>
    <w:rsid w:val="009E49BB"/>
    <w:rsid w:val="009E52B7"/>
    <w:rsid w:val="009E5FFB"/>
    <w:rsid w:val="009E6DFA"/>
    <w:rsid w:val="009F10B6"/>
    <w:rsid w:val="009F1F34"/>
    <w:rsid w:val="009F2BA7"/>
    <w:rsid w:val="009F4476"/>
    <w:rsid w:val="009F4AC5"/>
    <w:rsid w:val="009F5767"/>
    <w:rsid w:val="009F57BD"/>
    <w:rsid w:val="009F5955"/>
    <w:rsid w:val="00A0079A"/>
    <w:rsid w:val="00A01AA9"/>
    <w:rsid w:val="00A027FE"/>
    <w:rsid w:val="00A02EC8"/>
    <w:rsid w:val="00A05649"/>
    <w:rsid w:val="00A05E49"/>
    <w:rsid w:val="00A06635"/>
    <w:rsid w:val="00A068C7"/>
    <w:rsid w:val="00A07B5F"/>
    <w:rsid w:val="00A10544"/>
    <w:rsid w:val="00A1173E"/>
    <w:rsid w:val="00A13217"/>
    <w:rsid w:val="00A14A26"/>
    <w:rsid w:val="00A15B6E"/>
    <w:rsid w:val="00A166CA"/>
    <w:rsid w:val="00A16726"/>
    <w:rsid w:val="00A20230"/>
    <w:rsid w:val="00A2126D"/>
    <w:rsid w:val="00A214D5"/>
    <w:rsid w:val="00A229D2"/>
    <w:rsid w:val="00A23218"/>
    <w:rsid w:val="00A249C4"/>
    <w:rsid w:val="00A2578F"/>
    <w:rsid w:val="00A259AF"/>
    <w:rsid w:val="00A259B8"/>
    <w:rsid w:val="00A262D1"/>
    <w:rsid w:val="00A26CA9"/>
    <w:rsid w:val="00A30D99"/>
    <w:rsid w:val="00A31004"/>
    <w:rsid w:val="00A31535"/>
    <w:rsid w:val="00A3190D"/>
    <w:rsid w:val="00A31D31"/>
    <w:rsid w:val="00A3227B"/>
    <w:rsid w:val="00A33AB7"/>
    <w:rsid w:val="00A33AEF"/>
    <w:rsid w:val="00A34AF8"/>
    <w:rsid w:val="00A34FAA"/>
    <w:rsid w:val="00A3546B"/>
    <w:rsid w:val="00A35652"/>
    <w:rsid w:val="00A358DB"/>
    <w:rsid w:val="00A35CC7"/>
    <w:rsid w:val="00A367F5"/>
    <w:rsid w:val="00A378B9"/>
    <w:rsid w:val="00A40CCA"/>
    <w:rsid w:val="00A41050"/>
    <w:rsid w:val="00A421AA"/>
    <w:rsid w:val="00A4220B"/>
    <w:rsid w:val="00A424CA"/>
    <w:rsid w:val="00A43322"/>
    <w:rsid w:val="00A434D4"/>
    <w:rsid w:val="00A46155"/>
    <w:rsid w:val="00A463D7"/>
    <w:rsid w:val="00A466FF"/>
    <w:rsid w:val="00A46D12"/>
    <w:rsid w:val="00A47FBB"/>
    <w:rsid w:val="00A50770"/>
    <w:rsid w:val="00A50C2D"/>
    <w:rsid w:val="00A50CE8"/>
    <w:rsid w:val="00A51000"/>
    <w:rsid w:val="00A519BA"/>
    <w:rsid w:val="00A51F0F"/>
    <w:rsid w:val="00A522BE"/>
    <w:rsid w:val="00A526E5"/>
    <w:rsid w:val="00A527A8"/>
    <w:rsid w:val="00A52D45"/>
    <w:rsid w:val="00A5447F"/>
    <w:rsid w:val="00A549FA"/>
    <w:rsid w:val="00A55855"/>
    <w:rsid w:val="00A55C52"/>
    <w:rsid w:val="00A5796F"/>
    <w:rsid w:val="00A60152"/>
    <w:rsid w:val="00A60F95"/>
    <w:rsid w:val="00A6130B"/>
    <w:rsid w:val="00A617FA"/>
    <w:rsid w:val="00A6252E"/>
    <w:rsid w:val="00A627CE"/>
    <w:rsid w:val="00A62F44"/>
    <w:rsid w:val="00A63AC8"/>
    <w:rsid w:val="00A643E4"/>
    <w:rsid w:val="00A64A4A"/>
    <w:rsid w:val="00A6572F"/>
    <w:rsid w:val="00A65E51"/>
    <w:rsid w:val="00A66061"/>
    <w:rsid w:val="00A66C24"/>
    <w:rsid w:val="00A7055A"/>
    <w:rsid w:val="00A71761"/>
    <w:rsid w:val="00A721E9"/>
    <w:rsid w:val="00A7384C"/>
    <w:rsid w:val="00A73E1E"/>
    <w:rsid w:val="00A75976"/>
    <w:rsid w:val="00A75A20"/>
    <w:rsid w:val="00A763B0"/>
    <w:rsid w:val="00A77B89"/>
    <w:rsid w:val="00A82FE8"/>
    <w:rsid w:val="00A83209"/>
    <w:rsid w:val="00A83815"/>
    <w:rsid w:val="00A83A0E"/>
    <w:rsid w:val="00A840D8"/>
    <w:rsid w:val="00A84DD8"/>
    <w:rsid w:val="00A84E63"/>
    <w:rsid w:val="00A851C6"/>
    <w:rsid w:val="00A856C2"/>
    <w:rsid w:val="00A8600D"/>
    <w:rsid w:val="00A87EC9"/>
    <w:rsid w:val="00A90EB7"/>
    <w:rsid w:val="00A91C62"/>
    <w:rsid w:val="00A92807"/>
    <w:rsid w:val="00A9363A"/>
    <w:rsid w:val="00A95169"/>
    <w:rsid w:val="00A95591"/>
    <w:rsid w:val="00A95B9D"/>
    <w:rsid w:val="00A95DFC"/>
    <w:rsid w:val="00A96319"/>
    <w:rsid w:val="00A97188"/>
    <w:rsid w:val="00A971AF"/>
    <w:rsid w:val="00A97322"/>
    <w:rsid w:val="00A9791F"/>
    <w:rsid w:val="00AA0981"/>
    <w:rsid w:val="00AA0F74"/>
    <w:rsid w:val="00AA13C4"/>
    <w:rsid w:val="00AA1662"/>
    <w:rsid w:val="00AA220E"/>
    <w:rsid w:val="00AA2341"/>
    <w:rsid w:val="00AA2E52"/>
    <w:rsid w:val="00AA3287"/>
    <w:rsid w:val="00AA4E08"/>
    <w:rsid w:val="00AA6058"/>
    <w:rsid w:val="00AA6671"/>
    <w:rsid w:val="00AA6F43"/>
    <w:rsid w:val="00AA7396"/>
    <w:rsid w:val="00AA79D2"/>
    <w:rsid w:val="00AB01AA"/>
    <w:rsid w:val="00AB0A65"/>
    <w:rsid w:val="00AB0CF5"/>
    <w:rsid w:val="00AB1A16"/>
    <w:rsid w:val="00AB1C74"/>
    <w:rsid w:val="00AB2491"/>
    <w:rsid w:val="00AB2895"/>
    <w:rsid w:val="00AB3009"/>
    <w:rsid w:val="00AB3798"/>
    <w:rsid w:val="00AB3DE2"/>
    <w:rsid w:val="00AB3F8B"/>
    <w:rsid w:val="00AB5EB8"/>
    <w:rsid w:val="00AB680F"/>
    <w:rsid w:val="00AC04E9"/>
    <w:rsid w:val="00AC1BA8"/>
    <w:rsid w:val="00AC1FE7"/>
    <w:rsid w:val="00AC2A58"/>
    <w:rsid w:val="00AC4951"/>
    <w:rsid w:val="00AC4D36"/>
    <w:rsid w:val="00AC56F2"/>
    <w:rsid w:val="00AC5AEE"/>
    <w:rsid w:val="00AC7C26"/>
    <w:rsid w:val="00AD019C"/>
    <w:rsid w:val="00AD0A5C"/>
    <w:rsid w:val="00AD2BC8"/>
    <w:rsid w:val="00AD33D6"/>
    <w:rsid w:val="00AD370C"/>
    <w:rsid w:val="00AD3A4B"/>
    <w:rsid w:val="00AD3FEE"/>
    <w:rsid w:val="00AD409C"/>
    <w:rsid w:val="00AD4796"/>
    <w:rsid w:val="00AD47C3"/>
    <w:rsid w:val="00AD6AFC"/>
    <w:rsid w:val="00AD7D60"/>
    <w:rsid w:val="00AE0D43"/>
    <w:rsid w:val="00AE22EB"/>
    <w:rsid w:val="00AE25B8"/>
    <w:rsid w:val="00AE2875"/>
    <w:rsid w:val="00AE28FA"/>
    <w:rsid w:val="00AE29CE"/>
    <w:rsid w:val="00AE3D47"/>
    <w:rsid w:val="00AE4F12"/>
    <w:rsid w:val="00AE520A"/>
    <w:rsid w:val="00AE58B0"/>
    <w:rsid w:val="00AE5A10"/>
    <w:rsid w:val="00AE72B1"/>
    <w:rsid w:val="00AE7959"/>
    <w:rsid w:val="00AE7AB8"/>
    <w:rsid w:val="00AF0CD9"/>
    <w:rsid w:val="00AF13B0"/>
    <w:rsid w:val="00AF15BC"/>
    <w:rsid w:val="00AF2972"/>
    <w:rsid w:val="00AF2B93"/>
    <w:rsid w:val="00AF392C"/>
    <w:rsid w:val="00AF3DB1"/>
    <w:rsid w:val="00AF4F31"/>
    <w:rsid w:val="00AF6208"/>
    <w:rsid w:val="00AF6308"/>
    <w:rsid w:val="00AF6FC7"/>
    <w:rsid w:val="00AF78A2"/>
    <w:rsid w:val="00AF78DF"/>
    <w:rsid w:val="00B010DB"/>
    <w:rsid w:val="00B04A6E"/>
    <w:rsid w:val="00B05B21"/>
    <w:rsid w:val="00B06474"/>
    <w:rsid w:val="00B07482"/>
    <w:rsid w:val="00B100F7"/>
    <w:rsid w:val="00B10F56"/>
    <w:rsid w:val="00B117DC"/>
    <w:rsid w:val="00B12044"/>
    <w:rsid w:val="00B12A7A"/>
    <w:rsid w:val="00B171A2"/>
    <w:rsid w:val="00B17756"/>
    <w:rsid w:val="00B20B5D"/>
    <w:rsid w:val="00B20BA9"/>
    <w:rsid w:val="00B21F6A"/>
    <w:rsid w:val="00B2315B"/>
    <w:rsid w:val="00B23575"/>
    <w:rsid w:val="00B2405E"/>
    <w:rsid w:val="00B24F07"/>
    <w:rsid w:val="00B2542D"/>
    <w:rsid w:val="00B25BA6"/>
    <w:rsid w:val="00B25BE8"/>
    <w:rsid w:val="00B25D91"/>
    <w:rsid w:val="00B30170"/>
    <w:rsid w:val="00B33162"/>
    <w:rsid w:val="00B345DE"/>
    <w:rsid w:val="00B34C8F"/>
    <w:rsid w:val="00B353E2"/>
    <w:rsid w:val="00B35ECA"/>
    <w:rsid w:val="00B36A25"/>
    <w:rsid w:val="00B37C28"/>
    <w:rsid w:val="00B40051"/>
    <w:rsid w:val="00B4091B"/>
    <w:rsid w:val="00B4091C"/>
    <w:rsid w:val="00B41EB5"/>
    <w:rsid w:val="00B42C92"/>
    <w:rsid w:val="00B42D83"/>
    <w:rsid w:val="00B436BC"/>
    <w:rsid w:val="00B438C5"/>
    <w:rsid w:val="00B43ED7"/>
    <w:rsid w:val="00B446CD"/>
    <w:rsid w:val="00B44FC0"/>
    <w:rsid w:val="00B45EE6"/>
    <w:rsid w:val="00B45F57"/>
    <w:rsid w:val="00B46643"/>
    <w:rsid w:val="00B47A2A"/>
    <w:rsid w:val="00B47ACB"/>
    <w:rsid w:val="00B47C63"/>
    <w:rsid w:val="00B47CD2"/>
    <w:rsid w:val="00B47F36"/>
    <w:rsid w:val="00B50AB6"/>
    <w:rsid w:val="00B5197A"/>
    <w:rsid w:val="00B52622"/>
    <w:rsid w:val="00B52E9F"/>
    <w:rsid w:val="00B54BBD"/>
    <w:rsid w:val="00B560D1"/>
    <w:rsid w:val="00B56566"/>
    <w:rsid w:val="00B56B79"/>
    <w:rsid w:val="00B5726F"/>
    <w:rsid w:val="00B605AC"/>
    <w:rsid w:val="00B60915"/>
    <w:rsid w:val="00B61757"/>
    <w:rsid w:val="00B61A54"/>
    <w:rsid w:val="00B61B63"/>
    <w:rsid w:val="00B61BCD"/>
    <w:rsid w:val="00B61D23"/>
    <w:rsid w:val="00B62E9D"/>
    <w:rsid w:val="00B6324D"/>
    <w:rsid w:val="00B659BC"/>
    <w:rsid w:val="00B663FD"/>
    <w:rsid w:val="00B66500"/>
    <w:rsid w:val="00B669E0"/>
    <w:rsid w:val="00B7081B"/>
    <w:rsid w:val="00B71E51"/>
    <w:rsid w:val="00B74193"/>
    <w:rsid w:val="00B74F46"/>
    <w:rsid w:val="00B758B4"/>
    <w:rsid w:val="00B76523"/>
    <w:rsid w:val="00B76E9A"/>
    <w:rsid w:val="00B777CA"/>
    <w:rsid w:val="00B80156"/>
    <w:rsid w:val="00B819AA"/>
    <w:rsid w:val="00B82EB3"/>
    <w:rsid w:val="00B834F6"/>
    <w:rsid w:val="00B83A30"/>
    <w:rsid w:val="00B8476F"/>
    <w:rsid w:val="00B85999"/>
    <w:rsid w:val="00B85CBB"/>
    <w:rsid w:val="00B86F83"/>
    <w:rsid w:val="00B902C6"/>
    <w:rsid w:val="00B903CB"/>
    <w:rsid w:val="00B90510"/>
    <w:rsid w:val="00B92152"/>
    <w:rsid w:val="00B92FC4"/>
    <w:rsid w:val="00B93680"/>
    <w:rsid w:val="00B93755"/>
    <w:rsid w:val="00B95654"/>
    <w:rsid w:val="00B95AD0"/>
    <w:rsid w:val="00B95BFA"/>
    <w:rsid w:val="00B96582"/>
    <w:rsid w:val="00B96B24"/>
    <w:rsid w:val="00BA069E"/>
    <w:rsid w:val="00BA0755"/>
    <w:rsid w:val="00BA1032"/>
    <w:rsid w:val="00BA14F8"/>
    <w:rsid w:val="00BA1D66"/>
    <w:rsid w:val="00BA2699"/>
    <w:rsid w:val="00BA2B90"/>
    <w:rsid w:val="00BA6176"/>
    <w:rsid w:val="00BA64B3"/>
    <w:rsid w:val="00BA7B25"/>
    <w:rsid w:val="00BB0E2A"/>
    <w:rsid w:val="00BB17B1"/>
    <w:rsid w:val="00BB19E5"/>
    <w:rsid w:val="00BB2FBB"/>
    <w:rsid w:val="00BB35BE"/>
    <w:rsid w:val="00BB4102"/>
    <w:rsid w:val="00BB43D3"/>
    <w:rsid w:val="00BB44D5"/>
    <w:rsid w:val="00BB7201"/>
    <w:rsid w:val="00BB7D8F"/>
    <w:rsid w:val="00BC000D"/>
    <w:rsid w:val="00BC0454"/>
    <w:rsid w:val="00BC168F"/>
    <w:rsid w:val="00BC1AB3"/>
    <w:rsid w:val="00BC45C3"/>
    <w:rsid w:val="00BC4863"/>
    <w:rsid w:val="00BC49B4"/>
    <w:rsid w:val="00BC54CF"/>
    <w:rsid w:val="00BC596B"/>
    <w:rsid w:val="00BC5F87"/>
    <w:rsid w:val="00BC63FB"/>
    <w:rsid w:val="00BC74C7"/>
    <w:rsid w:val="00BC7541"/>
    <w:rsid w:val="00BD2670"/>
    <w:rsid w:val="00BD5604"/>
    <w:rsid w:val="00BD58B1"/>
    <w:rsid w:val="00BD5D57"/>
    <w:rsid w:val="00BD5E89"/>
    <w:rsid w:val="00BD5F62"/>
    <w:rsid w:val="00BD7001"/>
    <w:rsid w:val="00BD7CCD"/>
    <w:rsid w:val="00BE0789"/>
    <w:rsid w:val="00BE14FB"/>
    <w:rsid w:val="00BE1D27"/>
    <w:rsid w:val="00BE2AF5"/>
    <w:rsid w:val="00BE2F7F"/>
    <w:rsid w:val="00BE581D"/>
    <w:rsid w:val="00BE5B35"/>
    <w:rsid w:val="00BE6F74"/>
    <w:rsid w:val="00BE7C1C"/>
    <w:rsid w:val="00BF0A1E"/>
    <w:rsid w:val="00BF0D4B"/>
    <w:rsid w:val="00BF1981"/>
    <w:rsid w:val="00BF21DB"/>
    <w:rsid w:val="00BF2349"/>
    <w:rsid w:val="00BF2438"/>
    <w:rsid w:val="00BF2D0C"/>
    <w:rsid w:val="00BF3116"/>
    <w:rsid w:val="00BF3AB8"/>
    <w:rsid w:val="00BF4511"/>
    <w:rsid w:val="00BF4ED4"/>
    <w:rsid w:val="00C00A91"/>
    <w:rsid w:val="00C010EA"/>
    <w:rsid w:val="00C0162D"/>
    <w:rsid w:val="00C01D4A"/>
    <w:rsid w:val="00C023CB"/>
    <w:rsid w:val="00C024D7"/>
    <w:rsid w:val="00C02BCE"/>
    <w:rsid w:val="00C03C03"/>
    <w:rsid w:val="00C04FF5"/>
    <w:rsid w:val="00C060C9"/>
    <w:rsid w:val="00C07773"/>
    <w:rsid w:val="00C07E17"/>
    <w:rsid w:val="00C1039F"/>
    <w:rsid w:val="00C10448"/>
    <w:rsid w:val="00C108A7"/>
    <w:rsid w:val="00C1091F"/>
    <w:rsid w:val="00C10A75"/>
    <w:rsid w:val="00C11734"/>
    <w:rsid w:val="00C11BA8"/>
    <w:rsid w:val="00C12CD1"/>
    <w:rsid w:val="00C12DFD"/>
    <w:rsid w:val="00C1303A"/>
    <w:rsid w:val="00C140A1"/>
    <w:rsid w:val="00C14367"/>
    <w:rsid w:val="00C1486A"/>
    <w:rsid w:val="00C14CB2"/>
    <w:rsid w:val="00C15625"/>
    <w:rsid w:val="00C1579B"/>
    <w:rsid w:val="00C15F63"/>
    <w:rsid w:val="00C16B67"/>
    <w:rsid w:val="00C171D4"/>
    <w:rsid w:val="00C17215"/>
    <w:rsid w:val="00C17415"/>
    <w:rsid w:val="00C17C2E"/>
    <w:rsid w:val="00C17DBA"/>
    <w:rsid w:val="00C20117"/>
    <w:rsid w:val="00C203A3"/>
    <w:rsid w:val="00C20AE5"/>
    <w:rsid w:val="00C211F5"/>
    <w:rsid w:val="00C21E51"/>
    <w:rsid w:val="00C239FF"/>
    <w:rsid w:val="00C25810"/>
    <w:rsid w:val="00C25E5B"/>
    <w:rsid w:val="00C25F7D"/>
    <w:rsid w:val="00C26317"/>
    <w:rsid w:val="00C26F47"/>
    <w:rsid w:val="00C27E0D"/>
    <w:rsid w:val="00C30171"/>
    <w:rsid w:val="00C30212"/>
    <w:rsid w:val="00C3112F"/>
    <w:rsid w:val="00C31B40"/>
    <w:rsid w:val="00C32E0C"/>
    <w:rsid w:val="00C33454"/>
    <w:rsid w:val="00C34B7B"/>
    <w:rsid w:val="00C350AF"/>
    <w:rsid w:val="00C354F0"/>
    <w:rsid w:val="00C35C27"/>
    <w:rsid w:val="00C35D03"/>
    <w:rsid w:val="00C368C4"/>
    <w:rsid w:val="00C368CA"/>
    <w:rsid w:val="00C37698"/>
    <w:rsid w:val="00C405B7"/>
    <w:rsid w:val="00C41AD4"/>
    <w:rsid w:val="00C42410"/>
    <w:rsid w:val="00C4274E"/>
    <w:rsid w:val="00C42CBD"/>
    <w:rsid w:val="00C42F90"/>
    <w:rsid w:val="00C4393F"/>
    <w:rsid w:val="00C43E3E"/>
    <w:rsid w:val="00C4481B"/>
    <w:rsid w:val="00C44A1D"/>
    <w:rsid w:val="00C44B59"/>
    <w:rsid w:val="00C4518F"/>
    <w:rsid w:val="00C46C60"/>
    <w:rsid w:val="00C47DEE"/>
    <w:rsid w:val="00C50149"/>
    <w:rsid w:val="00C50640"/>
    <w:rsid w:val="00C50979"/>
    <w:rsid w:val="00C50BBF"/>
    <w:rsid w:val="00C5154F"/>
    <w:rsid w:val="00C51B90"/>
    <w:rsid w:val="00C528A3"/>
    <w:rsid w:val="00C54972"/>
    <w:rsid w:val="00C55418"/>
    <w:rsid w:val="00C5543C"/>
    <w:rsid w:val="00C55B9C"/>
    <w:rsid w:val="00C562E8"/>
    <w:rsid w:val="00C56FD0"/>
    <w:rsid w:val="00C600E7"/>
    <w:rsid w:val="00C60B2E"/>
    <w:rsid w:val="00C614AD"/>
    <w:rsid w:val="00C61DE1"/>
    <w:rsid w:val="00C61DED"/>
    <w:rsid w:val="00C626F0"/>
    <w:rsid w:val="00C62E9E"/>
    <w:rsid w:val="00C62F8F"/>
    <w:rsid w:val="00C633C4"/>
    <w:rsid w:val="00C63EC1"/>
    <w:rsid w:val="00C64245"/>
    <w:rsid w:val="00C6430C"/>
    <w:rsid w:val="00C649B0"/>
    <w:rsid w:val="00C66F14"/>
    <w:rsid w:val="00C675A3"/>
    <w:rsid w:val="00C707A7"/>
    <w:rsid w:val="00C70A8F"/>
    <w:rsid w:val="00C712FB"/>
    <w:rsid w:val="00C72268"/>
    <w:rsid w:val="00C72326"/>
    <w:rsid w:val="00C72ED1"/>
    <w:rsid w:val="00C7368E"/>
    <w:rsid w:val="00C7531E"/>
    <w:rsid w:val="00C7563F"/>
    <w:rsid w:val="00C82A46"/>
    <w:rsid w:val="00C8328B"/>
    <w:rsid w:val="00C835E8"/>
    <w:rsid w:val="00C83735"/>
    <w:rsid w:val="00C853B4"/>
    <w:rsid w:val="00C85609"/>
    <w:rsid w:val="00C86213"/>
    <w:rsid w:val="00C86869"/>
    <w:rsid w:val="00C873BE"/>
    <w:rsid w:val="00C91975"/>
    <w:rsid w:val="00C91A9F"/>
    <w:rsid w:val="00C91E2C"/>
    <w:rsid w:val="00C93A39"/>
    <w:rsid w:val="00C93EDA"/>
    <w:rsid w:val="00C94112"/>
    <w:rsid w:val="00C9429A"/>
    <w:rsid w:val="00C95152"/>
    <w:rsid w:val="00C969D1"/>
    <w:rsid w:val="00C96AE3"/>
    <w:rsid w:val="00C9774B"/>
    <w:rsid w:val="00C978CD"/>
    <w:rsid w:val="00CA02A0"/>
    <w:rsid w:val="00CA0637"/>
    <w:rsid w:val="00CA0DFC"/>
    <w:rsid w:val="00CA1884"/>
    <w:rsid w:val="00CA1B0B"/>
    <w:rsid w:val="00CA20A4"/>
    <w:rsid w:val="00CA2E7E"/>
    <w:rsid w:val="00CA3257"/>
    <w:rsid w:val="00CA34D3"/>
    <w:rsid w:val="00CA3590"/>
    <w:rsid w:val="00CA6854"/>
    <w:rsid w:val="00CA6E5D"/>
    <w:rsid w:val="00CA70E2"/>
    <w:rsid w:val="00CB06FC"/>
    <w:rsid w:val="00CB1675"/>
    <w:rsid w:val="00CB1920"/>
    <w:rsid w:val="00CB1FF6"/>
    <w:rsid w:val="00CB3294"/>
    <w:rsid w:val="00CB40D3"/>
    <w:rsid w:val="00CB4523"/>
    <w:rsid w:val="00CB540B"/>
    <w:rsid w:val="00CB5667"/>
    <w:rsid w:val="00CB74C9"/>
    <w:rsid w:val="00CC0719"/>
    <w:rsid w:val="00CC0AE1"/>
    <w:rsid w:val="00CC0DF7"/>
    <w:rsid w:val="00CC1975"/>
    <w:rsid w:val="00CC1CAE"/>
    <w:rsid w:val="00CC2BE3"/>
    <w:rsid w:val="00CC30F5"/>
    <w:rsid w:val="00CC35BB"/>
    <w:rsid w:val="00CC3A1E"/>
    <w:rsid w:val="00CC3BD0"/>
    <w:rsid w:val="00CC4424"/>
    <w:rsid w:val="00CC4822"/>
    <w:rsid w:val="00CC4C0C"/>
    <w:rsid w:val="00CC6D5E"/>
    <w:rsid w:val="00CC6DB9"/>
    <w:rsid w:val="00CC7120"/>
    <w:rsid w:val="00CC7874"/>
    <w:rsid w:val="00CC7BE3"/>
    <w:rsid w:val="00CD0101"/>
    <w:rsid w:val="00CD025A"/>
    <w:rsid w:val="00CD0338"/>
    <w:rsid w:val="00CD1325"/>
    <w:rsid w:val="00CD1824"/>
    <w:rsid w:val="00CD2313"/>
    <w:rsid w:val="00CD2334"/>
    <w:rsid w:val="00CD270C"/>
    <w:rsid w:val="00CD41EB"/>
    <w:rsid w:val="00CD581E"/>
    <w:rsid w:val="00CD6262"/>
    <w:rsid w:val="00CD7C33"/>
    <w:rsid w:val="00CE01CA"/>
    <w:rsid w:val="00CE02D7"/>
    <w:rsid w:val="00CE0563"/>
    <w:rsid w:val="00CE0C76"/>
    <w:rsid w:val="00CE152B"/>
    <w:rsid w:val="00CE158B"/>
    <w:rsid w:val="00CE1FF5"/>
    <w:rsid w:val="00CE248F"/>
    <w:rsid w:val="00CE2CF7"/>
    <w:rsid w:val="00CE3201"/>
    <w:rsid w:val="00CE33E8"/>
    <w:rsid w:val="00CE464C"/>
    <w:rsid w:val="00CE54C0"/>
    <w:rsid w:val="00CE65A6"/>
    <w:rsid w:val="00CE6D9F"/>
    <w:rsid w:val="00CF105D"/>
    <w:rsid w:val="00CF1F02"/>
    <w:rsid w:val="00CF25B7"/>
    <w:rsid w:val="00CF295A"/>
    <w:rsid w:val="00CF373A"/>
    <w:rsid w:val="00CF437E"/>
    <w:rsid w:val="00CF43DF"/>
    <w:rsid w:val="00CF46EC"/>
    <w:rsid w:val="00CF4ACB"/>
    <w:rsid w:val="00CF4EF3"/>
    <w:rsid w:val="00CF5E20"/>
    <w:rsid w:val="00CF5E4E"/>
    <w:rsid w:val="00CF76DB"/>
    <w:rsid w:val="00CF7ED0"/>
    <w:rsid w:val="00D002D5"/>
    <w:rsid w:val="00D02423"/>
    <w:rsid w:val="00D044BC"/>
    <w:rsid w:val="00D044F2"/>
    <w:rsid w:val="00D04943"/>
    <w:rsid w:val="00D0520B"/>
    <w:rsid w:val="00D05293"/>
    <w:rsid w:val="00D0579B"/>
    <w:rsid w:val="00D0582D"/>
    <w:rsid w:val="00D05BA2"/>
    <w:rsid w:val="00D06527"/>
    <w:rsid w:val="00D077BC"/>
    <w:rsid w:val="00D07B5E"/>
    <w:rsid w:val="00D10739"/>
    <w:rsid w:val="00D10AD2"/>
    <w:rsid w:val="00D11E94"/>
    <w:rsid w:val="00D12A32"/>
    <w:rsid w:val="00D138DF"/>
    <w:rsid w:val="00D13A1B"/>
    <w:rsid w:val="00D149B1"/>
    <w:rsid w:val="00D14F5B"/>
    <w:rsid w:val="00D151FE"/>
    <w:rsid w:val="00D154A1"/>
    <w:rsid w:val="00D15AAD"/>
    <w:rsid w:val="00D15ECA"/>
    <w:rsid w:val="00D162BA"/>
    <w:rsid w:val="00D203B1"/>
    <w:rsid w:val="00D20F10"/>
    <w:rsid w:val="00D21210"/>
    <w:rsid w:val="00D2140A"/>
    <w:rsid w:val="00D2228D"/>
    <w:rsid w:val="00D226A5"/>
    <w:rsid w:val="00D2386B"/>
    <w:rsid w:val="00D238D1"/>
    <w:rsid w:val="00D23C5C"/>
    <w:rsid w:val="00D2402D"/>
    <w:rsid w:val="00D2426B"/>
    <w:rsid w:val="00D242AB"/>
    <w:rsid w:val="00D24696"/>
    <w:rsid w:val="00D24943"/>
    <w:rsid w:val="00D24C9D"/>
    <w:rsid w:val="00D25107"/>
    <w:rsid w:val="00D25624"/>
    <w:rsid w:val="00D2743E"/>
    <w:rsid w:val="00D3045B"/>
    <w:rsid w:val="00D30650"/>
    <w:rsid w:val="00D3093B"/>
    <w:rsid w:val="00D30F5E"/>
    <w:rsid w:val="00D31680"/>
    <w:rsid w:val="00D3263F"/>
    <w:rsid w:val="00D32661"/>
    <w:rsid w:val="00D3319A"/>
    <w:rsid w:val="00D34328"/>
    <w:rsid w:val="00D359FB"/>
    <w:rsid w:val="00D35D45"/>
    <w:rsid w:val="00D35F5D"/>
    <w:rsid w:val="00D367C2"/>
    <w:rsid w:val="00D36819"/>
    <w:rsid w:val="00D3708A"/>
    <w:rsid w:val="00D37296"/>
    <w:rsid w:val="00D37522"/>
    <w:rsid w:val="00D40701"/>
    <w:rsid w:val="00D40B16"/>
    <w:rsid w:val="00D40BA9"/>
    <w:rsid w:val="00D42A76"/>
    <w:rsid w:val="00D431CC"/>
    <w:rsid w:val="00D435C8"/>
    <w:rsid w:val="00D43968"/>
    <w:rsid w:val="00D44E31"/>
    <w:rsid w:val="00D4520D"/>
    <w:rsid w:val="00D4538F"/>
    <w:rsid w:val="00D46346"/>
    <w:rsid w:val="00D46E67"/>
    <w:rsid w:val="00D47AED"/>
    <w:rsid w:val="00D507D2"/>
    <w:rsid w:val="00D50AE6"/>
    <w:rsid w:val="00D5166E"/>
    <w:rsid w:val="00D52A33"/>
    <w:rsid w:val="00D53110"/>
    <w:rsid w:val="00D54043"/>
    <w:rsid w:val="00D54A3E"/>
    <w:rsid w:val="00D54EBE"/>
    <w:rsid w:val="00D55B72"/>
    <w:rsid w:val="00D56628"/>
    <w:rsid w:val="00D56B51"/>
    <w:rsid w:val="00D57E7B"/>
    <w:rsid w:val="00D60290"/>
    <w:rsid w:val="00D60DEB"/>
    <w:rsid w:val="00D61223"/>
    <w:rsid w:val="00D61797"/>
    <w:rsid w:val="00D619D6"/>
    <w:rsid w:val="00D622F7"/>
    <w:rsid w:val="00D62618"/>
    <w:rsid w:val="00D64521"/>
    <w:rsid w:val="00D647B1"/>
    <w:rsid w:val="00D6508F"/>
    <w:rsid w:val="00D65AC0"/>
    <w:rsid w:val="00D66273"/>
    <w:rsid w:val="00D66A1B"/>
    <w:rsid w:val="00D67A40"/>
    <w:rsid w:val="00D67B16"/>
    <w:rsid w:val="00D70906"/>
    <w:rsid w:val="00D70D33"/>
    <w:rsid w:val="00D719EF"/>
    <w:rsid w:val="00D71BA1"/>
    <w:rsid w:val="00D72004"/>
    <w:rsid w:val="00D72F9B"/>
    <w:rsid w:val="00D74854"/>
    <w:rsid w:val="00D7494E"/>
    <w:rsid w:val="00D74DB2"/>
    <w:rsid w:val="00D7620E"/>
    <w:rsid w:val="00D77D8D"/>
    <w:rsid w:val="00D805BF"/>
    <w:rsid w:val="00D8133B"/>
    <w:rsid w:val="00D81559"/>
    <w:rsid w:val="00D817E9"/>
    <w:rsid w:val="00D81857"/>
    <w:rsid w:val="00D82410"/>
    <w:rsid w:val="00D82B91"/>
    <w:rsid w:val="00D8449A"/>
    <w:rsid w:val="00D84AE9"/>
    <w:rsid w:val="00D854C3"/>
    <w:rsid w:val="00D85856"/>
    <w:rsid w:val="00D86699"/>
    <w:rsid w:val="00D87F54"/>
    <w:rsid w:val="00D9198D"/>
    <w:rsid w:val="00D91E9C"/>
    <w:rsid w:val="00D920F9"/>
    <w:rsid w:val="00D927F3"/>
    <w:rsid w:val="00D92A4E"/>
    <w:rsid w:val="00D944F8"/>
    <w:rsid w:val="00D947D7"/>
    <w:rsid w:val="00D952AA"/>
    <w:rsid w:val="00D963E7"/>
    <w:rsid w:val="00D97857"/>
    <w:rsid w:val="00D97E0C"/>
    <w:rsid w:val="00DA04C6"/>
    <w:rsid w:val="00DA05F0"/>
    <w:rsid w:val="00DA11EB"/>
    <w:rsid w:val="00DA22FE"/>
    <w:rsid w:val="00DA3280"/>
    <w:rsid w:val="00DA529B"/>
    <w:rsid w:val="00DA5577"/>
    <w:rsid w:val="00DA5FA1"/>
    <w:rsid w:val="00DA5FDB"/>
    <w:rsid w:val="00DA6849"/>
    <w:rsid w:val="00DA6F89"/>
    <w:rsid w:val="00DA703A"/>
    <w:rsid w:val="00DA7E61"/>
    <w:rsid w:val="00DB1D62"/>
    <w:rsid w:val="00DB2335"/>
    <w:rsid w:val="00DB496D"/>
    <w:rsid w:val="00DB4A9F"/>
    <w:rsid w:val="00DB5054"/>
    <w:rsid w:val="00DB5150"/>
    <w:rsid w:val="00DB5467"/>
    <w:rsid w:val="00DB77E5"/>
    <w:rsid w:val="00DB7E39"/>
    <w:rsid w:val="00DC170F"/>
    <w:rsid w:val="00DC1FA8"/>
    <w:rsid w:val="00DC2087"/>
    <w:rsid w:val="00DC2570"/>
    <w:rsid w:val="00DC5669"/>
    <w:rsid w:val="00DC5B4C"/>
    <w:rsid w:val="00DC671A"/>
    <w:rsid w:val="00DC691A"/>
    <w:rsid w:val="00DC7144"/>
    <w:rsid w:val="00DD0073"/>
    <w:rsid w:val="00DD043F"/>
    <w:rsid w:val="00DD0D59"/>
    <w:rsid w:val="00DD1904"/>
    <w:rsid w:val="00DD1FDF"/>
    <w:rsid w:val="00DD201A"/>
    <w:rsid w:val="00DD28EC"/>
    <w:rsid w:val="00DD2B41"/>
    <w:rsid w:val="00DD30E5"/>
    <w:rsid w:val="00DD33EE"/>
    <w:rsid w:val="00DD5193"/>
    <w:rsid w:val="00DD5560"/>
    <w:rsid w:val="00DD5D68"/>
    <w:rsid w:val="00DD71BB"/>
    <w:rsid w:val="00DD7C83"/>
    <w:rsid w:val="00DD7EC5"/>
    <w:rsid w:val="00DE1641"/>
    <w:rsid w:val="00DE1A80"/>
    <w:rsid w:val="00DE2672"/>
    <w:rsid w:val="00DE2911"/>
    <w:rsid w:val="00DE46F6"/>
    <w:rsid w:val="00DE5BA4"/>
    <w:rsid w:val="00DE5ED6"/>
    <w:rsid w:val="00DE69C7"/>
    <w:rsid w:val="00DE6A8B"/>
    <w:rsid w:val="00DE77B7"/>
    <w:rsid w:val="00DE7878"/>
    <w:rsid w:val="00DE7A43"/>
    <w:rsid w:val="00DE7FEE"/>
    <w:rsid w:val="00DF0F3C"/>
    <w:rsid w:val="00DF1FB6"/>
    <w:rsid w:val="00DF249A"/>
    <w:rsid w:val="00DF29C3"/>
    <w:rsid w:val="00DF29D0"/>
    <w:rsid w:val="00DF2B93"/>
    <w:rsid w:val="00DF3706"/>
    <w:rsid w:val="00DF5244"/>
    <w:rsid w:val="00DF5355"/>
    <w:rsid w:val="00E016E0"/>
    <w:rsid w:val="00E0201C"/>
    <w:rsid w:val="00E0228C"/>
    <w:rsid w:val="00E0253F"/>
    <w:rsid w:val="00E0254B"/>
    <w:rsid w:val="00E0306A"/>
    <w:rsid w:val="00E03BA7"/>
    <w:rsid w:val="00E0404F"/>
    <w:rsid w:val="00E04814"/>
    <w:rsid w:val="00E050B9"/>
    <w:rsid w:val="00E0569E"/>
    <w:rsid w:val="00E05888"/>
    <w:rsid w:val="00E06058"/>
    <w:rsid w:val="00E0637A"/>
    <w:rsid w:val="00E06F46"/>
    <w:rsid w:val="00E07FE4"/>
    <w:rsid w:val="00E1089F"/>
    <w:rsid w:val="00E10CD1"/>
    <w:rsid w:val="00E115EE"/>
    <w:rsid w:val="00E11979"/>
    <w:rsid w:val="00E11ACA"/>
    <w:rsid w:val="00E11BD7"/>
    <w:rsid w:val="00E12CC0"/>
    <w:rsid w:val="00E13099"/>
    <w:rsid w:val="00E13F20"/>
    <w:rsid w:val="00E152F4"/>
    <w:rsid w:val="00E1595D"/>
    <w:rsid w:val="00E15EB2"/>
    <w:rsid w:val="00E16B7B"/>
    <w:rsid w:val="00E16D93"/>
    <w:rsid w:val="00E17677"/>
    <w:rsid w:val="00E179CB"/>
    <w:rsid w:val="00E20383"/>
    <w:rsid w:val="00E215AA"/>
    <w:rsid w:val="00E2160A"/>
    <w:rsid w:val="00E21870"/>
    <w:rsid w:val="00E221AD"/>
    <w:rsid w:val="00E23830"/>
    <w:rsid w:val="00E23FB0"/>
    <w:rsid w:val="00E242FD"/>
    <w:rsid w:val="00E25B44"/>
    <w:rsid w:val="00E279F9"/>
    <w:rsid w:val="00E30199"/>
    <w:rsid w:val="00E301E2"/>
    <w:rsid w:val="00E30F2D"/>
    <w:rsid w:val="00E310AA"/>
    <w:rsid w:val="00E32283"/>
    <w:rsid w:val="00E32EAC"/>
    <w:rsid w:val="00E33370"/>
    <w:rsid w:val="00E33566"/>
    <w:rsid w:val="00E339B0"/>
    <w:rsid w:val="00E33E1B"/>
    <w:rsid w:val="00E353E1"/>
    <w:rsid w:val="00E35975"/>
    <w:rsid w:val="00E37B51"/>
    <w:rsid w:val="00E40419"/>
    <w:rsid w:val="00E41A6E"/>
    <w:rsid w:val="00E423CF"/>
    <w:rsid w:val="00E427A4"/>
    <w:rsid w:val="00E438DE"/>
    <w:rsid w:val="00E43A92"/>
    <w:rsid w:val="00E44060"/>
    <w:rsid w:val="00E44118"/>
    <w:rsid w:val="00E4418F"/>
    <w:rsid w:val="00E465B2"/>
    <w:rsid w:val="00E46C27"/>
    <w:rsid w:val="00E46F9B"/>
    <w:rsid w:val="00E503DC"/>
    <w:rsid w:val="00E52228"/>
    <w:rsid w:val="00E5247E"/>
    <w:rsid w:val="00E530D5"/>
    <w:rsid w:val="00E54CCE"/>
    <w:rsid w:val="00E55C38"/>
    <w:rsid w:val="00E56422"/>
    <w:rsid w:val="00E569EA"/>
    <w:rsid w:val="00E575AB"/>
    <w:rsid w:val="00E576D2"/>
    <w:rsid w:val="00E61593"/>
    <w:rsid w:val="00E61C0E"/>
    <w:rsid w:val="00E61D13"/>
    <w:rsid w:val="00E61E2A"/>
    <w:rsid w:val="00E63AB3"/>
    <w:rsid w:val="00E63E7C"/>
    <w:rsid w:val="00E65418"/>
    <w:rsid w:val="00E65733"/>
    <w:rsid w:val="00E70AF6"/>
    <w:rsid w:val="00E718AC"/>
    <w:rsid w:val="00E71C1E"/>
    <w:rsid w:val="00E72364"/>
    <w:rsid w:val="00E73FAD"/>
    <w:rsid w:val="00E74513"/>
    <w:rsid w:val="00E745DC"/>
    <w:rsid w:val="00E74F28"/>
    <w:rsid w:val="00E7553B"/>
    <w:rsid w:val="00E75BBF"/>
    <w:rsid w:val="00E775AF"/>
    <w:rsid w:val="00E77AAC"/>
    <w:rsid w:val="00E77FD8"/>
    <w:rsid w:val="00E802E9"/>
    <w:rsid w:val="00E80D6D"/>
    <w:rsid w:val="00E816C4"/>
    <w:rsid w:val="00E81829"/>
    <w:rsid w:val="00E85A2F"/>
    <w:rsid w:val="00E85AD5"/>
    <w:rsid w:val="00E8627D"/>
    <w:rsid w:val="00E86315"/>
    <w:rsid w:val="00E86EEF"/>
    <w:rsid w:val="00E87C85"/>
    <w:rsid w:val="00E90412"/>
    <w:rsid w:val="00E91135"/>
    <w:rsid w:val="00E913BC"/>
    <w:rsid w:val="00E91FD4"/>
    <w:rsid w:val="00E92580"/>
    <w:rsid w:val="00E9386A"/>
    <w:rsid w:val="00E93DC6"/>
    <w:rsid w:val="00E948B4"/>
    <w:rsid w:val="00E949CB"/>
    <w:rsid w:val="00E94D3A"/>
    <w:rsid w:val="00E95B45"/>
    <w:rsid w:val="00E95FB7"/>
    <w:rsid w:val="00E96364"/>
    <w:rsid w:val="00E96A5B"/>
    <w:rsid w:val="00E97D18"/>
    <w:rsid w:val="00EA0DFA"/>
    <w:rsid w:val="00EA1A5F"/>
    <w:rsid w:val="00EA1D60"/>
    <w:rsid w:val="00EA28A6"/>
    <w:rsid w:val="00EA2DBB"/>
    <w:rsid w:val="00EA347F"/>
    <w:rsid w:val="00EA3C28"/>
    <w:rsid w:val="00EA3D69"/>
    <w:rsid w:val="00EA51C4"/>
    <w:rsid w:val="00EA6625"/>
    <w:rsid w:val="00EA6E62"/>
    <w:rsid w:val="00EB05B5"/>
    <w:rsid w:val="00EB073A"/>
    <w:rsid w:val="00EB1E6C"/>
    <w:rsid w:val="00EB1F09"/>
    <w:rsid w:val="00EB2D6A"/>
    <w:rsid w:val="00EB5EC3"/>
    <w:rsid w:val="00EB7ED9"/>
    <w:rsid w:val="00EC0D33"/>
    <w:rsid w:val="00EC2162"/>
    <w:rsid w:val="00EC2DDA"/>
    <w:rsid w:val="00EC3F41"/>
    <w:rsid w:val="00EC498E"/>
    <w:rsid w:val="00EC5358"/>
    <w:rsid w:val="00EC54E6"/>
    <w:rsid w:val="00EC5731"/>
    <w:rsid w:val="00EC6109"/>
    <w:rsid w:val="00EC7FBB"/>
    <w:rsid w:val="00ED024B"/>
    <w:rsid w:val="00ED0AEA"/>
    <w:rsid w:val="00ED19AD"/>
    <w:rsid w:val="00ED3E06"/>
    <w:rsid w:val="00ED4B3A"/>
    <w:rsid w:val="00ED4E82"/>
    <w:rsid w:val="00ED51E1"/>
    <w:rsid w:val="00ED5496"/>
    <w:rsid w:val="00ED56AD"/>
    <w:rsid w:val="00ED5E43"/>
    <w:rsid w:val="00ED65B6"/>
    <w:rsid w:val="00ED715B"/>
    <w:rsid w:val="00ED7F9C"/>
    <w:rsid w:val="00EE0D40"/>
    <w:rsid w:val="00EE1199"/>
    <w:rsid w:val="00EE14E1"/>
    <w:rsid w:val="00EE26B0"/>
    <w:rsid w:val="00EE26CC"/>
    <w:rsid w:val="00EE3DCC"/>
    <w:rsid w:val="00EE3F1F"/>
    <w:rsid w:val="00EE4561"/>
    <w:rsid w:val="00EE53E7"/>
    <w:rsid w:val="00EE5C65"/>
    <w:rsid w:val="00EE7508"/>
    <w:rsid w:val="00EE7602"/>
    <w:rsid w:val="00EF0A33"/>
    <w:rsid w:val="00EF1B52"/>
    <w:rsid w:val="00EF3B97"/>
    <w:rsid w:val="00EF427C"/>
    <w:rsid w:val="00EF509E"/>
    <w:rsid w:val="00EF5144"/>
    <w:rsid w:val="00EF648D"/>
    <w:rsid w:val="00EF6EF8"/>
    <w:rsid w:val="00EF7598"/>
    <w:rsid w:val="00EF7949"/>
    <w:rsid w:val="00EF7E21"/>
    <w:rsid w:val="00F004D5"/>
    <w:rsid w:val="00F0121B"/>
    <w:rsid w:val="00F01DE2"/>
    <w:rsid w:val="00F023A7"/>
    <w:rsid w:val="00F02F2C"/>
    <w:rsid w:val="00F030D0"/>
    <w:rsid w:val="00F03210"/>
    <w:rsid w:val="00F03238"/>
    <w:rsid w:val="00F043D1"/>
    <w:rsid w:val="00F04A9D"/>
    <w:rsid w:val="00F04CDD"/>
    <w:rsid w:val="00F04E06"/>
    <w:rsid w:val="00F056F2"/>
    <w:rsid w:val="00F05743"/>
    <w:rsid w:val="00F063EA"/>
    <w:rsid w:val="00F06727"/>
    <w:rsid w:val="00F07477"/>
    <w:rsid w:val="00F075D3"/>
    <w:rsid w:val="00F10DFD"/>
    <w:rsid w:val="00F14556"/>
    <w:rsid w:val="00F148F2"/>
    <w:rsid w:val="00F1539C"/>
    <w:rsid w:val="00F17039"/>
    <w:rsid w:val="00F21E08"/>
    <w:rsid w:val="00F22084"/>
    <w:rsid w:val="00F2267A"/>
    <w:rsid w:val="00F23148"/>
    <w:rsid w:val="00F246EC"/>
    <w:rsid w:val="00F258E3"/>
    <w:rsid w:val="00F25AC7"/>
    <w:rsid w:val="00F2766B"/>
    <w:rsid w:val="00F27AD0"/>
    <w:rsid w:val="00F30D60"/>
    <w:rsid w:val="00F310A5"/>
    <w:rsid w:val="00F31127"/>
    <w:rsid w:val="00F3120C"/>
    <w:rsid w:val="00F31A16"/>
    <w:rsid w:val="00F3232A"/>
    <w:rsid w:val="00F32A73"/>
    <w:rsid w:val="00F32F72"/>
    <w:rsid w:val="00F3360E"/>
    <w:rsid w:val="00F33C0E"/>
    <w:rsid w:val="00F33CD9"/>
    <w:rsid w:val="00F34596"/>
    <w:rsid w:val="00F35265"/>
    <w:rsid w:val="00F3531D"/>
    <w:rsid w:val="00F357BE"/>
    <w:rsid w:val="00F35B74"/>
    <w:rsid w:val="00F36EA6"/>
    <w:rsid w:val="00F37059"/>
    <w:rsid w:val="00F41030"/>
    <w:rsid w:val="00F4106E"/>
    <w:rsid w:val="00F41885"/>
    <w:rsid w:val="00F42678"/>
    <w:rsid w:val="00F436B6"/>
    <w:rsid w:val="00F4470A"/>
    <w:rsid w:val="00F4536A"/>
    <w:rsid w:val="00F45414"/>
    <w:rsid w:val="00F45DA4"/>
    <w:rsid w:val="00F47711"/>
    <w:rsid w:val="00F5065C"/>
    <w:rsid w:val="00F5293D"/>
    <w:rsid w:val="00F54DA2"/>
    <w:rsid w:val="00F55A78"/>
    <w:rsid w:val="00F56149"/>
    <w:rsid w:val="00F5666F"/>
    <w:rsid w:val="00F56A59"/>
    <w:rsid w:val="00F5729E"/>
    <w:rsid w:val="00F576F2"/>
    <w:rsid w:val="00F60EA6"/>
    <w:rsid w:val="00F6167B"/>
    <w:rsid w:val="00F61D1B"/>
    <w:rsid w:val="00F62080"/>
    <w:rsid w:val="00F631FF"/>
    <w:rsid w:val="00F63ED4"/>
    <w:rsid w:val="00F64360"/>
    <w:rsid w:val="00F647D1"/>
    <w:rsid w:val="00F648C2"/>
    <w:rsid w:val="00F64B17"/>
    <w:rsid w:val="00F64DB6"/>
    <w:rsid w:val="00F64FD7"/>
    <w:rsid w:val="00F65EAE"/>
    <w:rsid w:val="00F6644B"/>
    <w:rsid w:val="00F667E2"/>
    <w:rsid w:val="00F66A50"/>
    <w:rsid w:val="00F66ABB"/>
    <w:rsid w:val="00F67501"/>
    <w:rsid w:val="00F67664"/>
    <w:rsid w:val="00F7121C"/>
    <w:rsid w:val="00F72AD2"/>
    <w:rsid w:val="00F73065"/>
    <w:rsid w:val="00F734F7"/>
    <w:rsid w:val="00F748AA"/>
    <w:rsid w:val="00F74D12"/>
    <w:rsid w:val="00F75367"/>
    <w:rsid w:val="00F75504"/>
    <w:rsid w:val="00F761E5"/>
    <w:rsid w:val="00F76D19"/>
    <w:rsid w:val="00F77A38"/>
    <w:rsid w:val="00F8117A"/>
    <w:rsid w:val="00F82786"/>
    <w:rsid w:val="00F83073"/>
    <w:rsid w:val="00F8373F"/>
    <w:rsid w:val="00F83FD9"/>
    <w:rsid w:val="00F848D5"/>
    <w:rsid w:val="00F849FC"/>
    <w:rsid w:val="00F85D6D"/>
    <w:rsid w:val="00F8651F"/>
    <w:rsid w:val="00F86BD0"/>
    <w:rsid w:val="00F87438"/>
    <w:rsid w:val="00F90074"/>
    <w:rsid w:val="00F902C8"/>
    <w:rsid w:val="00F905EA"/>
    <w:rsid w:val="00F906A3"/>
    <w:rsid w:val="00F91769"/>
    <w:rsid w:val="00F92D44"/>
    <w:rsid w:val="00F93749"/>
    <w:rsid w:val="00F9390B"/>
    <w:rsid w:val="00F93DC3"/>
    <w:rsid w:val="00F94207"/>
    <w:rsid w:val="00F94AD5"/>
    <w:rsid w:val="00F950B1"/>
    <w:rsid w:val="00F95796"/>
    <w:rsid w:val="00F95BEF"/>
    <w:rsid w:val="00F96044"/>
    <w:rsid w:val="00F9653F"/>
    <w:rsid w:val="00F971ED"/>
    <w:rsid w:val="00F97814"/>
    <w:rsid w:val="00FA0604"/>
    <w:rsid w:val="00FA11F1"/>
    <w:rsid w:val="00FA1501"/>
    <w:rsid w:val="00FA23EA"/>
    <w:rsid w:val="00FA2E0F"/>
    <w:rsid w:val="00FA3901"/>
    <w:rsid w:val="00FA454F"/>
    <w:rsid w:val="00FA462F"/>
    <w:rsid w:val="00FA6199"/>
    <w:rsid w:val="00FA6376"/>
    <w:rsid w:val="00FB09D1"/>
    <w:rsid w:val="00FB118B"/>
    <w:rsid w:val="00FB2376"/>
    <w:rsid w:val="00FB285C"/>
    <w:rsid w:val="00FB2CCD"/>
    <w:rsid w:val="00FB43E9"/>
    <w:rsid w:val="00FB4C47"/>
    <w:rsid w:val="00FB5E5E"/>
    <w:rsid w:val="00FB6635"/>
    <w:rsid w:val="00FB72B6"/>
    <w:rsid w:val="00FB76F4"/>
    <w:rsid w:val="00FC127A"/>
    <w:rsid w:val="00FC1C9D"/>
    <w:rsid w:val="00FC2941"/>
    <w:rsid w:val="00FC44FD"/>
    <w:rsid w:val="00FC4559"/>
    <w:rsid w:val="00FC4D8C"/>
    <w:rsid w:val="00FC5E26"/>
    <w:rsid w:val="00FC763D"/>
    <w:rsid w:val="00FD02D7"/>
    <w:rsid w:val="00FD07A8"/>
    <w:rsid w:val="00FD0CB9"/>
    <w:rsid w:val="00FD1221"/>
    <w:rsid w:val="00FD1A8A"/>
    <w:rsid w:val="00FD22BE"/>
    <w:rsid w:val="00FD2694"/>
    <w:rsid w:val="00FD344A"/>
    <w:rsid w:val="00FD391C"/>
    <w:rsid w:val="00FD57C8"/>
    <w:rsid w:val="00FD7718"/>
    <w:rsid w:val="00FD7EE2"/>
    <w:rsid w:val="00FD7F46"/>
    <w:rsid w:val="00FE04EE"/>
    <w:rsid w:val="00FE196E"/>
    <w:rsid w:val="00FE1AD6"/>
    <w:rsid w:val="00FE2446"/>
    <w:rsid w:val="00FE3593"/>
    <w:rsid w:val="00FE3C88"/>
    <w:rsid w:val="00FE4184"/>
    <w:rsid w:val="00FE4627"/>
    <w:rsid w:val="00FE4D9E"/>
    <w:rsid w:val="00FE6483"/>
    <w:rsid w:val="00FF087F"/>
    <w:rsid w:val="00FF0E0F"/>
    <w:rsid w:val="00FF19B0"/>
    <w:rsid w:val="00FF1AAA"/>
    <w:rsid w:val="00FF25F9"/>
    <w:rsid w:val="00FF279C"/>
    <w:rsid w:val="00FF2E87"/>
    <w:rsid w:val="00FF4239"/>
    <w:rsid w:val="00FF4E74"/>
    <w:rsid w:val="00FF538A"/>
    <w:rsid w:val="00FF5DA3"/>
    <w:rsid w:val="00FF5FD8"/>
    <w:rsid w:val="00FF67A4"/>
    <w:rsid w:val="00FF6925"/>
    <w:rsid w:val="00FF6BE4"/>
    <w:rsid w:val="00FF6FA5"/>
    <w:rsid w:val="00FF7F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53F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25ED"/>
    <w:pPr>
      <w:spacing w:after="120" w:line="360" w:lineRule="auto"/>
    </w:pPr>
    <w:rPr>
      <w:rFonts w:ascii="Arial" w:hAnsi="Arial"/>
      <w:sz w:val="24"/>
    </w:rPr>
  </w:style>
  <w:style w:type="paragraph" w:styleId="Heading1">
    <w:name w:val="heading 1"/>
    <w:basedOn w:val="Normal"/>
    <w:next w:val="Normal"/>
    <w:link w:val="Heading1Char"/>
    <w:uiPriority w:val="9"/>
    <w:qFormat/>
    <w:rsid w:val="00AA0981"/>
    <w:pPr>
      <w:keepNext/>
      <w:keepLines/>
      <w:numPr>
        <w:numId w:val="1"/>
      </w:numPr>
      <w:spacing w:before="240" w:line="288" w:lineRule="auto"/>
      <w:outlineLvl w:val="0"/>
    </w:pPr>
    <w:rPr>
      <w:rFonts w:eastAsiaTheme="majorEastAsia" w:cstheme="majorBidi"/>
      <w:b/>
      <w:sz w:val="32"/>
      <w:szCs w:val="32"/>
    </w:rPr>
  </w:style>
  <w:style w:type="paragraph" w:styleId="Heading2">
    <w:name w:val="heading 2"/>
    <w:basedOn w:val="Heading1"/>
    <w:next w:val="Normal"/>
    <w:link w:val="Heading2Char"/>
    <w:uiPriority w:val="9"/>
    <w:unhideWhenUsed/>
    <w:qFormat/>
    <w:rsid w:val="00911E5C"/>
    <w:pPr>
      <w:numPr>
        <w:ilvl w:val="1"/>
      </w:numPr>
      <w:outlineLvl w:val="1"/>
    </w:pPr>
    <w:rPr>
      <w:sz w:val="28"/>
    </w:rPr>
  </w:style>
  <w:style w:type="paragraph" w:styleId="Heading3">
    <w:name w:val="heading 3"/>
    <w:basedOn w:val="Heading2"/>
    <w:next w:val="Normal"/>
    <w:link w:val="Heading3Char"/>
    <w:uiPriority w:val="9"/>
    <w:unhideWhenUsed/>
    <w:qFormat/>
    <w:rsid w:val="00911E5C"/>
    <w:pPr>
      <w:numPr>
        <w:ilvl w:val="2"/>
      </w:numPr>
      <w:outlineLvl w:val="2"/>
    </w:pPr>
    <w:rPr>
      <w:sz w:val="26"/>
    </w:rPr>
  </w:style>
  <w:style w:type="paragraph" w:styleId="Heading4">
    <w:name w:val="heading 4"/>
    <w:basedOn w:val="Normal"/>
    <w:next w:val="Normal"/>
    <w:link w:val="Heading4Char"/>
    <w:uiPriority w:val="9"/>
    <w:unhideWhenUsed/>
    <w:qFormat/>
    <w:rsid w:val="004E0E76"/>
    <w:pPr>
      <w:keepNext/>
      <w:keepLines/>
      <w:spacing w:before="120" w:after="240" w:line="240" w:lineRule="auto"/>
      <w:outlineLvl w:val="3"/>
    </w:pPr>
    <w:rPr>
      <w:rFonts w:eastAsiaTheme="majorEastAsia" w:cstheme="majorBidi"/>
      <w:iCs/>
      <w:color w:val="000000" w:themeColor="text1"/>
      <w:u w:val="single"/>
    </w:rPr>
  </w:style>
  <w:style w:type="paragraph" w:styleId="Heading5">
    <w:name w:val="heading 5"/>
    <w:basedOn w:val="Normal"/>
    <w:next w:val="Normal"/>
    <w:link w:val="Heading5Char"/>
    <w:uiPriority w:val="9"/>
    <w:unhideWhenUsed/>
    <w:qFormat/>
    <w:rsid w:val="00911E5C"/>
    <w:pPr>
      <w:keepNext/>
      <w:keepLines/>
      <w:spacing w:before="40" w:after="0"/>
      <w:outlineLvl w:val="4"/>
    </w:pPr>
    <w:rPr>
      <w:rFonts w:eastAsiaTheme="majorEastAsia" w:cstheme="majorBidi"/>
      <w:i/>
    </w:rPr>
  </w:style>
  <w:style w:type="paragraph" w:styleId="Heading6">
    <w:name w:val="heading 6"/>
    <w:basedOn w:val="Normal"/>
    <w:next w:val="Normal"/>
    <w:link w:val="Heading6Char"/>
    <w:uiPriority w:val="9"/>
    <w:unhideWhenUsed/>
    <w:qFormat/>
    <w:rsid w:val="000D023B"/>
    <w:pPr>
      <w:spacing w:line="312" w:lineRule="auto"/>
      <w:outlineLvl w:val="5"/>
    </w:pPr>
    <w:rPr>
      <w:i/>
      <w:iCs/>
    </w:rPr>
  </w:style>
  <w:style w:type="paragraph" w:styleId="Heading7">
    <w:name w:val="heading 7"/>
    <w:basedOn w:val="Normal"/>
    <w:next w:val="Normal"/>
    <w:link w:val="Heading7Char"/>
    <w:uiPriority w:val="9"/>
    <w:unhideWhenUsed/>
    <w:qFormat/>
    <w:rsid w:val="00361D93"/>
    <w:pPr>
      <w:keepNext/>
      <w:keepLines/>
      <w:spacing w:before="120" w:line="240" w:lineRule="auto"/>
      <w:outlineLvl w:val="6"/>
    </w:pPr>
    <w:rPr>
      <w:rFonts w:eastAsiaTheme="majorEastAsia"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098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911E5C"/>
    <w:rPr>
      <w:rFonts w:ascii="Arial" w:eastAsiaTheme="majorEastAsia" w:hAnsi="Arial" w:cstheme="majorBidi"/>
      <w:b/>
      <w:sz w:val="28"/>
      <w:szCs w:val="32"/>
    </w:rPr>
  </w:style>
  <w:style w:type="character" w:customStyle="1" w:styleId="Heading3Char">
    <w:name w:val="Heading 3 Char"/>
    <w:basedOn w:val="DefaultParagraphFont"/>
    <w:link w:val="Heading3"/>
    <w:uiPriority w:val="9"/>
    <w:rsid w:val="00911E5C"/>
    <w:rPr>
      <w:rFonts w:ascii="Arial" w:eastAsiaTheme="majorEastAsia" w:hAnsi="Arial" w:cstheme="majorBidi"/>
      <w:b/>
      <w:sz w:val="26"/>
      <w:szCs w:val="32"/>
    </w:rPr>
  </w:style>
  <w:style w:type="paragraph" w:styleId="Header">
    <w:name w:val="header"/>
    <w:basedOn w:val="Normal"/>
    <w:link w:val="HeaderChar"/>
    <w:uiPriority w:val="99"/>
    <w:unhideWhenUsed/>
    <w:rsid w:val="00461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419"/>
    <w:rPr>
      <w:rFonts w:ascii="Arial" w:hAnsi="Arial"/>
      <w:sz w:val="24"/>
    </w:rPr>
  </w:style>
  <w:style w:type="paragraph" w:styleId="Footer">
    <w:name w:val="footer"/>
    <w:basedOn w:val="Normal"/>
    <w:link w:val="FooterChar"/>
    <w:uiPriority w:val="99"/>
    <w:unhideWhenUsed/>
    <w:rsid w:val="00461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419"/>
    <w:rPr>
      <w:rFonts w:ascii="Arial" w:hAnsi="Arial"/>
      <w:sz w:val="24"/>
    </w:rPr>
  </w:style>
  <w:style w:type="paragraph" w:styleId="ListParagraph">
    <w:name w:val="List Paragraph"/>
    <w:basedOn w:val="Normal"/>
    <w:uiPriority w:val="34"/>
    <w:qFormat/>
    <w:rsid w:val="00BF2D0C"/>
    <w:pPr>
      <w:ind w:left="720"/>
      <w:contextualSpacing/>
    </w:pPr>
  </w:style>
  <w:style w:type="character" w:styleId="Hyperlink">
    <w:name w:val="Hyperlink"/>
    <w:basedOn w:val="DefaultParagraphFont"/>
    <w:uiPriority w:val="99"/>
    <w:unhideWhenUsed/>
    <w:rsid w:val="00177483"/>
    <w:rPr>
      <w:color w:val="0563C1" w:themeColor="hyperlink"/>
      <w:u w:val="single"/>
    </w:rPr>
  </w:style>
  <w:style w:type="paragraph" w:styleId="FootnoteText">
    <w:name w:val="footnote text"/>
    <w:basedOn w:val="Normal"/>
    <w:link w:val="FootnoteTextChar"/>
    <w:uiPriority w:val="99"/>
    <w:semiHidden/>
    <w:unhideWhenUsed/>
    <w:rsid w:val="00E203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383"/>
    <w:rPr>
      <w:rFonts w:ascii="Arial" w:hAnsi="Arial"/>
      <w:sz w:val="20"/>
      <w:szCs w:val="20"/>
    </w:rPr>
  </w:style>
  <w:style w:type="character" w:styleId="FootnoteReference">
    <w:name w:val="footnote reference"/>
    <w:basedOn w:val="DefaultParagraphFont"/>
    <w:uiPriority w:val="99"/>
    <w:semiHidden/>
    <w:unhideWhenUsed/>
    <w:rsid w:val="00E20383"/>
    <w:rPr>
      <w:vertAlign w:val="superscript"/>
    </w:rPr>
  </w:style>
  <w:style w:type="character" w:customStyle="1" w:styleId="Heading4Char">
    <w:name w:val="Heading 4 Char"/>
    <w:basedOn w:val="DefaultParagraphFont"/>
    <w:link w:val="Heading4"/>
    <w:uiPriority w:val="9"/>
    <w:rsid w:val="004E0E76"/>
    <w:rPr>
      <w:rFonts w:ascii="Arial" w:eastAsiaTheme="majorEastAsia" w:hAnsi="Arial" w:cstheme="majorBidi"/>
      <w:iCs/>
      <w:color w:val="000000" w:themeColor="text1"/>
      <w:sz w:val="24"/>
      <w:u w:val="single"/>
    </w:rPr>
  </w:style>
  <w:style w:type="paragraph" w:styleId="NormalWeb">
    <w:name w:val="Normal (Web)"/>
    <w:basedOn w:val="Normal"/>
    <w:uiPriority w:val="99"/>
    <w:semiHidden/>
    <w:unhideWhenUsed/>
    <w:rsid w:val="00EE7508"/>
    <w:pPr>
      <w:spacing w:after="150" w:line="240" w:lineRule="auto"/>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CF5E20"/>
    <w:rPr>
      <w:i/>
      <w:iCs/>
    </w:rPr>
  </w:style>
  <w:style w:type="character" w:customStyle="1" w:styleId="al-author-name">
    <w:name w:val="al-author-name"/>
    <w:basedOn w:val="DefaultParagraphFont"/>
    <w:rsid w:val="00CF5E20"/>
  </w:style>
  <w:style w:type="character" w:customStyle="1" w:styleId="al-author-info-wrap1">
    <w:name w:val="al-author-info-wrap1"/>
    <w:basedOn w:val="DefaultParagraphFont"/>
    <w:rsid w:val="00CF5E20"/>
    <w:rPr>
      <w:vanish/>
      <w:webHidden w:val="0"/>
      <w:bdr w:val="single" w:sz="6" w:space="9" w:color="B4BACA" w:frame="1"/>
      <w:shd w:val="clear" w:color="auto" w:fill="FFFFFF"/>
      <w:specVanish w:val="0"/>
    </w:rPr>
  </w:style>
  <w:style w:type="character" w:styleId="CommentReference">
    <w:name w:val="annotation reference"/>
    <w:basedOn w:val="DefaultParagraphFont"/>
    <w:uiPriority w:val="99"/>
    <w:semiHidden/>
    <w:unhideWhenUsed/>
    <w:rsid w:val="00BD5D57"/>
    <w:rPr>
      <w:sz w:val="16"/>
      <w:szCs w:val="16"/>
    </w:rPr>
  </w:style>
  <w:style w:type="paragraph" w:styleId="CommentText">
    <w:name w:val="annotation text"/>
    <w:basedOn w:val="Normal"/>
    <w:link w:val="CommentTextChar"/>
    <w:uiPriority w:val="99"/>
    <w:unhideWhenUsed/>
    <w:rsid w:val="00BD5D57"/>
    <w:pPr>
      <w:spacing w:line="240" w:lineRule="auto"/>
    </w:pPr>
    <w:rPr>
      <w:sz w:val="20"/>
      <w:szCs w:val="20"/>
    </w:rPr>
  </w:style>
  <w:style w:type="character" w:customStyle="1" w:styleId="CommentTextChar">
    <w:name w:val="Comment Text Char"/>
    <w:basedOn w:val="DefaultParagraphFont"/>
    <w:link w:val="CommentText"/>
    <w:uiPriority w:val="99"/>
    <w:rsid w:val="00BD5D5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D5D57"/>
    <w:rPr>
      <w:b/>
      <w:bCs/>
    </w:rPr>
  </w:style>
  <w:style w:type="character" w:customStyle="1" w:styleId="CommentSubjectChar">
    <w:name w:val="Comment Subject Char"/>
    <w:basedOn w:val="CommentTextChar"/>
    <w:link w:val="CommentSubject"/>
    <w:uiPriority w:val="99"/>
    <w:semiHidden/>
    <w:rsid w:val="00BD5D57"/>
    <w:rPr>
      <w:rFonts w:ascii="Arial" w:hAnsi="Arial"/>
      <w:b/>
      <w:bCs/>
      <w:sz w:val="20"/>
      <w:szCs w:val="20"/>
    </w:rPr>
  </w:style>
  <w:style w:type="paragraph" w:styleId="BalloonText">
    <w:name w:val="Balloon Text"/>
    <w:basedOn w:val="Normal"/>
    <w:link w:val="BalloonTextChar"/>
    <w:uiPriority w:val="99"/>
    <w:semiHidden/>
    <w:unhideWhenUsed/>
    <w:rsid w:val="00BD5D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5D57"/>
    <w:rPr>
      <w:rFonts w:ascii="Segoe UI" w:hAnsi="Segoe UI" w:cs="Segoe UI"/>
      <w:sz w:val="18"/>
      <w:szCs w:val="18"/>
    </w:rPr>
  </w:style>
  <w:style w:type="character" w:customStyle="1" w:styleId="Heading5Char">
    <w:name w:val="Heading 5 Char"/>
    <w:basedOn w:val="DefaultParagraphFont"/>
    <w:link w:val="Heading5"/>
    <w:uiPriority w:val="9"/>
    <w:rsid w:val="00911E5C"/>
    <w:rPr>
      <w:rFonts w:ascii="Arial" w:eastAsiaTheme="majorEastAsia" w:hAnsi="Arial" w:cstheme="majorBidi"/>
      <w:i/>
      <w:sz w:val="24"/>
    </w:rPr>
  </w:style>
  <w:style w:type="character" w:styleId="SubtleEmphasis">
    <w:name w:val="Subtle Emphasis"/>
    <w:basedOn w:val="DefaultParagraphFont"/>
    <w:uiPriority w:val="19"/>
    <w:qFormat/>
    <w:rsid w:val="00F2267A"/>
    <w:rPr>
      <w:i/>
      <w:iCs/>
      <w:color w:val="404040" w:themeColor="text1" w:themeTint="BF"/>
    </w:rPr>
  </w:style>
  <w:style w:type="paragraph" w:styleId="TOCHeading">
    <w:name w:val="TOC Heading"/>
    <w:basedOn w:val="Heading1"/>
    <w:next w:val="Normal"/>
    <w:uiPriority w:val="39"/>
    <w:unhideWhenUsed/>
    <w:qFormat/>
    <w:rsid w:val="006D6FE1"/>
    <w:pPr>
      <w:spacing w:line="259" w:lineRule="auto"/>
      <w:outlineLvl w:val="9"/>
    </w:pPr>
    <w:rPr>
      <w:rFonts w:asciiTheme="majorHAnsi" w:hAnsiTheme="majorHAnsi"/>
      <w:b w:val="0"/>
      <w:color w:val="2E74B5" w:themeColor="accent1" w:themeShade="BF"/>
      <w:lang w:val="en-US"/>
    </w:rPr>
  </w:style>
  <w:style w:type="paragraph" w:styleId="TOC1">
    <w:name w:val="toc 1"/>
    <w:basedOn w:val="Normal"/>
    <w:next w:val="Normal"/>
    <w:autoRedefine/>
    <w:uiPriority w:val="39"/>
    <w:unhideWhenUsed/>
    <w:rsid w:val="00F1539C"/>
    <w:pPr>
      <w:tabs>
        <w:tab w:val="left" w:pos="480"/>
        <w:tab w:val="right" w:leader="dot" w:pos="9016"/>
      </w:tabs>
      <w:spacing w:line="240" w:lineRule="auto"/>
    </w:pPr>
    <w:rPr>
      <w:rFonts w:cstheme="minorHAnsi"/>
      <w:b/>
      <w:bCs/>
      <w:szCs w:val="20"/>
    </w:rPr>
  </w:style>
  <w:style w:type="paragraph" w:styleId="TOC2">
    <w:name w:val="toc 2"/>
    <w:basedOn w:val="TOC1"/>
    <w:next w:val="Normal"/>
    <w:autoRedefine/>
    <w:uiPriority w:val="39"/>
    <w:unhideWhenUsed/>
    <w:rsid w:val="000F56CB"/>
    <w:rPr>
      <w:b w:val="0"/>
      <w:noProof/>
      <w:sz w:val="22"/>
    </w:rPr>
  </w:style>
  <w:style w:type="paragraph" w:styleId="TOC3">
    <w:name w:val="toc 3"/>
    <w:basedOn w:val="Normal"/>
    <w:next w:val="Normal"/>
    <w:autoRedefine/>
    <w:uiPriority w:val="39"/>
    <w:unhideWhenUsed/>
    <w:rsid w:val="006D6FE1"/>
    <w:pPr>
      <w:spacing w:after="0"/>
      <w:ind w:left="480"/>
    </w:pPr>
    <w:rPr>
      <w:rFonts w:asciiTheme="minorHAnsi" w:hAnsiTheme="minorHAnsi" w:cstheme="minorHAnsi"/>
      <w:i/>
      <w:iCs/>
      <w:sz w:val="20"/>
      <w:szCs w:val="20"/>
    </w:rPr>
  </w:style>
  <w:style w:type="table" w:styleId="TableGrid">
    <w:name w:val="Table Grid"/>
    <w:basedOn w:val="TableNormal"/>
    <w:uiPriority w:val="39"/>
    <w:rsid w:val="006D6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650843"/>
    <w:pPr>
      <w:spacing w:after="0"/>
      <w:ind w:left="720"/>
    </w:pPr>
    <w:rPr>
      <w:rFonts w:asciiTheme="minorHAnsi" w:hAnsiTheme="minorHAnsi" w:cstheme="minorHAnsi"/>
      <w:sz w:val="18"/>
      <w:szCs w:val="18"/>
    </w:rPr>
  </w:style>
  <w:style w:type="paragraph" w:styleId="TOC5">
    <w:name w:val="toc 5"/>
    <w:basedOn w:val="Normal"/>
    <w:next w:val="Normal"/>
    <w:autoRedefine/>
    <w:uiPriority w:val="39"/>
    <w:unhideWhenUsed/>
    <w:rsid w:val="00650843"/>
    <w:pPr>
      <w:spacing w:after="0"/>
      <w:ind w:left="960"/>
    </w:pPr>
    <w:rPr>
      <w:rFonts w:asciiTheme="minorHAnsi" w:hAnsiTheme="minorHAnsi" w:cstheme="minorHAnsi"/>
      <w:sz w:val="18"/>
      <w:szCs w:val="18"/>
    </w:rPr>
  </w:style>
  <w:style w:type="paragraph" w:styleId="TOC6">
    <w:name w:val="toc 6"/>
    <w:basedOn w:val="Normal"/>
    <w:next w:val="Normal"/>
    <w:autoRedefine/>
    <w:uiPriority w:val="39"/>
    <w:unhideWhenUsed/>
    <w:rsid w:val="00650843"/>
    <w:pPr>
      <w:spacing w:after="0"/>
      <w:ind w:left="1200"/>
    </w:pPr>
    <w:rPr>
      <w:rFonts w:asciiTheme="minorHAnsi" w:hAnsiTheme="minorHAnsi" w:cstheme="minorHAnsi"/>
      <w:sz w:val="18"/>
      <w:szCs w:val="18"/>
    </w:rPr>
  </w:style>
  <w:style w:type="paragraph" w:styleId="TOC7">
    <w:name w:val="toc 7"/>
    <w:basedOn w:val="Normal"/>
    <w:next w:val="Normal"/>
    <w:autoRedefine/>
    <w:uiPriority w:val="39"/>
    <w:unhideWhenUsed/>
    <w:rsid w:val="00650843"/>
    <w:pPr>
      <w:spacing w:after="0"/>
      <w:ind w:left="1440"/>
    </w:pPr>
    <w:rPr>
      <w:rFonts w:asciiTheme="minorHAnsi" w:hAnsiTheme="minorHAnsi" w:cstheme="minorHAnsi"/>
      <w:sz w:val="18"/>
      <w:szCs w:val="18"/>
    </w:rPr>
  </w:style>
  <w:style w:type="paragraph" w:styleId="TOC8">
    <w:name w:val="toc 8"/>
    <w:basedOn w:val="Normal"/>
    <w:next w:val="Normal"/>
    <w:autoRedefine/>
    <w:uiPriority w:val="39"/>
    <w:unhideWhenUsed/>
    <w:rsid w:val="00650843"/>
    <w:pPr>
      <w:spacing w:after="0"/>
      <w:ind w:left="1680"/>
    </w:pPr>
    <w:rPr>
      <w:rFonts w:asciiTheme="minorHAnsi" w:hAnsiTheme="minorHAnsi" w:cstheme="minorHAnsi"/>
      <w:sz w:val="18"/>
      <w:szCs w:val="18"/>
    </w:rPr>
  </w:style>
  <w:style w:type="paragraph" w:styleId="TOC9">
    <w:name w:val="toc 9"/>
    <w:basedOn w:val="Normal"/>
    <w:next w:val="Normal"/>
    <w:autoRedefine/>
    <w:uiPriority w:val="39"/>
    <w:unhideWhenUsed/>
    <w:rsid w:val="00650843"/>
    <w:pPr>
      <w:spacing w:after="0"/>
      <w:ind w:left="1920"/>
    </w:pPr>
    <w:rPr>
      <w:rFonts w:asciiTheme="minorHAnsi" w:hAnsiTheme="minorHAnsi" w:cstheme="minorHAnsi"/>
      <w:sz w:val="18"/>
      <w:szCs w:val="18"/>
    </w:rPr>
  </w:style>
  <w:style w:type="character" w:styleId="Strong">
    <w:name w:val="Strong"/>
    <w:basedOn w:val="DefaultParagraphFont"/>
    <w:uiPriority w:val="22"/>
    <w:qFormat/>
    <w:rsid w:val="00A421AA"/>
    <w:rPr>
      <w:b/>
      <w:bCs/>
    </w:rPr>
  </w:style>
  <w:style w:type="character" w:customStyle="1" w:styleId="highwire-cite-article-as">
    <w:name w:val="highwire-cite-article-as"/>
    <w:basedOn w:val="DefaultParagraphFont"/>
    <w:rsid w:val="00092224"/>
  </w:style>
  <w:style w:type="character" w:customStyle="1" w:styleId="italic">
    <w:name w:val="italic"/>
    <w:basedOn w:val="DefaultParagraphFont"/>
    <w:rsid w:val="00092224"/>
  </w:style>
  <w:style w:type="paragraph" w:customStyle="1" w:styleId="Default">
    <w:name w:val="Default"/>
    <w:rsid w:val="00DC5669"/>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7D6B"/>
    <w:pPr>
      <w:spacing w:after="0" w:line="240" w:lineRule="auto"/>
      <w:jc w:val="both"/>
    </w:pPr>
    <w:rPr>
      <w:rFonts w:ascii="Arial" w:hAnsi="Arial"/>
      <w:sz w:val="24"/>
    </w:rPr>
  </w:style>
  <w:style w:type="character" w:styleId="FollowedHyperlink">
    <w:name w:val="FollowedHyperlink"/>
    <w:basedOn w:val="DefaultParagraphFont"/>
    <w:uiPriority w:val="99"/>
    <w:semiHidden/>
    <w:unhideWhenUsed/>
    <w:rsid w:val="00217BBE"/>
    <w:rPr>
      <w:color w:val="954F72" w:themeColor="followedHyperlink"/>
      <w:u w:val="single"/>
    </w:rPr>
  </w:style>
  <w:style w:type="character" w:customStyle="1" w:styleId="Heading6Char">
    <w:name w:val="Heading 6 Char"/>
    <w:basedOn w:val="DefaultParagraphFont"/>
    <w:link w:val="Heading6"/>
    <w:uiPriority w:val="9"/>
    <w:rsid w:val="000D023B"/>
    <w:rPr>
      <w:rFonts w:ascii="Arial" w:hAnsi="Arial"/>
      <w:i/>
      <w:iCs/>
      <w:sz w:val="24"/>
    </w:rPr>
  </w:style>
  <w:style w:type="paragraph" w:styleId="Revision">
    <w:name w:val="Revision"/>
    <w:hidden/>
    <w:uiPriority w:val="99"/>
    <w:semiHidden/>
    <w:rsid w:val="00757FF5"/>
    <w:pPr>
      <w:spacing w:after="0" w:line="240" w:lineRule="auto"/>
    </w:pPr>
    <w:rPr>
      <w:rFonts w:ascii="Arial" w:hAnsi="Arial"/>
      <w:sz w:val="24"/>
    </w:rPr>
  </w:style>
  <w:style w:type="paragraph" w:customStyle="1" w:styleId="p0">
    <w:name w:val="p0"/>
    <w:basedOn w:val="Normal"/>
    <w:rsid w:val="00364FF0"/>
    <w:pPr>
      <w:spacing w:after="0" w:line="276" w:lineRule="auto"/>
      <w:jc w:val="both"/>
    </w:pPr>
    <w:rPr>
      <w:rFonts w:eastAsia="Arial" w:cs="Arial"/>
      <w:sz w:val="20"/>
      <w:szCs w:val="20"/>
      <w:lang w:val="en-US" w:eastAsia="en-GB"/>
    </w:rPr>
  </w:style>
  <w:style w:type="paragraph" w:customStyle="1" w:styleId="pf0">
    <w:name w:val="pf0"/>
    <w:basedOn w:val="Normal"/>
    <w:rsid w:val="00DD30E5"/>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DD30E5"/>
    <w:rPr>
      <w:rFonts w:ascii="Segoe UI" w:hAnsi="Segoe UI" w:cs="Segoe UI" w:hint="default"/>
      <w:sz w:val="18"/>
      <w:szCs w:val="18"/>
    </w:rPr>
  </w:style>
  <w:style w:type="paragraph" w:customStyle="1" w:styleId="Style1">
    <w:name w:val="Style1"/>
    <w:basedOn w:val="TOC2"/>
    <w:qFormat/>
    <w:rsid w:val="00AA0981"/>
    <w:pPr>
      <w:tabs>
        <w:tab w:val="left" w:pos="960"/>
      </w:tabs>
    </w:pPr>
    <w:rPr>
      <w:smallCaps/>
    </w:rPr>
  </w:style>
  <w:style w:type="character" w:customStyle="1" w:styleId="Heading7Char">
    <w:name w:val="Heading 7 Char"/>
    <w:basedOn w:val="DefaultParagraphFont"/>
    <w:link w:val="Heading7"/>
    <w:uiPriority w:val="9"/>
    <w:rsid w:val="00361D93"/>
    <w:rPr>
      <w:rFonts w:ascii="Arial" w:eastAsiaTheme="majorEastAsia" w:hAnsi="Arial" w:cstheme="majorBidi"/>
      <w:b/>
      <w:iCs/>
      <w:color w:val="000000" w:themeColor="text1"/>
      <w:sz w:val="24"/>
    </w:rPr>
  </w:style>
  <w:style w:type="paragraph" w:customStyle="1" w:styleId="ParagraphNumbered">
    <w:name w:val="Paragraph Numbered"/>
    <w:basedOn w:val="Normal"/>
    <w:uiPriority w:val="4"/>
    <w:qFormat/>
    <w:rsid w:val="005A6A84"/>
    <w:pPr>
      <w:numPr>
        <w:numId w:val="3"/>
      </w:numPr>
      <w:tabs>
        <w:tab w:val="left" w:pos="426"/>
      </w:tabs>
      <w:spacing w:after="240"/>
      <w:ind w:left="425" w:hanging="425"/>
    </w:pPr>
    <w:rPr>
      <w:rFonts w:eastAsia="Times New Roman" w:cs="Times New Roman"/>
      <w:szCs w:val="24"/>
    </w:rPr>
  </w:style>
  <w:style w:type="paragraph" w:customStyle="1" w:styleId="Tabletext">
    <w:name w:val="Table text"/>
    <w:basedOn w:val="Normal"/>
    <w:rsid w:val="005A6A84"/>
    <w:pPr>
      <w:spacing w:before="60" w:after="80" w:line="240" w:lineRule="auto"/>
    </w:pPr>
    <w:rPr>
      <w:rFonts w:eastAsia="Times New Roman" w:cs="Times New Roman"/>
      <w:sz w:val="22"/>
      <w:szCs w:val="24"/>
    </w:rPr>
  </w:style>
  <w:style w:type="paragraph" w:customStyle="1" w:styleId="Tablebullet">
    <w:name w:val="Table bullet"/>
    <w:basedOn w:val="Tabletext"/>
    <w:qFormat/>
    <w:rsid w:val="005A6A84"/>
    <w:pPr>
      <w:numPr>
        <w:numId w:val="4"/>
      </w:numPr>
    </w:pPr>
  </w:style>
  <w:style w:type="character" w:customStyle="1" w:styleId="cf11">
    <w:name w:val="cf11"/>
    <w:basedOn w:val="DefaultParagraphFont"/>
    <w:rsid w:val="00870DB9"/>
    <w:rPr>
      <w:rFonts w:ascii="Segoe UI" w:hAnsi="Segoe UI" w:cs="Segoe UI" w:hint="default"/>
      <w:color w:val="FF0000"/>
      <w:sz w:val="18"/>
      <w:szCs w:val="18"/>
    </w:rPr>
  </w:style>
  <w:style w:type="character" w:styleId="UnresolvedMention">
    <w:name w:val="Unresolved Mention"/>
    <w:basedOn w:val="DefaultParagraphFont"/>
    <w:uiPriority w:val="99"/>
    <w:semiHidden/>
    <w:unhideWhenUsed/>
    <w:rsid w:val="007A34A9"/>
    <w:rPr>
      <w:color w:val="605E5C"/>
      <w:shd w:val="clear" w:color="auto" w:fill="E1DFDD"/>
    </w:rPr>
  </w:style>
  <w:style w:type="paragraph" w:customStyle="1" w:styleId="Paragraph">
    <w:name w:val="Paragraph"/>
    <w:basedOn w:val="Normal"/>
    <w:uiPriority w:val="99"/>
    <w:qFormat/>
    <w:rsid w:val="00561A94"/>
    <w:pPr>
      <w:spacing w:after="240"/>
    </w:pPr>
    <w:rPr>
      <w:rFonts w:eastAsia="Times New Roman" w:cs="Times New Roman"/>
      <w:szCs w:val="24"/>
    </w:rPr>
  </w:style>
  <w:style w:type="paragraph" w:customStyle="1" w:styleId="Tableheading">
    <w:name w:val="Table heading"/>
    <w:basedOn w:val="Tabletext"/>
    <w:qFormat/>
    <w:rsid w:val="00561A94"/>
    <w:rPr>
      <w:b/>
    </w:rPr>
  </w:style>
  <w:style w:type="table" w:styleId="TableGridLight">
    <w:name w:val="Grid Table Light"/>
    <w:basedOn w:val="TableNormal"/>
    <w:uiPriority w:val="40"/>
    <w:rsid w:val="00561A94"/>
    <w:pPr>
      <w:spacing w:after="0" w:line="240" w:lineRule="auto"/>
    </w:pPr>
    <w:rPr>
      <w:rFonts w:ascii="Times New Roman" w:eastAsia="Times New Roman" w:hAnsi="Times New Roman" w:cs="Times New Roman"/>
      <w:sz w:val="20"/>
      <w:szCs w:val="20"/>
      <w:lang w:eastAsia="en-GB"/>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4164">
      <w:bodyDiv w:val="1"/>
      <w:marLeft w:val="0"/>
      <w:marRight w:val="0"/>
      <w:marTop w:val="0"/>
      <w:marBottom w:val="0"/>
      <w:divBdr>
        <w:top w:val="none" w:sz="0" w:space="0" w:color="auto"/>
        <w:left w:val="none" w:sz="0" w:space="0" w:color="auto"/>
        <w:bottom w:val="none" w:sz="0" w:space="0" w:color="auto"/>
        <w:right w:val="none" w:sz="0" w:space="0" w:color="auto"/>
      </w:divBdr>
    </w:div>
    <w:div w:id="28654112">
      <w:bodyDiv w:val="1"/>
      <w:marLeft w:val="0"/>
      <w:marRight w:val="0"/>
      <w:marTop w:val="0"/>
      <w:marBottom w:val="0"/>
      <w:divBdr>
        <w:top w:val="none" w:sz="0" w:space="0" w:color="auto"/>
        <w:left w:val="none" w:sz="0" w:space="0" w:color="auto"/>
        <w:bottom w:val="none" w:sz="0" w:space="0" w:color="auto"/>
        <w:right w:val="none" w:sz="0" w:space="0" w:color="auto"/>
      </w:divBdr>
    </w:div>
    <w:div w:id="33429666">
      <w:bodyDiv w:val="1"/>
      <w:marLeft w:val="0"/>
      <w:marRight w:val="0"/>
      <w:marTop w:val="0"/>
      <w:marBottom w:val="0"/>
      <w:divBdr>
        <w:top w:val="none" w:sz="0" w:space="0" w:color="auto"/>
        <w:left w:val="none" w:sz="0" w:space="0" w:color="auto"/>
        <w:bottom w:val="none" w:sz="0" w:space="0" w:color="auto"/>
        <w:right w:val="none" w:sz="0" w:space="0" w:color="auto"/>
      </w:divBdr>
    </w:div>
    <w:div w:id="52243154">
      <w:bodyDiv w:val="1"/>
      <w:marLeft w:val="0"/>
      <w:marRight w:val="0"/>
      <w:marTop w:val="0"/>
      <w:marBottom w:val="0"/>
      <w:divBdr>
        <w:top w:val="none" w:sz="0" w:space="0" w:color="auto"/>
        <w:left w:val="none" w:sz="0" w:space="0" w:color="auto"/>
        <w:bottom w:val="none" w:sz="0" w:space="0" w:color="auto"/>
        <w:right w:val="none" w:sz="0" w:space="0" w:color="auto"/>
      </w:divBdr>
    </w:div>
    <w:div w:id="116144379">
      <w:bodyDiv w:val="1"/>
      <w:marLeft w:val="0"/>
      <w:marRight w:val="0"/>
      <w:marTop w:val="0"/>
      <w:marBottom w:val="0"/>
      <w:divBdr>
        <w:top w:val="none" w:sz="0" w:space="0" w:color="auto"/>
        <w:left w:val="none" w:sz="0" w:space="0" w:color="auto"/>
        <w:bottom w:val="none" w:sz="0" w:space="0" w:color="auto"/>
        <w:right w:val="none" w:sz="0" w:space="0" w:color="auto"/>
      </w:divBdr>
    </w:div>
    <w:div w:id="142359554">
      <w:bodyDiv w:val="1"/>
      <w:marLeft w:val="0"/>
      <w:marRight w:val="0"/>
      <w:marTop w:val="0"/>
      <w:marBottom w:val="0"/>
      <w:divBdr>
        <w:top w:val="none" w:sz="0" w:space="0" w:color="auto"/>
        <w:left w:val="none" w:sz="0" w:space="0" w:color="auto"/>
        <w:bottom w:val="none" w:sz="0" w:space="0" w:color="auto"/>
        <w:right w:val="none" w:sz="0" w:space="0" w:color="auto"/>
      </w:divBdr>
    </w:div>
    <w:div w:id="164131633">
      <w:bodyDiv w:val="1"/>
      <w:marLeft w:val="0"/>
      <w:marRight w:val="0"/>
      <w:marTop w:val="0"/>
      <w:marBottom w:val="0"/>
      <w:divBdr>
        <w:top w:val="none" w:sz="0" w:space="0" w:color="auto"/>
        <w:left w:val="none" w:sz="0" w:space="0" w:color="auto"/>
        <w:bottom w:val="none" w:sz="0" w:space="0" w:color="auto"/>
        <w:right w:val="none" w:sz="0" w:space="0" w:color="auto"/>
      </w:divBdr>
    </w:div>
    <w:div w:id="175197359">
      <w:bodyDiv w:val="1"/>
      <w:marLeft w:val="0"/>
      <w:marRight w:val="0"/>
      <w:marTop w:val="0"/>
      <w:marBottom w:val="0"/>
      <w:divBdr>
        <w:top w:val="none" w:sz="0" w:space="0" w:color="auto"/>
        <w:left w:val="none" w:sz="0" w:space="0" w:color="auto"/>
        <w:bottom w:val="none" w:sz="0" w:space="0" w:color="auto"/>
        <w:right w:val="none" w:sz="0" w:space="0" w:color="auto"/>
      </w:divBdr>
    </w:div>
    <w:div w:id="177353286">
      <w:bodyDiv w:val="1"/>
      <w:marLeft w:val="0"/>
      <w:marRight w:val="0"/>
      <w:marTop w:val="0"/>
      <w:marBottom w:val="0"/>
      <w:divBdr>
        <w:top w:val="none" w:sz="0" w:space="0" w:color="auto"/>
        <w:left w:val="none" w:sz="0" w:space="0" w:color="auto"/>
        <w:bottom w:val="none" w:sz="0" w:space="0" w:color="auto"/>
        <w:right w:val="none" w:sz="0" w:space="0" w:color="auto"/>
      </w:divBdr>
    </w:div>
    <w:div w:id="182523751">
      <w:bodyDiv w:val="1"/>
      <w:marLeft w:val="0"/>
      <w:marRight w:val="0"/>
      <w:marTop w:val="0"/>
      <w:marBottom w:val="0"/>
      <w:divBdr>
        <w:top w:val="none" w:sz="0" w:space="0" w:color="auto"/>
        <w:left w:val="none" w:sz="0" w:space="0" w:color="auto"/>
        <w:bottom w:val="none" w:sz="0" w:space="0" w:color="auto"/>
        <w:right w:val="none" w:sz="0" w:space="0" w:color="auto"/>
      </w:divBdr>
    </w:div>
    <w:div w:id="192813213">
      <w:bodyDiv w:val="1"/>
      <w:marLeft w:val="0"/>
      <w:marRight w:val="0"/>
      <w:marTop w:val="0"/>
      <w:marBottom w:val="0"/>
      <w:divBdr>
        <w:top w:val="none" w:sz="0" w:space="0" w:color="auto"/>
        <w:left w:val="none" w:sz="0" w:space="0" w:color="auto"/>
        <w:bottom w:val="none" w:sz="0" w:space="0" w:color="auto"/>
        <w:right w:val="none" w:sz="0" w:space="0" w:color="auto"/>
      </w:divBdr>
    </w:div>
    <w:div w:id="224414488">
      <w:bodyDiv w:val="1"/>
      <w:marLeft w:val="0"/>
      <w:marRight w:val="0"/>
      <w:marTop w:val="0"/>
      <w:marBottom w:val="0"/>
      <w:divBdr>
        <w:top w:val="none" w:sz="0" w:space="0" w:color="auto"/>
        <w:left w:val="none" w:sz="0" w:space="0" w:color="auto"/>
        <w:bottom w:val="none" w:sz="0" w:space="0" w:color="auto"/>
        <w:right w:val="none" w:sz="0" w:space="0" w:color="auto"/>
      </w:divBdr>
    </w:div>
    <w:div w:id="242035829">
      <w:bodyDiv w:val="1"/>
      <w:marLeft w:val="0"/>
      <w:marRight w:val="0"/>
      <w:marTop w:val="0"/>
      <w:marBottom w:val="0"/>
      <w:divBdr>
        <w:top w:val="none" w:sz="0" w:space="0" w:color="auto"/>
        <w:left w:val="none" w:sz="0" w:space="0" w:color="auto"/>
        <w:bottom w:val="none" w:sz="0" w:space="0" w:color="auto"/>
        <w:right w:val="none" w:sz="0" w:space="0" w:color="auto"/>
      </w:divBdr>
    </w:div>
    <w:div w:id="246572219">
      <w:bodyDiv w:val="1"/>
      <w:marLeft w:val="0"/>
      <w:marRight w:val="0"/>
      <w:marTop w:val="0"/>
      <w:marBottom w:val="0"/>
      <w:divBdr>
        <w:top w:val="none" w:sz="0" w:space="0" w:color="auto"/>
        <w:left w:val="none" w:sz="0" w:space="0" w:color="auto"/>
        <w:bottom w:val="none" w:sz="0" w:space="0" w:color="auto"/>
        <w:right w:val="none" w:sz="0" w:space="0" w:color="auto"/>
      </w:divBdr>
    </w:div>
    <w:div w:id="248852588">
      <w:bodyDiv w:val="1"/>
      <w:marLeft w:val="0"/>
      <w:marRight w:val="0"/>
      <w:marTop w:val="0"/>
      <w:marBottom w:val="0"/>
      <w:divBdr>
        <w:top w:val="none" w:sz="0" w:space="0" w:color="auto"/>
        <w:left w:val="none" w:sz="0" w:space="0" w:color="auto"/>
        <w:bottom w:val="none" w:sz="0" w:space="0" w:color="auto"/>
        <w:right w:val="none" w:sz="0" w:space="0" w:color="auto"/>
      </w:divBdr>
    </w:div>
    <w:div w:id="251401997">
      <w:bodyDiv w:val="1"/>
      <w:marLeft w:val="0"/>
      <w:marRight w:val="0"/>
      <w:marTop w:val="0"/>
      <w:marBottom w:val="0"/>
      <w:divBdr>
        <w:top w:val="none" w:sz="0" w:space="0" w:color="auto"/>
        <w:left w:val="none" w:sz="0" w:space="0" w:color="auto"/>
        <w:bottom w:val="none" w:sz="0" w:space="0" w:color="auto"/>
        <w:right w:val="none" w:sz="0" w:space="0" w:color="auto"/>
      </w:divBdr>
    </w:div>
    <w:div w:id="306057069">
      <w:bodyDiv w:val="1"/>
      <w:marLeft w:val="0"/>
      <w:marRight w:val="0"/>
      <w:marTop w:val="0"/>
      <w:marBottom w:val="0"/>
      <w:divBdr>
        <w:top w:val="none" w:sz="0" w:space="0" w:color="auto"/>
        <w:left w:val="none" w:sz="0" w:space="0" w:color="auto"/>
        <w:bottom w:val="none" w:sz="0" w:space="0" w:color="auto"/>
        <w:right w:val="none" w:sz="0" w:space="0" w:color="auto"/>
      </w:divBdr>
    </w:div>
    <w:div w:id="329917501">
      <w:bodyDiv w:val="1"/>
      <w:marLeft w:val="0"/>
      <w:marRight w:val="0"/>
      <w:marTop w:val="0"/>
      <w:marBottom w:val="0"/>
      <w:divBdr>
        <w:top w:val="none" w:sz="0" w:space="0" w:color="auto"/>
        <w:left w:val="none" w:sz="0" w:space="0" w:color="auto"/>
        <w:bottom w:val="none" w:sz="0" w:space="0" w:color="auto"/>
        <w:right w:val="none" w:sz="0" w:space="0" w:color="auto"/>
      </w:divBdr>
    </w:div>
    <w:div w:id="345518254">
      <w:bodyDiv w:val="1"/>
      <w:marLeft w:val="0"/>
      <w:marRight w:val="0"/>
      <w:marTop w:val="0"/>
      <w:marBottom w:val="0"/>
      <w:divBdr>
        <w:top w:val="none" w:sz="0" w:space="0" w:color="auto"/>
        <w:left w:val="none" w:sz="0" w:space="0" w:color="auto"/>
        <w:bottom w:val="none" w:sz="0" w:space="0" w:color="auto"/>
        <w:right w:val="none" w:sz="0" w:space="0" w:color="auto"/>
      </w:divBdr>
    </w:div>
    <w:div w:id="357196257">
      <w:bodyDiv w:val="1"/>
      <w:marLeft w:val="0"/>
      <w:marRight w:val="0"/>
      <w:marTop w:val="0"/>
      <w:marBottom w:val="0"/>
      <w:divBdr>
        <w:top w:val="none" w:sz="0" w:space="0" w:color="auto"/>
        <w:left w:val="none" w:sz="0" w:space="0" w:color="auto"/>
        <w:bottom w:val="none" w:sz="0" w:space="0" w:color="auto"/>
        <w:right w:val="none" w:sz="0" w:space="0" w:color="auto"/>
      </w:divBdr>
    </w:div>
    <w:div w:id="370426221">
      <w:bodyDiv w:val="1"/>
      <w:marLeft w:val="0"/>
      <w:marRight w:val="0"/>
      <w:marTop w:val="0"/>
      <w:marBottom w:val="0"/>
      <w:divBdr>
        <w:top w:val="none" w:sz="0" w:space="0" w:color="auto"/>
        <w:left w:val="none" w:sz="0" w:space="0" w:color="auto"/>
        <w:bottom w:val="none" w:sz="0" w:space="0" w:color="auto"/>
        <w:right w:val="none" w:sz="0" w:space="0" w:color="auto"/>
      </w:divBdr>
    </w:div>
    <w:div w:id="394622373">
      <w:bodyDiv w:val="1"/>
      <w:marLeft w:val="0"/>
      <w:marRight w:val="0"/>
      <w:marTop w:val="0"/>
      <w:marBottom w:val="0"/>
      <w:divBdr>
        <w:top w:val="none" w:sz="0" w:space="0" w:color="auto"/>
        <w:left w:val="none" w:sz="0" w:space="0" w:color="auto"/>
        <w:bottom w:val="none" w:sz="0" w:space="0" w:color="auto"/>
        <w:right w:val="none" w:sz="0" w:space="0" w:color="auto"/>
      </w:divBdr>
    </w:div>
    <w:div w:id="419839019">
      <w:bodyDiv w:val="1"/>
      <w:marLeft w:val="0"/>
      <w:marRight w:val="0"/>
      <w:marTop w:val="0"/>
      <w:marBottom w:val="0"/>
      <w:divBdr>
        <w:top w:val="none" w:sz="0" w:space="0" w:color="auto"/>
        <w:left w:val="none" w:sz="0" w:space="0" w:color="auto"/>
        <w:bottom w:val="none" w:sz="0" w:space="0" w:color="auto"/>
        <w:right w:val="none" w:sz="0" w:space="0" w:color="auto"/>
      </w:divBdr>
    </w:div>
    <w:div w:id="436875572">
      <w:bodyDiv w:val="1"/>
      <w:marLeft w:val="0"/>
      <w:marRight w:val="0"/>
      <w:marTop w:val="0"/>
      <w:marBottom w:val="0"/>
      <w:divBdr>
        <w:top w:val="none" w:sz="0" w:space="0" w:color="auto"/>
        <w:left w:val="none" w:sz="0" w:space="0" w:color="auto"/>
        <w:bottom w:val="none" w:sz="0" w:space="0" w:color="auto"/>
        <w:right w:val="none" w:sz="0" w:space="0" w:color="auto"/>
      </w:divBdr>
    </w:div>
    <w:div w:id="522672721">
      <w:bodyDiv w:val="1"/>
      <w:marLeft w:val="0"/>
      <w:marRight w:val="0"/>
      <w:marTop w:val="0"/>
      <w:marBottom w:val="0"/>
      <w:divBdr>
        <w:top w:val="none" w:sz="0" w:space="0" w:color="auto"/>
        <w:left w:val="none" w:sz="0" w:space="0" w:color="auto"/>
        <w:bottom w:val="none" w:sz="0" w:space="0" w:color="auto"/>
        <w:right w:val="none" w:sz="0" w:space="0" w:color="auto"/>
      </w:divBdr>
    </w:div>
    <w:div w:id="552428914">
      <w:bodyDiv w:val="1"/>
      <w:marLeft w:val="0"/>
      <w:marRight w:val="0"/>
      <w:marTop w:val="0"/>
      <w:marBottom w:val="0"/>
      <w:divBdr>
        <w:top w:val="none" w:sz="0" w:space="0" w:color="auto"/>
        <w:left w:val="none" w:sz="0" w:space="0" w:color="auto"/>
        <w:bottom w:val="none" w:sz="0" w:space="0" w:color="auto"/>
        <w:right w:val="none" w:sz="0" w:space="0" w:color="auto"/>
      </w:divBdr>
    </w:div>
    <w:div w:id="552615554">
      <w:bodyDiv w:val="1"/>
      <w:marLeft w:val="0"/>
      <w:marRight w:val="0"/>
      <w:marTop w:val="0"/>
      <w:marBottom w:val="0"/>
      <w:divBdr>
        <w:top w:val="none" w:sz="0" w:space="0" w:color="auto"/>
        <w:left w:val="none" w:sz="0" w:space="0" w:color="auto"/>
        <w:bottom w:val="none" w:sz="0" w:space="0" w:color="auto"/>
        <w:right w:val="none" w:sz="0" w:space="0" w:color="auto"/>
      </w:divBdr>
    </w:div>
    <w:div w:id="563294559">
      <w:bodyDiv w:val="1"/>
      <w:marLeft w:val="0"/>
      <w:marRight w:val="0"/>
      <w:marTop w:val="0"/>
      <w:marBottom w:val="0"/>
      <w:divBdr>
        <w:top w:val="none" w:sz="0" w:space="0" w:color="auto"/>
        <w:left w:val="none" w:sz="0" w:space="0" w:color="auto"/>
        <w:bottom w:val="none" w:sz="0" w:space="0" w:color="auto"/>
        <w:right w:val="none" w:sz="0" w:space="0" w:color="auto"/>
      </w:divBdr>
    </w:div>
    <w:div w:id="607544405">
      <w:bodyDiv w:val="1"/>
      <w:marLeft w:val="0"/>
      <w:marRight w:val="0"/>
      <w:marTop w:val="0"/>
      <w:marBottom w:val="0"/>
      <w:divBdr>
        <w:top w:val="none" w:sz="0" w:space="0" w:color="auto"/>
        <w:left w:val="none" w:sz="0" w:space="0" w:color="auto"/>
        <w:bottom w:val="none" w:sz="0" w:space="0" w:color="auto"/>
        <w:right w:val="none" w:sz="0" w:space="0" w:color="auto"/>
      </w:divBdr>
    </w:div>
    <w:div w:id="617487258">
      <w:bodyDiv w:val="1"/>
      <w:marLeft w:val="0"/>
      <w:marRight w:val="0"/>
      <w:marTop w:val="0"/>
      <w:marBottom w:val="0"/>
      <w:divBdr>
        <w:top w:val="none" w:sz="0" w:space="0" w:color="auto"/>
        <w:left w:val="none" w:sz="0" w:space="0" w:color="auto"/>
        <w:bottom w:val="none" w:sz="0" w:space="0" w:color="auto"/>
        <w:right w:val="none" w:sz="0" w:space="0" w:color="auto"/>
      </w:divBdr>
    </w:div>
    <w:div w:id="620111602">
      <w:bodyDiv w:val="1"/>
      <w:marLeft w:val="0"/>
      <w:marRight w:val="0"/>
      <w:marTop w:val="0"/>
      <w:marBottom w:val="0"/>
      <w:divBdr>
        <w:top w:val="none" w:sz="0" w:space="0" w:color="auto"/>
        <w:left w:val="none" w:sz="0" w:space="0" w:color="auto"/>
        <w:bottom w:val="none" w:sz="0" w:space="0" w:color="auto"/>
        <w:right w:val="none" w:sz="0" w:space="0" w:color="auto"/>
      </w:divBdr>
    </w:div>
    <w:div w:id="658197129">
      <w:bodyDiv w:val="1"/>
      <w:marLeft w:val="0"/>
      <w:marRight w:val="0"/>
      <w:marTop w:val="0"/>
      <w:marBottom w:val="0"/>
      <w:divBdr>
        <w:top w:val="none" w:sz="0" w:space="0" w:color="auto"/>
        <w:left w:val="none" w:sz="0" w:space="0" w:color="auto"/>
        <w:bottom w:val="none" w:sz="0" w:space="0" w:color="auto"/>
        <w:right w:val="none" w:sz="0" w:space="0" w:color="auto"/>
      </w:divBdr>
    </w:div>
    <w:div w:id="664406962">
      <w:bodyDiv w:val="1"/>
      <w:marLeft w:val="0"/>
      <w:marRight w:val="0"/>
      <w:marTop w:val="0"/>
      <w:marBottom w:val="0"/>
      <w:divBdr>
        <w:top w:val="none" w:sz="0" w:space="0" w:color="auto"/>
        <w:left w:val="none" w:sz="0" w:space="0" w:color="auto"/>
        <w:bottom w:val="none" w:sz="0" w:space="0" w:color="auto"/>
        <w:right w:val="none" w:sz="0" w:space="0" w:color="auto"/>
      </w:divBdr>
    </w:div>
    <w:div w:id="665792797">
      <w:bodyDiv w:val="1"/>
      <w:marLeft w:val="0"/>
      <w:marRight w:val="0"/>
      <w:marTop w:val="0"/>
      <w:marBottom w:val="0"/>
      <w:divBdr>
        <w:top w:val="none" w:sz="0" w:space="0" w:color="auto"/>
        <w:left w:val="none" w:sz="0" w:space="0" w:color="auto"/>
        <w:bottom w:val="none" w:sz="0" w:space="0" w:color="auto"/>
        <w:right w:val="none" w:sz="0" w:space="0" w:color="auto"/>
      </w:divBdr>
      <w:divsChild>
        <w:div w:id="50348401">
          <w:marLeft w:val="360"/>
          <w:marRight w:val="0"/>
          <w:marTop w:val="200"/>
          <w:marBottom w:val="0"/>
          <w:divBdr>
            <w:top w:val="none" w:sz="0" w:space="0" w:color="auto"/>
            <w:left w:val="none" w:sz="0" w:space="0" w:color="auto"/>
            <w:bottom w:val="none" w:sz="0" w:space="0" w:color="auto"/>
            <w:right w:val="none" w:sz="0" w:space="0" w:color="auto"/>
          </w:divBdr>
        </w:div>
      </w:divsChild>
    </w:div>
    <w:div w:id="704334010">
      <w:bodyDiv w:val="1"/>
      <w:marLeft w:val="0"/>
      <w:marRight w:val="0"/>
      <w:marTop w:val="0"/>
      <w:marBottom w:val="0"/>
      <w:divBdr>
        <w:top w:val="none" w:sz="0" w:space="0" w:color="auto"/>
        <w:left w:val="none" w:sz="0" w:space="0" w:color="auto"/>
        <w:bottom w:val="none" w:sz="0" w:space="0" w:color="auto"/>
        <w:right w:val="none" w:sz="0" w:space="0" w:color="auto"/>
      </w:divBdr>
    </w:div>
    <w:div w:id="764155143">
      <w:bodyDiv w:val="1"/>
      <w:marLeft w:val="0"/>
      <w:marRight w:val="0"/>
      <w:marTop w:val="0"/>
      <w:marBottom w:val="0"/>
      <w:divBdr>
        <w:top w:val="none" w:sz="0" w:space="0" w:color="auto"/>
        <w:left w:val="none" w:sz="0" w:space="0" w:color="auto"/>
        <w:bottom w:val="none" w:sz="0" w:space="0" w:color="auto"/>
        <w:right w:val="none" w:sz="0" w:space="0" w:color="auto"/>
      </w:divBdr>
      <w:divsChild>
        <w:div w:id="1998680447">
          <w:marLeft w:val="0"/>
          <w:marRight w:val="0"/>
          <w:marTop w:val="0"/>
          <w:marBottom w:val="0"/>
          <w:divBdr>
            <w:top w:val="none" w:sz="0" w:space="0" w:color="auto"/>
            <w:left w:val="none" w:sz="0" w:space="0" w:color="auto"/>
            <w:bottom w:val="none" w:sz="0" w:space="0" w:color="auto"/>
            <w:right w:val="none" w:sz="0" w:space="0" w:color="auto"/>
          </w:divBdr>
          <w:divsChild>
            <w:div w:id="763847033">
              <w:marLeft w:val="0"/>
              <w:marRight w:val="0"/>
              <w:marTop w:val="0"/>
              <w:marBottom w:val="0"/>
              <w:divBdr>
                <w:top w:val="none" w:sz="0" w:space="0" w:color="auto"/>
                <w:left w:val="none" w:sz="0" w:space="0" w:color="auto"/>
                <w:bottom w:val="none" w:sz="0" w:space="0" w:color="auto"/>
                <w:right w:val="none" w:sz="0" w:space="0" w:color="auto"/>
              </w:divBdr>
              <w:divsChild>
                <w:div w:id="1699771348">
                  <w:marLeft w:val="0"/>
                  <w:marRight w:val="0"/>
                  <w:marTop w:val="0"/>
                  <w:marBottom w:val="0"/>
                  <w:divBdr>
                    <w:top w:val="none" w:sz="0" w:space="0" w:color="auto"/>
                    <w:left w:val="none" w:sz="0" w:space="0" w:color="auto"/>
                    <w:bottom w:val="none" w:sz="0" w:space="0" w:color="auto"/>
                    <w:right w:val="none" w:sz="0" w:space="0" w:color="auto"/>
                  </w:divBdr>
                  <w:divsChild>
                    <w:div w:id="512184305">
                      <w:marLeft w:val="0"/>
                      <w:marRight w:val="0"/>
                      <w:marTop w:val="0"/>
                      <w:marBottom w:val="0"/>
                      <w:divBdr>
                        <w:top w:val="none" w:sz="0" w:space="0" w:color="auto"/>
                        <w:left w:val="none" w:sz="0" w:space="0" w:color="auto"/>
                        <w:bottom w:val="none" w:sz="0" w:space="0" w:color="auto"/>
                        <w:right w:val="none" w:sz="0" w:space="0" w:color="auto"/>
                      </w:divBdr>
                      <w:divsChild>
                        <w:div w:id="1253274266">
                          <w:marLeft w:val="0"/>
                          <w:marRight w:val="0"/>
                          <w:marTop w:val="0"/>
                          <w:marBottom w:val="0"/>
                          <w:divBdr>
                            <w:top w:val="none" w:sz="0" w:space="0" w:color="auto"/>
                            <w:left w:val="none" w:sz="0" w:space="0" w:color="auto"/>
                            <w:bottom w:val="none" w:sz="0" w:space="0" w:color="auto"/>
                            <w:right w:val="none" w:sz="0" w:space="0" w:color="auto"/>
                          </w:divBdr>
                          <w:divsChild>
                            <w:div w:id="455833357">
                              <w:marLeft w:val="0"/>
                              <w:marRight w:val="0"/>
                              <w:marTop w:val="0"/>
                              <w:marBottom w:val="0"/>
                              <w:divBdr>
                                <w:top w:val="none" w:sz="0" w:space="0" w:color="auto"/>
                                <w:left w:val="single" w:sz="6" w:space="0" w:color="E5E3E3"/>
                                <w:bottom w:val="none" w:sz="0" w:space="0" w:color="auto"/>
                                <w:right w:val="none" w:sz="0" w:space="0" w:color="auto"/>
                              </w:divBdr>
                              <w:divsChild>
                                <w:div w:id="1961111489">
                                  <w:marLeft w:val="0"/>
                                  <w:marRight w:val="0"/>
                                  <w:marTop w:val="0"/>
                                  <w:marBottom w:val="0"/>
                                  <w:divBdr>
                                    <w:top w:val="none" w:sz="0" w:space="0" w:color="auto"/>
                                    <w:left w:val="none" w:sz="0" w:space="0" w:color="auto"/>
                                    <w:bottom w:val="none" w:sz="0" w:space="0" w:color="auto"/>
                                    <w:right w:val="none" w:sz="0" w:space="0" w:color="auto"/>
                                  </w:divBdr>
                                  <w:divsChild>
                                    <w:div w:id="877663837">
                                      <w:marLeft w:val="0"/>
                                      <w:marRight w:val="0"/>
                                      <w:marTop w:val="0"/>
                                      <w:marBottom w:val="0"/>
                                      <w:divBdr>
                                        <w:top w:val="none" w:sz="0" w:space="0" w:color="auto"/>
                                        <w:left w:val="none" w:sz="0" w:space="0" w:color="auto"/>
                                        <w:bottom w:val="none" w:sz="0" w:space="0" w:color="auto"/>
                                        <w:right w:val="none" w:sz="0" w:space="0" w:color="auto"/>
                                      </w:divBdr>
                                      <w:divsChild>
                                        <w:div w:id="549390131">
                                          <w:marLeft w:val="0"/>
                                          <w:marRight w:val="0"/>
                                          <w:marTop w:val="0"/>
                                          <w:marBottom w:val="0"/>
                                          <w:divBdr>
                                            <w:top w:val="none" w:sz="0" w:space="0" w:color="auto"/>
                                            <w:left w:val="none" w:sz="0" w:space="0" w:color="auto"/>
                                            <w:bottom w:val="none" w:sz="0" w:space="0" w:color="auto"/>
                                            <w:right w:val="none" w:sz="0" w:space="0" w:color="auto"/>
                                          </w:divBdr>
                                          <w:divsChild>
                                            <w:div w:id="1433940549">
                                              <w:marLeft w:val="0"/>
                                              <w:marRight w:val="0"/>
                                              <w:marTop w:val="0"/>
                                              <w:marBottom w:val="0"/>
                                              <w:divBdr>
                                                <w:top w:val="none" w:sz="0" w:space="0" w:color="auto"/>
                                                <w:left w:val="none" w:sz="0" w:space="0" w:color="auto"/>
                                                <w:bottom w:val="none" w:sz="0" w:space="0" w:color="auto"/>
                                                <w:right w:val="none" w:sz="0" w:space="0" w:color="auto"/>
                                              </w:divBdr>
                                              <w:divsChild>
                                                <w:div w:id="826437178">
                                                  <w:marLeft w:val="0"/>
                                                  <w:marRight w:val="0"/>
                                                  <w:marTop w:val="0"/>
                                                  <w:marBottom w:val="0"/>
                                                  <w:divBdr>
                                                    <w:top w:val="none" w:sz="0" w:space="0" w:color="auto"/>
                                                    <w:left w:val="none" w:sz="0" w:space="0" w:color="auto"/>
                                                    <w:bottom w:val="none" w:sz="0" w:space="0" w:color="auto"/>
                                                    <w:right w:val="none" w:sz="0" w:space="0" w:color="auto"/>
                                                  </w:divBdr>
                                                  <w:divsChild>
                                                    <w:div w:id="1873109357">
                                                      <w:marLeft w:val="0"/>
                                                      <w:marRight w:val="0"/>
                                                      <w:marTop w:val="0"/>
                                                      <w:marBottom w:val="0"/>
                                                      <w:divBdr>
                                                        <w:top w:val="none" w:sz="0" w:space="0" w:color="auto"/>
                                                        <w:left w:val="none" w:sz="0" w:space="0" w:color="auto"/>
                                                        <w:bottom w:val="none" w:sz="0" w:space="0" w:color="auto"/>
                                                        <w:right w:val="none" w:sz="0" w:space="0" w:color="auto"/>
                                                      </w:divBdr>
                                                      <w:divsChild>
                                                        <w:div w:id="518391464">
                                                          <w:marLeft w:val="480"/>
                                                          <w:marRight w:val="0"/>
                                                          <w:marTop w:val="0"/>
                                                          <w:marBottom w:val="0"/>
                                                          <w:divBdr>
                                                            <w:top w:val="none" w:sz="0" w:space="0" w:color="auto"/>
                                                            <w:left w:val="none" w:sz="0" w:space="0" w:color="auto"/>
                                                            <w:bottom w:val="none" w:sz="0" w:space="0" w:color="auto"/>
                                                            <w:right w:val="none" w:sz="0" w:space="0" w:color="auto"/>
                                                          </w:divBdr>
                                                          <w:divsChild>
                                                            <w:div w:id="68701931">
                                                              <w:marLeft w:val="0"/>
                                                              <w:marRight w:val="0"/>
                                                              <w:marTop w:val="0"/>
                                                              <w:marBottom w:val="0"/>
                                                              <w:divBdr>
                                                                <w:top w:val="none" w:sz="0" w:space="0" w:color="auto"/>
                                                                <w:left w:val="none" w:sz="0" w:space="0" w:color="auto"/>
                                                                <w:bottom w:val="none" w:sz="0" w:space="0" w:color="auto"/>
                                                                <w:right w:val="none" w:sz="0" w:space="0" w:color="auto"/>
                                                              </w:divBdr>
                                                              <w:divsChild>
                                                                <w:div w:id="842428587">
                                                                  <w:marLeft w:val="0"/>
                                                                  <w:marRight w:val="0"/>
                                                                  <w:marTop w:val="0"/>
                                                                  <w:marBottom w:val="0"/>
                                                                  <w:divBdr>
                                                                    <w:top w:val="none" w:sz="0" w:space="0" w:color="auto"/>
                                                                    <w:left w:val="none" w:sz="0" w:space="0" w:color="auto"/>
                                                                    <w:bottom w:val="none" w:sz="0" w:space="0" w:color="auto"/>
                                                                    <w:right w:val="none" w:sz="0" w:space="0" w:color="auto"/>
                                                                  </w:divBdr>
                                                                  <w:divsChild>
                                                                    <w:div w:id="1191190802">
                                                                      <w:marLeft w:val="0"/>
                                                                      <w:marRight w:val="0"/>
                                                                      <w:marTop w:val="240"/>
                                                                      <w:marBottom w:val="0"/>
                                                                      <w:divBdr>
                                                                        <w:top w:val="none" w:sz="0" w:space="0" w:color="auto"/>
                                                                        <w:left w:val="none" w:sz="0" w:space="0" w:color="auto"/>
                                                                        <w:bottom w:val="none" w:sz="0" w:space="0" w:color="auto"/>
                                                                        <w:right w:val="none" w:sz="0" w:space="0" w:color="auto"/>
                                                                      </w:divBdr>
                                                                      <w:divsChild>
                                                                        <w:div w:id="1319962386">
                                                                          <w:marLeft w:val="0"/>
                                                                          <w:marRight w:val="0"/>
                                                                          <w:marTop w:val="0"/>
                                                                          <w:marBottom w:val="0"/>
                                                                          <w:divBdr>
                                                                            <w:top w:val="none" w:sz="0" w:space="0" w:color="auto"/>
                                                                            <w:left w:val="none" w:sz="0" w:space="0" w:color="auto"/>
                                                                            <w:bottom w:val="none" w:sz="0" w:space="0" w:color="auto"/>
                                                                            <w:right w:val="none" w:sz="0" w:space="0" w:color="auto"/>
                                                                          </w:divBdr>
                                                                          <w:divsChild>
                                                                            <w:div w:id="309479828">
                                                                              <w:marLeft w:val="0"/>
                                                                              <w:marRight w:val="0"/>
                                                                              <w:marTop w:val="0"/>
                                                                              <w:marBottom w:val="0"/>
                                                                              <w:divBdr>
                                                                                <w:top w:val="none" w:sz="0" w:space="0" w:color="auto"/>
                                                                                <w:left w:val="none" w:sz="0" w:space="0" w:color="auto"/>
                                                                                <w:bottom w:val="none" w:sz="0" w:space="0" w:color="auto"/>
                                                                                <w:right w:val="none" w:sz="0" w:space="0" w:color="auto"/>
                                                                              </w:divBdr>
                                                                              <w:divsChild>
                                                                                <w:div w:id="327683453">
                                                                                  <w:marLeft w:val="0"/>
                                                                                  <w:marRight w:val="0"/>
                                                                                  <w:marTop w:val="0"/>
                                                                                  <w:marBottom w:val="0"/>
                                                                                  <w:divBdr>
                                                                                    <w:top w:val="none" w:sz="0" w:space="0" w:color="auto"/>
                                                                                    <w:left w:val="none" w:sz="0" w:space="0" w:color="auto"/>
                                                                                    <w:bottom w:val="none" w:sz="0" w:space="0" w:color="auto"/>
                                                                                    <w:right w:val="none" w:sz="0" w:space="0" w:color="auto"/>
                                                                                  </w:divBdr>
                                                                                  <w:divsChild>
                                                                                    <w:div w:id="1886410602">
                                                                                      <w:marLeft w:val="0"/>
                                                                                      <w:marRight w:val="0"/>
                                                                                      <w:marTop w:val="0"/>
                                                                                      <w:marBottom w:val="0"/>
                                                                                      <w:divBdr>
                                                                                        <w:top w:val="none" w:sz="0" w:space="0" w:color="auto"/>
                                                                                        <w:left w:val="none" w:sz="0" w:space="0" w:color="auto"/>
                                                                                        <w:bottom w:val="none" w:sz="0" w:space="0" w:color="auto"/>
                                                                                        <w:right w:val="none" w:sz="0" w:space="0" w:color="auto"/>
                                                                                      </w:divBdr>
                                                                                      <w:divsChild>
                                                                                        <w:div w:id="1982077650">
                                                                                          <w:marLeft w:val="0"/>
                                                                                          <w:marRight w:val="0"/>
                                                                                          <w:marTop w:val="0"/>
                                                                                          <w:marBottom w:val="0"/>
                                                                                          <w:divBdr>
                                                                                            <w:top w:val="none" w:sz="0" w:space="0" w:color="auto"/>
                                                                                            <w:left w:val="none" w:sz="0" w:space="0" w:color="auto"/>
                                                                                            <w:bottom w:val="none" w:sz="0" w:space="0" w:color="auto"/>
                                                                                            <w:right w:val="none" w:sz="0" w:space="0" w:color="auto"/>
                                                                                          </w:divBdr>
                                                                                          <w:divsChild>
                                                                                            <w:div w:id="947004812">
                                                                                              <w:marLeft w:val="0"/>
                                                                                              <w:marRight w:val="0"/>
                                                                                              <w:marTop w:val="0"/>
                                                                                              <w:marBottom w:val="0"/>
                                                                                              <w:divBdr>
                                                                                                <w:top w:val="none" w:sz="0" w:space="0" w:color="auto"/>
                                                                                                <w:left w:val="none" w:sz="0" w:space="0" w:color="auto"/>
                                                                                                <w:bottom w:val="none" w:sz="0" w:space="0" w:color="auto"/>
                                                                                                <w:right w:val="none" w:sz="0" w:space="0" w:color="auto"/>
                                                                                              </w:divBdr>
                                                                                              <w:divsChild>
                                                                                                <w:div w:id="6965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2163692">
      <w:bodyDiv w:val="1"/>
      <w:marLeft w:val="0"/>
      <w:marRight w:val="0"/>
      <w:marTop w:val="0"/>
      <w:marBottom w:val="0"/>
      <w:divBdr>
        <w:top w:val="none" w:sz="0" w:space="0" w:color="auto"/>
        <w:left w:val="none" w:sz="0" w:space="0" w:color="auto"/>
        <w:bottom w:val="none" w:sz="0" w:space="0" w:color="auto"/>
        <w:right w:val="none" w:sz="0" w:space="0" w:color="auto"/>
      </w:divBdr>
    </w:div>
    <w:div w:id="772167159">
      <w:bodyDiv w:val="1"/>
      <w:marLeft w:val="0"/>
      <w:marRight w:val="0"/>
      <w:marTop w:val="0"/>
      <w:marBottom w:val="0"/>
      <w:divBdr>
        <w:top w:val="none" w:sz="0" w:space="0" w:color="auto"/>
        <w:left w:val="none" w:sz="0" w:space="0" w:color="auto"/>
        <w:bottom w:val="none" w:sz="0" w:space="0" w:color="auto"/>
        <w:right w:val="none" w:sz="0" w:space="0" w:color="auto"/>
      </w:divBdr>
    </w:div>
    <w:div w:id="839274293">
      <w:bodyDiv w:val="1"/>
      <w:marLeft w:val="0"/>
      <w:marRight w:val="0"/>
      <w:marTop w:val="0"/>
      <w:marBottom w:val="0"/>
      <w:divBdr>
        <w:top w:val="none" w:sz="0" w:space="0" w:color="auto"/>
        <w:left w:val="none" w:sz="0" w:space="0" w:color="auto"/>
        <w:bottom w:val="none" w:sz="0" w:space="0" w:color="auto"/>
        <w:right w:val="none" w:sz="0" w:space="0" w:color="auto"/>
      </w:divBdr>
      <w:divsChild>
        <w:div w:id="395711711">
          <w:marLeft w:val="0"/>
          <w:marRight w:val="0"/>
          <w:marTop w:val="0"/>
          <w:marBottom w:val="0"/>
          <w:divBdr>
            <w:top w:val="none" w:sz="0" w:space="0" w:color="auto"/>
            <w:left w:val="none" w:sz="0" w:space="0" w:color="auto"/>
            <w:bottom w:val="none" w:sz="0" w:space="0" w:color="auto"/>
            <w:right w:val="none" w:sz="0" w:space="0" w:color="auto"/>
          </w:divBdr>
          <w:divsChild>
            <w:div w:id="900560838">
              <w:marLeft w:val="0"/>
              <w:marRight w:val="0"/>
              <w:marTop w:val="0"/>
              <w:marBottom w:val="0"/>
              <w:divBdr>
                <w:top w:val="none" w:sz="0" w:space="0" w:color="auto"/>
                <w:left w:val="none" w:sz="0" w:space="0" w:color="auto"/>
                <w:bottom w:val="none" w:sz="0" w:space="0" w:color="auto"/>
                <w:right w:val="none" w:sz="0" w:space="0" w:color="auto"/>
              </w:divBdr>
              <w:divsChild>
                <w:div w:id="1521621302">
                  <w:marLeft w:val="0"/>
                  <w:marRight w:val="0"/>
                  <w:marTop w:val="0"/>
                  <w:marBottom w:val="0"/>
                  <w:divBdr>
                    <w:top w:val="none" w:sz="0" w:space="0" w:color="auto"/>
                    <w:left w:val="none" w:sz="0" w:space="0" w:color="auto"/>
                    <w:bottom w:val="none" w:sz="0" w:space="0" w:color="auto"/>
                    <w:right w:val="none" w:sz="0" w:space="0" w:color="auto"/>
                  </w:divBdr>
                  <w:divsChild>
                    <w:div w:id="70178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258390">
      <w:bodyDiv w:val="1"/>
      <w:marLeft w:val="0"/>
      <w:marRight w:val="0"/>
      <w:marTop w:val="0"/>
      <w:marBottom w:val="0"/>
      <w:divBdr>
        <w:top w:val="none" w:sz="0" w:space="0" w:color="auto"/>
        <w:left w:val="none" w:sz="0" w:space="0" w:color="auto"/>
        <w:bottom w:val="none" w:sz="0" w:space="0" w:color="auto"/>
        <w:right w:val="none" w:sz="0" w:space="0" w:color="auto"/>
      </w:divBdr>
    </w:div>
    <w:div w:id="880169786">
      <w:bodyDiv w:val="1"/>
      <w:marLeft w:val="0"/>
      <w:marRight w:val="0"/>
      <w:marTop w:val="0"/>
      <w:marBottom w:val="0"/>
      <w:divBdr>
        <w:top w:val="none" w:sz="0" w:space="0" w:color="auto"/>
        <w:left w:val="none" w:sz="0" w:space="0" w:color="auto"/>
        <w:bottom w:val="none" w:sz="0" w:space="0" w:color="auto"/>
        <w:right w:val="none" w:sz="0" w:space="0" w:color="auto"/>
      </w:divBdr>
    </w:div>
    <w:div w:id="905147044">
      <w:bodyDiv w:val="1"/>
      <w:marLeft w:val="0"/>
      <w:marRight w:val="0"/>
      <w:marTop w:val="0"/>
      <w:marBottom w:val="0"/>
      <w:divBdr>
        <w:top w:val="none" w:sz="0" w:space="0" w:color="auto"/>
        <w:left w:val="none" w:sz="0" w:space="0" w:color="auto"/>
        <w:bottom w:val="none" w:sz="0" w:space="0" w:color="auto"/>
        <w:right w:val="none" w:sz="0" w:space="0" w:color="auto"/>
      </w:divBdr>
    </w:div>
    <w:div w:id="906765699">
      <w:bodyDiv w:val="1"/>
      <w:marLeft w:val="0"/>
      <w:marRight w:val="0"/>
      <w:marTop w:val="0"/>
      <w:marBottom w:val="0"/>
      <w:divBdr>
        <w:top w:val="none" w:sz="0" w:space="0" w:color="auto"/>
        <w:left w:val="none" w:sz="0" w:space="0" w:color="auto"/>
        <w:bottom w:val="none" w:sz="0" w:space="0" w:color="auto"/>
        <w:right w:val="none" w:sz="0" w:space="0" w:color="auto"/>
      </w:divBdr>
    </w:div>
    <w:div w:id="919758073">
      <w:bodyDiv w:val="1"/>
      <w:marLeft w:val="0"/>
      <w:marRight w:val="0"/>
      <w:marTop w:val="0"/>
      <w:marBottom w:val="0"/>
      <w:divBdr>
        <w:top w:val="none" w:sz="0" w:space="0" w:color="auto"/>
        <w:left w:val="none" w:sz="0" w:space="0" w:color="auto"/>
        <w:bottom w:val="none" w:sz="0" w:space="0" w:color="auto"/>
        <w:right w:val="none" w:sz="0" w:space="0" w:color="auto"/>
      </w:divBdr>
    </w:div>
    <w:div w:id="947464000">
      <w:bodyDiv w:val="1"/>
      <w:marLeft w:val="0"/>
      <w:marRight w:val="0"/>
      <w:marTop w:val="0"/>
      <w:marBottom w:val="0"/>
      <w:divBdr>
        <w:top w:val="none" w:sz="0" w:space="0" w:color="auto"/>
        <w:left w:val="none" w:sz="0" w:space="0" w:color="auto"/>
        <w:bottom w:val="none" w:sz="0" w:space="0" w:color="auto"/>
        <w:right w:val="none" w:sz="0" w:space="0" w:color="auto"/>
      </w:divBdr>
    </w:div>
    <w:div w:id="982848713">
      <w:bodyDiv w:val="1"/>
      <w:marLeft w:val="0"/>
      <w:marRight w:val="0"/>
      <w:marTop w:val="0"/>
      <w:marBottom w:val="0"/>
      <w:divBdr>
        <w:top w:val="none" w:sz="0" w:space="0" w:color="auto"/>
        <w:left w:val="none" w:sz="0" w:space="0" w:color="auto"/>
        <w:bottom w:val="none" w:sz="0" w:space="0" w:color="auto"/>
        <w:right w:val="none" w:sz="0" w:space="0" w:color="auto"/>
      </w:divBdr>
    </w:div>
    <w:div w:id="997801671">
      <w:bodyDiv w:val="1"/>
      <w:marLeft w:val="0"/>
      <w:marRight w:val="0"/>
      <w:marTop w:val="0"/>
      <w:marBottom w:val="0"/>
      <w:divBdr>
        <w:top w:val="none" w:sz="0" w:space="0" w:color="auto"/>
        <w:left w:val="none" w:sz="0" w:space="0" w:color="auto"/>
        <w:bottom w:val="none" w:sz="0" w:space="0" w:color="auto"/>
        <w:right w:val="none" w:sz="0" w:space="0" w:color="auto"/>
      </w:divBdr>
    </w:div>
    <w:div w:id="1001853604">
      <w:bodyDiv w:val="1"/>
      <w:marLeft w:val="0"/>
      <w:marRight w:val="0"/>
      <w:marTop w:val="0"/>
      <w:marBottom w:val="0"/>
      <w:divBdr>
        <w:top w:val="none" w:sz="0" w:space="0" w:color="auto"/>
        <w:left w:val="none" w:sz="0" w:space="0" w:color="auto"/>
        <w:bottom w:val="none" w:sz="0" w:space="0" w:color="auto"/>
        <w:right w:val="none" w:sz="0" w:space="0" w:color="auto"/>
      </w:divBdr>
    </w:div>
    <w:div w:id="1005783425">
      <w:bodyDiv w:val="1"/>
      <w:marLeft w:val="0"/>
      <w:marRight w:val="0"/>
      <w:marTop w:val="0"/>
      <w:marBottom w:val="0"/>
      <w:divBdr>
        <w:top w:val="none" w:sz="0" w:space="0" w:color="auto"/>
        <w:left w:val="none" w:sz="0" w:space="0" w:color="auto"/>
        <w:bottom w:val="none" w:sz="0" w:space="0" w:color="auto"/>
        <w:right w:val="none" w:sz="0" w:space="0" w:color="auto"/>
      </w:divBdr>
    </w:div>
    <w:div w:id="1022826117">
      <w:bodyDiv w:val="1"/>
      <w:marLeft w:val="0"/>
      <w:marRight w:val="0"/>
      <w:marTop w:val="0"/>
      <w:marBottom w:val="0"/>
      <w:divBdr>
        <w:top w:val="none" w:sz="0" w:space="0" w:color="auto"/>
        <w:left w:val="none" w:sz="0" w:space="0" w:color="auto"/>
        <w:bottom w:val="none" w:sz="0" w:space="0" w:color="auto"/>
        <w:right w:val="none" w:sz="0" w:space="0" w:color="auto"/>
      </w:divBdr>
    </w:div>
    <w:div w:id="1049263206">
      <w:bodyDiv w:val="1"/>
      <w:marLeft w:val="0"/>
      <w:marRight w:val="0"/>
      <w:marTop w:val="0"/>
      <w:marBottom w:val="0"/>
      <w:divBdr>
        <w:top w:val="none" w:sz="0" w:space="0" w:color="auto"/>
        <w:left w:val="none" w:sz="0" w:space="0" w:color="auto"/>
        <w:bottom w:val="none" w:sz="0" w:space="0" w:color="auto"/>
        <w:right w:val="none" w:sz="0" w:space="0" w:color="auto"/>
      </w:divBdr>
    </w:div>
    <w:div w:id="1085145768">
      <w:bodyDiv w:val="1"/>
      <w:marLeft w:val="0"/>
      <w:marRight w:val="0"/>
      <w:marTop w:val="0"/>
      <w:marBottom w:val="0"/>
      <w:divBdr>
        <w:top w:val="none" w:sz="0" w:space="0" w:color="auto"/>
        <w:left w:val="none" w:sz="0" w:space="0" w:color="auto"/>
        <w:bottom w:val="none" w:sz="0" w:space="0" w:color="auto"/>
        <w:right w:val="none" w:sz="0" w:space="0" w:color="auto"/>
      </w:divBdr>
    </w:div>
    <w:div w:id="1093862176">
      <w:bodyDiv w:val="1"/>
      <w:marLeft w:val="0"/>
      <w:marRight w:val="0"/>
      <w:marTop w:val="0"/>
      <w:marBottom w:val="0"/>
      <w:divBdr>
        <w:top w:val="none" w:sz="0" w:space="0" w:color="auto"/>
        <w:left w:val="none" w:sz="0" w:space="0" w:color="auto"/>
        <w:bottom w:val="none" w:sz="0" w:space="0" w:color="auto"/>
        <w:right w:val="none" w:sz="0" w:space="0" w:color="auto"/>
      </w:divBdr>
    </w:div>
    <w:div w:id="1097798458">
      <w:bodyDiv w:val="1"/>
      <w:marLeft w:val="0"/>
      <w:marRight w:val="0"/>
      <w:marTop w:val="0"/>
      <w:marBottom w:val="0"/>
      <w:divBdr>
        <w:top w:val="none" w:sz="0" w:space="0" w:color="auto"/>
        <w:left w:val="none" w:sz="0" w:space="0" w:color="auto"/>
        <w:bottom w:val="none" w:sz="0" w:space="0" w:color="auto"/>
        <w:right w:val="none" w:sz="0" w:space="0" w:color="auto"/>
      </w:divBdr>
    </w:div>
    <w:div w:id="1111437463">
      <w:bodyDiv w:val="1"/>
      <w:marLeft w:val="0"/>
      <w:marRight w:val="0"/>
      <w:marTop w:val="0"/>
      <w:marBottom w:val="0"/>
      <w:divBdr>
        <w:top w:val="none" w:sz="0" w:space="0" w:color="auto"/>
        <w:left w:val="none" w:sz="0" w:space="0" w:color="auto"/>
        <w:bottom w:val="none" w:sz="0" w:space="0" w:color="auto"/>
        <w:right w:val="none" w:sz="0" w:space="0" w:color="auto"/>
      </w:divBdr>
    </w:div>
    <w:div w:id="1117213305">
      <w:bodyDiv w:val="1"/>
      <w:marLeft w:val="0"/>
      <w:marRight w:val="0"/>
      <w:marTop w:val="0"/>
      <w:marBottom w:val="0"/>
      <w:divBdr>
        <w:top w:val="none" w:sz="0" w:space="0" w:color="auto"/>
        <w:left w:val="none" w:sz="0" w:space="0" w:color="auto"/>
        <w:bottom w:val="none" w:sz="0" w:space="0" w:color="auto"/>
        <w:right w:val="none" w:sz="0" w:space="0" w:color="auto"/>
      </w:divBdr>
    </w:div>
    <w:div w:id="1166747060">
      <w:bodyDiv w:val="1"/>
      <w:marLeft w:val="0"/>
      <w:marRight w:val="0"/>
      <w:marTop w:val="0"/>
      <w:marBottom w:val="0"/>
      <w:divBdr>
        <w:top w:val="none" w:sz="0" w:space="0" w:color="auto"/>
        <w:left w:val="none" w:sz="0" w:space="0" w:color="auto"/>
        <w:bottom w:val="none" w:sz="0" w:space="0" w:color="auto"/>
        <w:right w:val="none" w:sz="0" w:space="0" w:color="auto"/>
      </w:divBdr>
    </w:div>
    <w:div w:id="1166824016">
      <w:bodyDiv w:val="1"/>
      <w:marLeft w:val="0"/>
      <w:marRight w:val="0"/>
      <w:marTop w:val="0"/>
      <w:marBottom w:val="0"/>
      <w:divBdr>
        <w:top w:val="none" w:sz="0" w:space="0" w:color="auto"/>
        <w:left w:val="none" w:sz="0" w:space="0" w:color="auto"/>
        <w:bottom w:val="none" w:sz="0" w:space="0" w:color="auto"/>
        <w:right w:val="none" w:sz="0" w:space="0" w:color="auto"/>
      </w:divBdr>
    </w:div>
    <w:div w:id="1173957567">
      <w:bodyDiv w:val="1"/>
      <w:marLeft w:val="0"/>
      <w:marRight w:val="0"/>
      <w:marTop w:val="0"/>
      <w:marBottom w:val="0"/>
      <w:divBdr>
        <w:top w:val="none" w:sz="0" w:space="0" w:color="auto"/>
        <w:left w:val="none" w:sz="0" w:space="0" w:color="auto"/>
        <w:bottom w:val="none" w:sz="0" w:space="0" w:color="auto"/>
        <w:right w:val="none" w:sz="0" w:space="0" w:color="auto"/>
      </w:divBdr>
    </w:div>
    <w:div w:id="1202787136">
      <w:bodyDiv w:val="1"/>
      <w:marLeft w:val="0"/>
      <w:marRight w:val="0"/>
      <w:marTop w:val="0"/>
      <w:marBottom w:val="0"/>
      <w:divBdr>
        <w:top w:val="none" w:sz="0" w:space="0" w:color="auto"/>
        <w:left w:val="none" w:sz="0" w:space="0" w:color="auto"/>
        <w:bottom w:val="none" w:sz="0" w:space="0" w:color="auto"/>
        <w:right w:val="none" w:sz="0" w:space="0" w:color="auto"/>
      </w:divBdr>
    </w:div>
    <w:div w:id="1227034104">
      <w:bodyDiv w:val="1"/>
      <w:marLeft w:val="0"/>
      <w:marRight w:val="0"/>
      <w:marTop w:val="0"/>
      <w:marBottom w:val="0"/>
      <w:divBdr>
        <w:top w:val="none" w:sz="0" w:space="0" w:color="auto"/>
        <w:left w:val="none" w:sz="0" w:space="0" w:color="auto"/>
        <w:bottom w:val="none" w:sz="0" w:space="0" w:color="auto"/>
        <w:right w:val="none" w:sz="0" w:space="0" w:color="auto"/>
      </w:divBdr>
    </w:div>
    <w:div w:id="1313215576">
      <w:bodyDiv w:val="1"/>
      <w:marLeft w:val="0"/>
      <w:marRight w:val="0"/>
      <w:marTop w:val="0"/>
      <w:marBottom w:val="0"/>
      <w:divBdr>
        <w:top w:val="none" w:sz="0" w:space="0" w:color="auto"/>
        <w:left w:val="none" w:sz="0" w:space="0" w:color="auto"/>
        <w:bottom w:val="none" w:sz="0" w:space="0" w:color="auto"/>
        <w:right w:val="none" w:sz="0" w:space="0" w:color="auto"/>
      </w:divBdr>
    </w:div>
    <w:div w:id="1326322196">
      <w:bodyDiv w:val="1"/>
      <w:marLeft w:val="0"/>
      <w:marRight w:val="0"/>
      <w:marTop w:val="0"/>
      <w:marBottom w:val="0"/>
      <w:divBdr>
        <w:top w:val="none" w:sz="0" w:space="0" w:color="auto"/>
        <w:left w:val="none" w:sz="0" w:space="0" w:color="auto"/>
        <w:bottom w:val="none" w:sz="0" w:space="0" w:color="auto"/>
        <w:right w:val="none" w:sz="0" w:space="0" w:color="auto"/>
      </w:divBdr>
    </w:div>
    <w:div w:id="1329360227">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43043221">
      <w:bodyDiv w:val="1"/>
      <w:marLeft w:val="0"/>
      <w:marRight w:val="0"/>
      <w:marTop w:val="0"/>
      <w:marBottom w:val="0"/>
      <w:divBdr>
        <w:top w:val="none" w:sz="0" w:space="0" w:color="auto"/>
        <w:left w:val="none" w:sz="0" w:space="0" w:color="auto"/>
        <w:bottom w:val="none" w:sz="0" w:space="0" w:color="auto"/>
        <w:right w:val="none" w:sz="0" w:space="0" w:color="auto"/>
      </w:divBdr>
    </w:div>
    <w:div w:id="1343244119">
      <w:bodyDiv w:val="1"/>
      <w:marLeft w:val="0"/>
      <w:marRight w:val="0"/>
      <w:marTop w:val="0"/>
      <w:marBottom w:val="0"/>
      <w:divBdr>
        <w:top w:val="none" w:sz="0" w:space="0" w:color="auto"/>
        <w:left w:val="none" w:sz="0" w:space="0" w:color="auto"/>
        <w:bottom w:val="none" w:sz="0" w:space="0" w:color="auto"/>
        <w:right w:val="none" w:sz="0" w:space="0" w:color="auto"/>
      </w:divBdr>
    </w:div>
    <w:div w:id="1345597519">
      <w:bodyDiv w:val="1"/>
      <w:marLeft w:val="0"/>
      <w:marRight w:val="0"/>
      <w:marTop w:val="0"/>
      <w:marBottom w:val="0"/>
      <w:divBdr>
        <w:top w:val="none" w:sz="0" w:space="0" w:color="auto"/>
        <w:left w:val="none" w:sz="0" w:space="0" w:color="auto"/>
        <w:bottom w:val="none" w:sz="0" w:space="0" w:color="auto"/>
        <w:right w:val="none" w:sz="0" w:space="0" w:color="auto"/>
      </w:divBdr>
    </w:div>
    <w:div w:id="1363435273">
      <w:bodyDiv w:val="1"/>
      <w:marLeft w:val="0"/>
      <w:marRight w:val="0"/>
      <w:marTop w:val="0"/>
      <w:marBottom w:val="0"/>
      <w:divBdr>
        <w:top w:val="none" w:sz="0" w:space="0" w:color="auto"/>
        <w:left w:val="none" w:sz="0" w:space="0" w:color="auto"/>
        <w:bottom w:val="none" w:sz="0" w:space="0" w:color="auto"/>
        <w:right w:val="none" w:sz="0" w:space="0" w:color="auto"/>
      </w:divBdr>
    </w:div>
    <w:div w:id="1405445989">
      <w:bodyDiv w:val="1"/>
      <w:marLeft w:val="0"/>
      <w:marRight w:val="0"/>
      <w:marTop w:val="0"/>
      <w:marBottom w:val="0"/>
      <w:divBdr>
        <w:top w:val="none" w:sz="0" w:space="0" w:color="auto"/>
        <w:left w:val="none" w:sz="0" w:space="0" w:color="auto"/>
        <w:bottom w:val="none" w:sz="0" w:space="0" w:color="auto"/>
        <w:right w:val="none" w:sz="0" w:space="0" w:color="auto"/>
      </w:divBdr>
    </w:div>
    <w:div w:id="1424688852">
      <w:bodyDiv w:val="1"/>
      <w:marLeft w:val="0"/>
      <w:marRight w:val="0"/>
      <w:marTop w:val="0"/>
      <w:marBottom w:val="0"/>
      <w:divBdr>
        <w:top w:val="none" w:sz="0" w:space="0" w:color="auto"/>
        <w:left w:val="none" w:sz="0" w:space="0" w:color="auto"/>
        <w:bottom w:val="none" w:sz="0" w:space="0" w:color="auto"/>
        <w:right w:val="none" w:sz="0" w:space="0" w:color="auto"/>
      </w:divBdr>
    </w:div>
    <w:div w:id="1477800417">
      <w:bodyDiv w:val="1"/>
      <w:marLeft w:val="0"/>
      <w:marRight w:val="0"/>
      <w:marTop w:val="0"/>
      <w:marBottom w:val="0"/>
      <w:divBdr>
        <w:top w:val="none" w:sz="0" w:space="0" w:color="auto"/>
        <w:left w:val="none" w:sz="0" w:space="0" w:color="auto"/>
        <w:bottom w:val="none" w:sz="0" w:space="0" w:color="auto"/>
        <w:right w:val="none" w:sz="0" w:space="0" w:color="auto"/>
      </w:divBdr>
    </w:div>
    <w:div w:id="1477992028">
      <w:bodyDiv w:val="1"/>
      <w:marLeft w:val="0"/>
      <w:marRight w:val="0"/>
      <w:marTop w:val="0"/>
      <w:marBottom w:val="0"/>
      <w:divBdr>
        <w:top w:val="none" w:sz="0" w:space="0" w:color="auto"/>
        <w:left w:val="none" w:sz="0" w:space="0" w:color="auto"/>
        <w:bottom w:val="none" w:sz="0" w:space="0" w:color="auto"/>
        <w:right w:val="none" w:sz="0" w:space="0" w:color="auto"/>
      </w:divBdr>
    </w:div>
    <w:div w:id="1494027462">
      <w:bodyDiv w:val="1"/>
      <w:marLeft w:val="0"/>
      <w:marRight w:val="0"/>
      <w:marTop w:val="0"/>
      <w:marBottom w:val="0"/>
      <w:divBdr>
        <w:top w:val="none" w:sz="0" w:space="0" w:color="auto"/>
        <w:left w:val="none" w:sz="0" w:space="0" w:color="auto"/>
        <w:bottom w:val="none" w:sz="0" w:space="0" w:color="auto"/>
        <w:right w:val="none" w:sz="0" w:space="0" w:color="auto"/>
      </w:divBdr>
    </w:div>
    <w:div w:id="1499535927">
      <w:bodyDiv w:val="1"/>
      <w:marLeft w:val="0"/>
      <w:marRight w:val="0"/>
      <w:marTop w:val="0"/>
      <w:marBottom w:val="0"/>
      <w:divBdr>
        <w:top w:val="none" w:sz="0" w:space="0" w:color="auto"/>
        <w:left w:val="none" w:sz="0" w:space="0" w:color="auto"/>
        <w:bottom w:val="none" w:sz="0" w:space="0" w:color="auto"/>
        <w:right w:val="none" w:sz="0" w:space="0" w:color="auto"/>
      </w:divBdr>
    </w:div>
    <w:div w:id="1538588866">
      <w:bodyDiv w:val="1"/>
      <w:marLeft w:val="0"/>
      <w:marRight w:val="0"/>
      <w:marTop w:val="0"/>
      <w:marBottom w:val="0"/>
      <w:divBdr>
        <w:top w:val="none" w:sz="0" w:space="0" w:color="auto"/>
        <w:left w:val="none" w:sz="0" w:space="0" w:color="auto"/>
        <w:bottom w:val="none" w:sz="0" w:space="0" w:color="auto"/>
        <w:right w:val="none" w:sz="0" w:space="0" w:color="auto"/>
      </w:divBdr>
    </w:div>
    <w:div w:id="1555850172">
      <w:bodyDiv w:val="1"/>
      <w:marLeft w:val="0"/>
      <w:marRight w:val="0"/>
      <w:marTop w:val="0"/>
      <w:marBottom w:val="0"/>
      <w:divBdr>
        <w:top w:val="none" w:sz="0" w:space="0" w:color="auto"/>
        <w:left w:val="none" w:sz="0" w:space="0" w:color="auto"/>
        <w:bottom w:val="none" w:sz="0" w:space="0" w:color="auto"/>
        <w:right w:val="none" w:sz="0" w:space="0" w:color="auto"/>
      </w:divBdr>
    </w:div>
    <w:div w:id="1561332596">
      <w:bodyDiv w:val="1"/>
      <w:marLeft w:val="0"/>
      <w:marRight w:val="0"/>
      <w:marTop w:val="0"/>
      <w:marBottom w:val="0"/>
      <w:divBdr>
        <w:top w:val="none" w:sz="0" w:space="0" w:color="auto"/>
        <w:left w:val="none" w:sz="0" w:space="0" w:color="auto"/>
        <w:bottom w:val="none" w:sz="0" w:space="0" w:color="auto"/>
        <w:right w:val="none" w:sz="0" w:space="0" w:color="auto"/>
      </w:divBdr>
    </w:div>
    <w:div w:id="1584219088">
      <w:bodyDiv w:val="1"/>
      <w:marLeft w:val="0"/>
      <w:marRight w:val="0"/>
      <w:marTop w:val="0"/>
      <w:marBottom w:val="0"/>
      <w:divBdr>
        <w:top w:val="none" w:sz="0" w:space="0" w:color="auto"/>
        <w:left w:val="none" w:sz="0" w:space="0" w:color="auto"/>
        <w:bottom w:val="none" w:sz="0" w:space="0" w:color="auto"/>
        <w:right w:val="none" w:sz="0" w:space="0" w:color="auto"/>
      </w:divBdr>
    </w:div>
    <w:div w:id="1596129646">
      <w:bodyDiv w:val="1"/>
      <w:marLeft w:val="0"/>
      <w:marRight w:val="0"/>
      <w:marTop w:val="0"/>
      <w:marBottom w:val="0"/>
      <w:divBdr>
        <w:top w:val="none" w:sz="0" w:space="0" w:color="auto"/>
        <w:left w:val="none" w:sz="0" w:space="0" w:color="auto"/>
        <w:bottom w:val="none" w:sz="0" w:space="0" w:color="auto"/>
        <w:right w:val="none" w:sz="0" w:space="0" w:color="auto"/>
      </w:divBdr>
    </w:div>
    <w:div w:id="1613440088">
      <w:bodyDiv w:val="1"/>
      <w:marLeft w:val="0"/>
      <w:marRight w:val="0"/>
      <w:marTop w:val="0"/>
      <w:marBottom w:val="0"/>
      <w:divBdr>
        <w:top w:val="none" w:sz="0" w:space="0" w:color="auto"/>
        <w:left w:val="none" w:sz="0" w:space="0" w:color="auto"/>
        <w:bottom w:val="none" w:sz="0" w:space="0" w:color="auto"/>
        <w:right w:val="none" w:sz="0" w:space="0" w:color="auto"/>
      </w:divBdr>
    </w:div>
    <w:div w:id="1666129383">
      <w:bodyDiv w:val="1"/>
      <w:marLeft w:val="0"/>
      <w:marRight w:val="0"/>
      <w:marTop w:val="0"/>
      <w:marBottom w:val="0"/>
      <w:divBdr>
        <w:top w:val="none" w:sz="0" w:space="0" w:color="auto"/>
        <w:left w:val="none" w:sz="0" w:space="0" w:color="auto"/>
        <w:bottom w:val="none" w:sz="0" w:space="0" w:color="auto"/>
        <w:right w:val="none" w:sz="0" w:space="0" w:color="auto"/>
      </w:divBdr>
    </w:div>
    <w:div w:id="1671593067">
      <w:bodyDiv w:val="1"/>
      <w:marLeft w:val="0"/>
      <w:marRight w:val="0"/>
      <w:marTop w:val="0"/>
      <w:marBottom w:val="0"/>
      <w:divBdr>
        <w:top w:val="none" w:sz="0" w:space="0" w:color="auto"/>
        <w:left w:val="none" w:sz="0" w:space="0" w:color="auto"/>
        <w:bottom w:val="none" w:sz="0" w:space="0" w:color="auto"/>
        <w:right w:val="none" w:sz="0" w:space="0" w:color="auto"/>
      </w:divBdr>
    </w:div>
    <w:div w:id="1675035864">
      <w:bodyDiv w:val="1"/>
      <w:marLeft w:val="0"/>
      <w:marRight w:val="0"/>
      <w:marTop w:val="0"/>
      <w:marBottom w:val="0"/>
      <w:divBdr>
        <w:top w:val="none" w:sz="0" w:space="0" w:color="auto"/>
        <w:left w:val="none" w:sz="0" w:space="0" w:color="auto"/>
        <w:bottom w:val="none" w:sz="0" w:space="0" w:color="auto"/>
        <w:right w:val="none" w:sz="0" w:space="0" w:color="auto"/>
      </w:divBdr>
    </w:div>
    <w:div w:id="1680690809">
      <w:bodyDiv w:val="1"/>
      <w:marLeft w:val="0"/>
      <w:marRight w:val="0"/>
      <w:marTop w:val="0"/>
      <w:marBottom w:val="0"/>
      <w:divBdr>
        <w:top w:val="none" w:sz="0" w:space="0" w:color="auto"/>
        <w:left w:val="none" w:sz="0" w:space="0" w:color="auto"/>
        <w:bottom w:val="none" w:sz="0" w:space="0" w:color="auto"/>
        <w:right w:val="none" w:sz="0" w:space="0" w:color="auto"/>
      </w:divBdr>
    </w:div>
    <w:div w:id="1718316680">
      <w:bodyDiv w:val="1"/>
      <w:marLeft w:val="0"/>
      <w:marRight w:val="0"/>
      <w:marTop w:val="0"/>
      <w:marBottom w:val="0"/>
      <w:divBdr>
        <w:top w:val="none" w:sz="0" w:space="0" w:color="auto"/>
        <w:left w:val="none" w:sz="0" w:space="0" w:color="auto"/>
        <w:bottom w:val="none" w:sz="0" w:space="0" w:color="auto"/>
        <w:right w:val="none" w:sz="0" w:space="0" w:color="auto"/>
      </w:divBdr>
    </w:div>
    <w:div w:id="1720937477">
      <w:bodyDiv w:val="1"/>
      <w:marLeft w:val="0"/>
      <w:marRight w:val="0"/>
      <w:marTop w:val="0"/>
      <w:marBottom w:val="0"/>
      <w:divBdr>
        <w:top w:val="none" w:sz="0" w:space="0" w:color="auto"/>
        <w:left w:val="none" w:sz="0" w:space="0" w:color="auto"/>
        <w:bottom w:val="none" w:sz="0" w:space="0" w:color="auto"/>
        <w:right w:val="none" w:sz="0" w:space="0" w:color="auto"/>
      </w:divBdr>
    </w:div>
    <w:div w:id="1735472708">
      <w:bodyDiv w:val="1"/>
      <w:marLeft w:val="0"/>
      <w:marRight w:val="0"/>
      <w:marTop w:val="0"/>
      <w:marBottom w:val="0"/>
      <w:divBdr>
        <w:top w:val="none" w:sz="0" w:space="0" w:color="auto"/>
        <w:left w:val="none" w:sz="0" w:space="0" w:color="auto"/>
        <w:bottom w:val="none" w:sz="0" w:space="0" w:color="auto"/>
        <w:right w:val="none" w:sz="0" w:space="0" w:color="auto"/>
      </w:divBdr>
      <w:divsChild>
        <w:div w:id="1584534408">
          <w:marLeft w:val="0"/>
          <w:marRight w:val="0"/>
          <w:marTop w:val="0"/>
          <w:marBottom w:val="0"/>
          <w:divBdr>
            <w:top w:val="none" w:sz="0" w:space="0" w:color="auto"/>
            <w:left w:val="none" w:sz="0" w:space="0" w:color="auto"/>
            <w:bottom w:val="none" w:sz="0" w:space="0" w:color="auto"/>
            <w:right w:val="none" w:sz="0" w:space="0" w:color="auto"/>
          </w:divBdr>
          <w:divsChild>
            <w:div w:id="947586908">
              <w:marLeft w:val="0"/>
              <w:marRight w:val="0"/>
              <w:marTop w:val="0"/>
              <w:marBottom w:val="0"/>
              <w:divBdr>
                <w:top w:val="none" w:sz="0" w:space="0" w:color="auto"/>
                <w:left w:val="none" w:sz="0" w:space="0" w:color="auto"/>
                <w:bottom w:val="none" w:sz="0" w:space="0" w:color="auto"/>
                <w:right w:val="none" w:sz="0" w:space="0" w:color="auto"/>
              </w:divBdr>
              <w:divsChild>
                <w:div w:id="616529780">
                  <w:marLeft w:val="0"/>
                  <w:marRight w:val="0"/>
                  <w:marTop w:val="0"/>
                  <w:marBottom w:val="0"/>
                  <w:divBdr>
                    <w:top w:val="none" w:sz="0" w:space="0" w:color="auto"/>
                    <w:left w:val="none" w:sz="0" w:space="0" w:color="auto"/>
                    <w:bottom w:val="none" w:sz="0" w:space="0" w:color="auto"/>
                    <w:right w:val="none" w:sz="0" w:space="0" w:color="auto"/>
                  </w:divBdr>
                  <w:divsChild>
                    <w:div w:id="17395367">
                      <w:marLeft w:val="0"/>
                      <w:marRight w:val="0"/>
                      <w:marTop w:val="0"/>
                      <w:marBottom w:val="0"/>
                      <w:divBdr>
                        <w:top w:val="none" w:sz="0" w:space="0" w:color="auto"/>
                        <w:left w:val="none" w:sz="0" w:space="0" w:color="auto"/>
                        <w:bottom w:val="none" w:sz="0" w:space="0" w:color="auto"/>
                        <w:right w:val="none" w:sz="0" w:space="0" w:color="auto"/>
                      </w:divBdr>
                      <w:divsChild>
                        <w:div w:id="1171288145">
                          <w:marLeft w:val="0"/>
                          <w:marRight w:val="0"/>
                          <w:marTop w:val="0"/>
                          <w:marBottom w:val="0"/>
                          <w:divBdr>
                            <w:top w:val="none" w:sz="0" w:space="0" w:color="auto"/>
                            <w:left w:val="none" w:sz="0" w:space="0" w:color="auto"/>
                            <w:bottom w:val="none" w:sz="0" w:space="0" w:color="auto"/>
                            <w:right w:val="none" w:sz="0" w:space="0" w:color="auto"/>
                          </w:divBdr>
                          <w:divsChild>
                            <w:div w:id="114950202">
                              <w:marLeft w:val="0"/>
                              <w:marRight w:val="0"/>
                              <w:marTop w:val="0"/>
                              <w:marBottom w:val="0"/>
                              <w:divBdr>
                                <w:top w:val="none" w:sz="0" w:space="0" w:color="auto"/>
                                <w:left w:val="none" w:sz="0" w:space="0" w:color="auto"/>
                                <w:bottom w:val="none" w:sz="0" w:space="0" w:color="auto"/>
                                <w:right w:val="none" w:sz="0" w:space="0" w:color="auto"/>
                              </w:divBdr>
                              <w:divsChild>
                                <w:div w:id="545066108">
                                  <w:marLeft w:val="0"/>
                                  <w:marRight w:val="0"/>
                                  <w:marTop w:val="0"/>
                                  <w:marBottom w:val="0"/>
                                  <w:divBdr>
                                    <w:top w:val="none" w:sz="0" w:space="0" w:color="auto"/>
                                    <w:left w:val="none" w:sz="0" w:space="0" w:color="auto"/>
                                    <w:bottom w:val="none" w:sz="0" w:space="0" w:color="auto"/>
                                    <w:right w:val="none" w:sz="0" w:space="0" w:color="auto"/>
                                  </w:divBdr>
                                  <w:divsChild>
                                    <w:div w:id="1883714708">
                                      <w:marLeft w:val="0"/>
                                      <w:marRight w:val="0"/>
                                      <w:marTop w:val="0"/>
                                      <w:marBottom w:val="0"/>
                                      <w:divBdr>
                                        <w:top w:val="none" w:sz="0" w:space="0" w:color="auto"/>
                                        <w:left w:val="none" w:sz="0" w:space="0" w:color="auto"/>
                                        <w:bottom w:val="none" w:sz="0" w:space="0" w:color="auto"/>
                                        <w:right w:val="none" w:sz="0" w:space="0" w:color="auto"/>
                                      </w:divBdr>
                                      <w:divsChild>
                                        <w:div w:id="1139423749">
                                          <w:marLeft w:val="0"/>
                                          <w:marRight w:val="0"/>
                                          <w:marTop w:val="0"/>
                                          <w:marBottom w:val="0"/>
                                          <w:divBdr>
                                            <w:top w:val="none" w:sz="0" w:space="0" w:color="auto"/>
                                            <w:left w:val="none" w:sz="0" w:space="0" w:color="auto"/>
                                            <w:bottom w:val="none" w:sz="0" w:space="0" w:color="auto"/>
                                            <w:right w:val="none" w:sz="0" w:space="0" w:color="auto"/>
                                          </w:divBdr>
                                          <w:divsChild>
                                            <w:div w:id="2031174692">
                                              <w:marLeft w:val="0"/>
                                              <w:marRight w:val="0"/>
                                              <w:marTop w:val="0"/>
                                              <w:marBottom w:val="0"/>
                                              <w:divBdr>
                                                <w:top w:val="none" w:sz="0" w:space="0" w:color="auto"/>
                                                <w:left w:val="none" w:sz="0" w:space="0" w:color="auto"/>
                                                <w:bottom w:val="none" w:sz="0" w:space="0" w:color="auto"/>
                                                <w:right w:val="none" w:sz="0" w:space="0" w:color="auto"/>
                                              </w:divBdr>
                                              <w:divsChild>
                                                <w:div w:id="705521554">
                                                  <w:marLeft w:val="0"/>
                                                  <w:marRight w:val="0"/>
                                                  <w:marTop w:val="0"/>
                                                  <w:marBottom w:val="0"/>
                                                  <w:divBdr>
                                                    <w:top w:val="none" w:sz="0" w:space="0" w:color="auto"/>
                                                    <w:left w:val="none" w:sz="0" w:space="0" w:color="auto"/>
                                                    <w:bottom w:val="none" w:sz="0" w:space="0" w:color="auto"/>
                                                    <w:right w:val="none" w:sz="0" w:space="0" w:color="auto"/>
                                                  </w:divBdr>
                                                  <w:divsChild>
                                                    <w:div w:id="400636306">
                                                      <w:marLeft w:val="0"/>
                                                      <w:marRight w:val="0"/>
                                                      <w:marTop w:val="0"/>
                                                      <w:marBottom w:val="0"/>
                                                      <w:divBdr>
                                                        <w:top w:val="none" w:sz="0" w:space="0" w:color="auto"/>
                                                        <w:left w:val="none" w:sz="0" w:space="0" w:color="auto"/>
                                                        <w:bottom w:val="none" w:sz="0" w:space="0" w:color="auto"/>
                                                        <w:right w:val="none" w:sz="0" w:space="0" w:color="auto"/>
                                                      </w:divBdr>
                                                      <w:divsChild>
                                                        <w:div w:id="1379893174">
                                                          <w:marLeft w:val="0"/>
                                                          <w:marRight w:val="0"/>
                                                          <w:marTop w:val="0"/>
                                                          <w:marBottom w:val="0"/>
                                                          <w:divBdr>
                                                            <w:top w:val="none" w:sz="0" w:space="0" w:color="auto"/>
                                                            <w:left w:val="none" w:sz="0" w:space="0" w:color="auto"/>
                                                            <w:bottom w:val="none" w:sz="0" w:space="0" w:color="auto"/>
                                                            <w:right w:val="none" w:sz="0" w:space="0" w:color="auto"/>
                                                          </w:divBdr>
                                                        </w:div>
                                                      </w:divsChild>
                                                    </w:div>
                                                    <w:div w:id="710345271">
                                                      <w:marLeft w:val="0"/>
                                                      <w:marRight w:val="0"/>
                                                      <w:marTop w:val="0"/>
                                                      <w:marBottom w:val="0"/>
                                                      <w:divBdr>
                                                        <w:top w:val="none" w:sz="0" w:space="0" w:color="auto"/>
                                                        <w:left w:val="none" w:sz="0" w:space="0" w:color="auto"/>
                                                        <w:bottom w:val="none" w:sz="0" w:space="0" w:color="auto"/>
                                                        <w:right w:val="none" w:sz="0" w:space="0" w:color="auto"/>
                                                      </w:divBdr>
                                                      <w:divsChild>
                                                        <w:div w:id="172300084">
                                                          <w:marLeft w:val="0"/>
                                                          <w:marRight w:val="0"/>
                                                          <w:marTop w:val="0"/>
                                                          <w:marBottom w:val="75"/>
                                                          <w:divBdr>
                                                            <w:top w:val="none" w:sz="0" w:space="0" w:color="auto"/>
                                                            <w:left w:val="none" w:sz="0" w:space="0" w:color="auto"/>
                                                            <w:bottom w:val="none" w:sz="0" w:space="0" w:color="auto"/>
                                                            <w:right w:val="none" w:sz="0" w:space="0" w:color="auto"/>
                                                          </w:divBdr>
                                                          <w:divsChild>
                                                            <w:div w:id="959185119">
                                                              <w:marLeft w:val="0"/>
                                                              <w:marRight w:val="75"/>
                                                              <w:marTop w:val="0"/>
                                                              <w:marBottom w:val="0"/>
                                                              <w:divBdr>
                                                                <w:top w:val="none" w:sz="0" w:space="0" w:color="auto"/>
                                                                <w:left w:val="none" w:sz="0" w:space="0" w:color="auto"/>
                                                                <w:bottom w:val="none" w:sz="0" w:space="0" w:color="auto"/>
                                                                <w:right w:val="none" w:sz="0" w:space="0" w:color="auto"/>
                                                              </w:divBdr>
                                                            </w:div>
                                                            <w:div w:id="1628927601">
                                                              <w:marLeft w:val="0"/>
                                                              <w:marRight w:val="0"/>
                                                              <w:marTop w:val="0"/>
                                                              <w:marBottom w:val="0"/>
                                                              <w:divBdr>
                                                                <w:top w:val="none" w:sz="0" w:space="0" w:color="auto"/>
                                                                <w:left w:val="none" w:sz="0" w:space="0" w:color="auto"/>
                                                                <w:bottom w:val="none" w:sz="0" w:space="0" w:color="auto"/>
                                                                <w:right w:val="none" w:sz="0" w:space="0" w:color="auto"/>
                                                              </w:divBdr>
                                                            </w:div>
                                                            <w:div w:id="21019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6292">
                                                      <w:marLeft w:val="0"/>
                                                      <w:marRight w:val="0"/>
                                                      <w:marTop w:val="0"/>
                                                      <w:marBottom w:val="0"/>
                                                      <w:divBdr>
                                                        <w:top w:val="none" w:sz="0" w:space="0" w:color="auto"/>
                                                        <w:left w:val="none" w:sz="0" w:space="0" w:color="auto"/>
                                                        <w:bottom w:val="none" w:sz="0" w:space="0" w:color="auto"/>
                                                        <w:right w:val="none" w:sz="0" w:space="0" w:color="auto"/>
                                                      </w:divBdr>
                                                      <w:divsChild>
                                                        <w:div w:id="146749357">
                                                          <w:marLeft w:val="0"/>
                                                          <w:marRight w:val="75"/>
                                                          <w:marTop w:val="0"/>
                                                          <w:marBottom w:val="0"/>
                                                          <w:divBdr>
                                                            <w:top w:val="none" w:sz="0" w:space="0" w:color="auto"/>
                                                            <w:left w:val="none" w:sz="0" w:space="0" w:color="auto"/>
                                                            <w:bottom w:val="none" w:sz="0" w:space="0" w:color="auto"/>
                                                            <w:right w:val="none" w:sz="0" w:space="0" w:color="auto"/>
                                                          </w:divBdr>
                                                        </w:div>
                                                        <w:div w:id="2004964673">
                                                          <w:marLeft w:val="0"/>
                                                          <w:marRight w:val="0"/>
                                                          <w:marTop w:val="0"/>
                                                          <w:marBottom w:val="0"/>
                                                          <w:divBdr>
                                                            <w:top w:val="none" w:sz="0" w:space="0" w:color="auto"/>
                                                            <w:left w:val="none" w:sz="0" w:space="0" w:color="auto"/>
                                                            <w:bottom w:val="none" w:sz="0" w:space="0" w:color="auto"/>
                                                            <w:right w:val="none" w:sz="0" w:space="0" w:color="auto"/>
                                                          </w:divBdr>
                                                        </w:div>
                                                      </w:divsChild>
                                                    </w:div>
                                                    <w:div w:id="1362315545">
                                                      <w:marLeft w:val="0"/>
                                                      <w:marRight w:val="0"/>
                                                      <w:marTop w:val="75"/>
                                                      <w:marBottom w:val="0"/>
                                                      <w:divBdr>
                                                        <w:top w:val="none" w:sz="0" w:space="0" w:color="auto"/>
                                                        <w:left w:val="none" w:sz="0" w:space="0" w:color="auto"/>
                                                        <w:bottom w:val="none" w:sz="0" w:space="0" w:color="auto"/>
                                                        <w:right w:val="none" w:sz="0" w:space="0" w:color="auto"/>
                                                      </w:divBdr>
                                                    </w:div>
                                                    <w:div w:id="1734961280">
                                                      <w:marLeft w:val="0"/>
                                                      <w:marRight w:val="0"/>
                                                      <w:marTop w:val="240"/>
                                                      <w:marBottom w:val="0"/>
                                                      <w:divBdr>
                                                        <w:top w:val="none" w:sz="0" w:space="0" w:color="auto"/>
                                                        <w:left w:val="none" w:sz="0" w:space="0" w:color="auto"/>
                                                        <w:bottom w:val="none" w:sz="0" w:space="0" w:color="auto"/>
                                                        <w:right w:val="none" w:sz="0" w:space="0" w:color="auto"/>
                                                      </w:divBdr>
                                                    </w:div>
                                                    <w:div w:id="539246744">
                                                      <w:marLeft w:val="0"/>
                                                      <w:marRight w:val="240"/>
                                                      <w:marTop w:val="0"/>
                                                      <w:marBottom w:val="0"/>
                                                      <w:divBdr>
                                                        <w:top w:val="none" w:sz="0" w:space="0" w:color="auto"/>
                                                        <w:left w:val="none" w:sz="0" w:space="0" w:color="auto"/>
                                                        <w:bottom w:val="none" w:sz="0" w:space="0" w:color="auto"/>
                                                        <w:right w:val="none" w:sz="0" w:space="0" w:color="auto"/>
                                                      </w:divBdr>
                                                    </w:div>
                                                    <w:div w:id="693776001">
                                                      <w:marLeft w:val="0"/>
                                                      <w:marRight w:val="240"/>
                                                      <w:marTop w:val="0"/>
                                                      <w:marBottom w:val="0"/>
                                                      <w:divBdr>
                                                        <w:top w:val="none" w:sz="0" w:space="0" w:color="auto"/>
                                                        <w:left w:val="none" w:sz="0" w:space="0" w:color="auto"/>
                                                        <w:bottom w:val="none" w:sz="0" w:space="0" w:color="auto"/>
                                                        <w:right w:val="none" w:sz="0" w:space="0" w:color="auto"/>
                                                      </w:divBdr>
                                                    </w:div>
                                                    <w:div w:id="32705229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98218638">
                                          <w:marLeft w:val="0"/>
                                          <w:marRight w:val="0"/>
                                          <w:marTop w:val="0"/>
                                          <w:marBottom w:val="0"/>
                                          <w:divBdr>
                                            <w:top w:val="none" w:sz="0" w:space="0" w:color="auto"/>
                                            <w:left w:val="none" w:sz="0" w:space="0" w:color="auto"/>
                                            <w:bottom w:val="none" w:sz="0" w:space="0" w:color="auto"/>
                                            <w:right w:val="none" w:sz="0" w:space="0" w:color="auto"/>
                                          </w:divBdr>
                                          <w:divsChild>
                                            <w:div w:id="58863851">
                                              <w:marLeft w:val="0"/>
                                              <w:marRight w:val="0"/>
                                              <w:marTop w:val="0"/>
                                              <w:marBottom w:val="0"/>
                                              <w:divBdr>
                                                <w:top w:val="none" w:sz="0" w:space="0" w:color="auto"/>
                                                <w:left w:val="none" w:sz="0" w:space="0" w:color="auto"/>
                                                <w:bottom w:val="none" w:sz="0" w:space="0" w:color="auto"/>
                                                <w:right w:val="none" w:sz="0" w:space="0" w:color="auto"/>
                                              </w:divBdr>
                                              <w:divsChild>
                                                <w:div w:id="159674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892779">
      <w:bodyDiv w:val="1"/>
      <w:marLeft w:val="0"/>
      <w:marRight w:val="0"/>
      <w:marTop w:val="0"/>
      <w:marBottom w:val="0"/>
      <w:divBdr>
        <w:top w:val="none" w:sz="0" w:space="0" w:color="auto"/>
        <w:left w:val="none" w:sz="0" w:space="0" w:color="auto"/>
        <w:bottom w:val="none" w:sz="0" w:space="0" w:color="auto"/>
        <w:right w:val="none" w:sz="0" w:space="0" w:color="auto"/>
      </w:divBdr>
    </w:div>
    <w:div w:id="1778789385">
      <w:bodyDiv w:val="1"/>
      <w:marLeft w:val="0"/>
      <w:marRight w:val="0"/>
      <w:marTop w:val="0"/>
      <w:marBottom w:val="0"/>
      <w:divBdr>
        <w:top w:val="none" w:sz="0" w:space="0" w:color="auto"/>
        <w:left w:val="none" w:sz="0" w:space="0" w:color="auto"/>
        <w:bottom w:val="none" w:sz="0" w:space="0" w:color="auto"/>
        <w:right w:val="none" w:sz="0" w:space="0" w:color="auto"/>
      </w:divBdr>
    </w:div>
    <w:div w:id="1797991054">
      <w:bodyDiv w:val="1"/>
      <w:marLeft w:val="0"/>
      <w:marRight w:val="0"/>
      <w:marTop w:val="0"/>
      <w:marBottom w:val="0"/>
      <w:divBdr>
        <w:top w:val="none" w:sz="0" w:space="0" w:color="auto"/>
        <w:left w:val="none" w:sz="0" w:space="0" w:color="auto"/>
        <w:bottom w:val="none" w:sz="0" w:space="0" w:color="auto"/>
        <w:right w:val="none" w:sz="0" w:space="0" w:color="auto"/>
      </w:divBdr>
    </w:div>
    <w:div w:id="1801610661">
      <w:bodyDiv w:val="1"/>
      <w:marLeft w:val="0"/>
      <w:marRight w:val="0"/>
      <w:marTop w:val="0"/>
      <w:marBottom w:val="0"/>
      <w:divBdr>
        <w:top w:val="none" w:sz="0" w:space="0" w:color="auto"/>
        <w:left w:val="none" w:sz="0" w:space="0" w:color="auto"/>
        <w:bottom w:val="none" w:sz="0" w:space="0" w:color="auto"/>
        <w:right w:val="none" w:sz="0" w:space="0" w:color="auto"/>
      </w:divBdr>
    </w:div>
    <w:div w:id="1821997368">
      <w:bodyDiv w:val="1"/>
      <w:marLeft w:val="0"/>
      <w:marRight w:val="0"/>
      <w:marTop w:val="0"/>
      <w:marBottom w:val="0"/>
      <w:divBdr>
        <w:top w:val="none" w:sz="0" w:space="0" w:color="auto"/>
        <w:left w:val="none" w:sz="0" w:space="0" w:color="auto"/>
        <w:bottom w:val="none" w:sz="0" w:space="0" w:color="auto"/>
        <w:right w:val="none" w:sz="0" w:space="0" w:color="auto"/>
      </w:divBdr>
    </w:div>
    <w:div w:id="1836607195">
      <w:bodyDiv w:val="1"/>
      <w:marLeft w:val="0"/>
      <w:marRight w:val="0"/>
      <w:marTop w:val="0"/>
      <w:marBottom w:val="0"/>
      <w:divBdr>
        <w:top w:val="none" w:sz="0" w:space="0" w:color="auto"/>
        <w:left w:val="none" w:sz="0" w:space="0" w:color="auto"/>
        <w:bottom w:val="none" w:sz="0" w:space="0" w:color="auto"/>
        <w:right w:val="none" w:sz="0" w:space="0" w:color="auto"/>
      </w:divBdr>
    </w:div>
    <w:div w:id="1856727996">
      <w:bodyDiv w:val="1"/>
      <w:marLeft w:val="0"/>
      <w:marRight w:val="0"/>
      <w:marTop w:val="0"/>
      <w:marBottom w:val="0"/>
      <w:divBdr>
        <w:top w:val="none" w:sz="0" w:space="0" w:color="auto"/>
        <w:left w:val="none" w:sz="0" w:space="0" w:color="auto"/>
        <w:bottom w:val="none" w:sz="0" w:space="0" w:color="auto"/>
        <w:right w:val="none" w:sz="0" w:space="0" w:color="auto"/>
      </w:divBdr>
    </w:div>
    <w:div w:id="1863202471">
      <w:bodyDiv w:val="1"/>
      <w:marLeft w:val="0"/>
      <w:marRight w:val="0"/>
      <w:marTop w:val="0"/>
      <w:marBottom w:val="0"/>
      <w:divBdr>
        <w:top w:val="none" w:sz="0" w:space="0" w:color="auto"/>
        <w:left w:val="none" w:sz="0" w:space="0" w:color="auto"/>
        <w:bottom w:val="none" w:sz="0" w:space="0" w:color="auto"/>
        <w:right w:val="none" w:sz="0" w:space="0" w:color="auto"/>
      </w:divBdr>
      <w:divsChild>
        <w:div w:id="1046947959">
          <w:marLeft w:val="360"/>
          <w:marRight w:val="0"/>
          <w:marTop w:val="200"/>
          <w:marBottom w:val="0"/>
          <w:divBdr>
            <w:top w:val="none" w:sz="0" w:space="0" w:color="auto"/>
            <w:left w:val="none" w:sz="0" w:space="0" w:color="auto"/>
            <w:bottom w:val="none" w:sz="0" w:space="0" w:color="auto"/>
            <w:right w:val="none" w:sz="0" w:space="0" w:color="auto"/>
          </w:divBdr>
        </w:div>
      </w:divsChild>
    </w:div>
    <w:div w:id="1875540650">
      <w:bodyDiv w:val="1"/>
      <w:marLeft w:val="0"/>
      <w:marRight w:val="0"/>
      <w:marTop w:val="0"/>
      <w:marBottom w:val="0"/>
      <w:divBdr>
        <w:top w:val="none" w:sz="0" w:space="0" w:color="auto"/>
        <w:left w:val="none" w:sz="0" w:space="0" w:color="auto"/>
        <w:bottom w:val="none" w:sz="0" w:space="0" w:color="auto"/>
        <w:right w:val="none" w:sz="0" w:space="0" w:color="auto"/>
      </w:divBdr>
    </w:div>
    <w:div w:id="1916931189">
      <w:bodyDiv w:val="1"/>
      <w:marLeft w:val="0"/>
      <w:marRight w:val="0"/>
      <w:marTop w:val="0"/>
      <w:marBottom w:val="0"/>
      <w:divBdr>
        <w:top w:val="none" w:sz="0" w:space="0" w:color="auto"/>
        <w:left w:val="none" w:sz="0" w:space="0" w:color="auto"/>
        <w:bottom w:val="none" w:sz="0" w:space="0" w:color="auto"/>
        <w:right w:val="none" w:sz="0" w:space="0" w:color="auto"/>
      </w:divBdr>
    </w:div>
    <w:div w:id="1948997374">
      <w:bodyDiv w:val="1"/>
      <w:marLeft w:val="0"/>
      <w:marRight w:val="0"/>
      <w:marTop w:val="0"/>
      <w:marBottom w:val="0"/>
      <w:divBdr>
        <w:top w:val="none" w:sz="0" w:space="0" w:color="auto"/>
        <w:left w:val="none" w:sz="0" w:space="0" w:color="auto"/>
        <w:bottom w:val="none" w:sz="0" w:space="0" w:color="auto"/>
        <w:right w:val="none" w:sz="0" w:space="0" w:color="auto"/>
      </w:divBdr>
    </w:div>
    <w:div w:id="1979383904">
      <w:bodyDiv w:val="1"/>
      <w:marLeft w:val="0"/>
      <w:marRight w:val="0"/>
      <w:marTop w:val="0"/>
      <w:marBottom w:val="0"/>
      <w:divBdr>
        <w:top w:val="none" w:sz="0" w:space="0" w:color="auto"/>
        <w:left w:val="none" w:sz="0" w:space="0" w:color="auto"/>
        <w:bottom w:val="none" w:sz="0" w:space="0" w:color="auto"/>
        <w:right w:val="none" w:sz="0" w:space="0" w:color="auto"/>
      </w:divBdr>
    </w:div>
    <w:div w:id="2025747929">
      <w:bodyDiv w:val="1"/>
      <w:marLeft w:val="0"/>
      <w:marRight w:val="0"/>
      <w:marTop w:val="0"/>
      <w:marBottom w:val="0"/>
      <w:divBdr>
        <w:top w:val="none" w:sz="0" w:space="0" w:color="auto"/>
        <w:left w:val="none" w:sz="0" w:space="0" w:color="auto"/>
        <w:bottom w:val="none" w:sz="0" w:space="0" w:color="auto"/>
        <w:right w:val="none" w:sz="0" w:space="0" w:color="auto"/>
      </w:divBdr>
    </w:div>
    <w:div w:id="2055733704">
      <w:bodyDiv w:val="1"/>
      <w:marLeft w:val="0"/>
      <w:marRight w:val="0"/>
      <w:marTop w:val="0"/>
      <w:marBottom w:val="0"/>
      <w:divBdr>
        <w:top w:val="none" w:sz="0" w:space="0" w:color="auto"/>
        <w:left w:val="none" w:sz="0" w:space="0" w:color="auto"/>
        <w:bottom w:val="none" w:sz="0" w:space="0" w:color="auto"/>
        <w:right w:val="none" w:sz="0" w:space="0" w:color="auto"/>
      </w:divBdr>
    </w:div>
    <w:div w:id="2116515266">
      <w:bodyDiv w:val="1"/>
      <w:marLeft w:val="0"/>
      <w:marRight w:val="0"/>
      <w:marTop w:val="0"/>
      <w:marBottom w:val="0"/>
      <w:divBdr>
        <w:top w:val="none" w:sz="0" w:space="0" w:color="auto"/>
        <w:left w:val="none" w:sz="0" w:space="0" w:color="auto"/>
        <w:bottom w:val="none" w:sz="0" w:space="0" w:color="auto"/>
        <w:right w:val="none" w:sz="0" w:space="0" w:color="auto"/>
      </w:divBdr>
    </w:div>
    <w:div w:id="2118676068">
      <w:bodyDiv w:val="1"/>
      <w:marLeft w:val="0"/>
      <w:marRight w:val="0"/>
      <w:marTop w:val="0"/>
      <w:marBottom w:val="0"/>
      <w:divBdr>
        <w:top w:val="none" w:sz="0" w:space="0" w:color="auto"/>
        <w:left w:val="none" w:sz="0" w:space="0" w:color="auto"/>
        <w:bottom w:val="none" w:sz="0" w:space="0" w:color="auto"/>
        <w:right w:val="none" w:sz="0" w:space="0" w:color="auto"/>
      </w:divBdr>
    </w:div>
    <w:div w:id="214534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246" TargetMode="External"/><Relationship Id="rId13" Type="http://schemas.openxmlformats.org/officeDocument/2006/relationships/hyperlink" Target="https://www.nice.org.uk/guidance/indevelopment/gid-ng10182" TargetMode="External"/><Relationship Id="rId18" Type="http://schemas.openxmlformats.org/officeDocument/2006/relationships/hyperlink" Target="https://www.nice.org.uk/guidance/cg18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nice.org.uk/guidance/indevelopment/gid-ng10182" TargetMode="External"/><Relationship Id="rId17" Type="http://schemas.openxmlformats.org/officeDocument/2006/relationships/hyperlink" Target="https://www.nice.org.uk/get-involved/meetings-in-public/indicator-advisory-committee" TargetMode="External"/><Relationship Id="rId2" Type="http://schemas.openxmlformats.org/officeDocument/2006/relationships/numbering" Target="numbering.xml"/><Relationship Id="rId16" Type="http://schemas.openxmlformats.org/officeDocument/2006/relationships/hyperlink" Target="https://www.nice.org.uk/get-involved/meetings-in-public/indicator-advisory-committe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cg189" TargetMode="External"/><Relationship Id="rId5" Type="http://schemas.openxmlformats.org/officeDocument/2006/relationships/webSettings" Target="webSettings.xml"/><Relationship Id="rId15" Type="http://schemas.openxmlformats.org/officeDocument/2006/relationships/hyperlink" Target="https://www.gov.uk/government/news/mhra-authorises-diabetes-drug-mounjaro-tirzepatide-for-weight-management-and-weight-loss" TargetMode="External"/><Relationship Id="rId10" Type="http://schemas.openxmlformats.org/officeDocument/2006/relationships/hyperlink" Target="https://www.gov.uk/government/publications/adult-weight-management-a-guide-to-brief-intervention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guidance/cg189" TargetMode="External"/><Relationship Id="rId14" Type="http://schemas.openxmlformats.org/officeDocument/2006/relationships/hyperlink" Target="https://www.gov.uk/government/news/new-drugs-pilot-to-tackle-obesity-and-cut-nhs-waiting-lis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9B332-C04D-448E-8A18-E3D357EE7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12571</Words>
  <Characters>71660</Characters>
  <Application>Microsoft Office Word</Application>
  <DocSecurity>0</DocSecurity>
  <Lines>597</Lines>
  <Paragraphs>168</Paragraphs>
  <ScaleCrop>false</ScaleCrop>
  <Company/>
  <LinksUpToDate>false</LinksUpToDate>
  <CharactersWithSpaces>84063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2025-11-18T09:01:00Z</dcterms:created>
  <dcterms:modified xsi:type="dcterms:W3CDTF">2025-11-18T09:01:00Z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2025-11-18T09:01:37Z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4dae2628-4831-4983-b6db-9297aba82d08</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ies>
</file>