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9922F" w14:textId="3EF6459A" w:rsidR="00482C01" w:rsidRPr="00570D51" w:rsidRDefault="00BB5876" w:rsidP="00570D51">
      <w:pPr>
        <w:pStyle w:val="Paragraph"/>
        <w:jc w:val="center"/>
        <w:rPr>
          <w:b/>
          <w:bCs/>
          <w:sz w:val="32"/>
          <w:szCs w:val="32"/>
        </w:rPr>
      </w:pPr>
      <w:r>
        <w:rPr>
          <w:b/>
          <w:bCs/>
          <w:sz w:val="32"/>
          <w:szCs w:val="32"/>
        </w:rPr>
        <w:t>Indicator development programme</w:t>
      </w:r>
    </w:p>
    <w:p w14:paraId="6C6B43FC" w14:textId="505EBF55" w:rsidR="00482C01" w:rsidRPr="00570D51" w:rsidRDefault="00192B09" w:rsidP="00B5274E">
      <w:pPr>
        <w:pStyle w:val="Title"/>
      </w:pPr>
      <w:bookmarkStart w:id="0" w:name="_Toc383595132"/>
      <w:bookmarkStart w:id="1" w:name="_Toc209798353"/>
      <w:bookmarkEnd w:id="0"/>
      <w:r w:rsidRPr="00570D51">
        <w:t>Validity assessment</w:t>
      </w:r>
      <w:bookmarkEnd w:id="1"/>
    </w:p>
    <w:p w14:paraId="6A1C1341" w14:textId="77777777" w:rsidR="00482C01" w:rsidRDefault="00482C01" w:rsidP="00482C01">
      <w:pPr>
        <w:jc w:val="center"/>
        <w:rPr>
          <w:rFonts w:ascii="Arial" w:hAnsi="Arial" w:cs="Arial"/>
          <w:b/>
          <w:sz w:val="32"/>
          <w:szCs w:val="32"/>
        </w:rPr>
      </w:pPr>
    </w:p>
    <w:p w14:paraId="09FE55B8" w14:textId="0198698F" w:rsidR="007136A7" w:rsidRPr="007210C5" w:rsidRDefault="00140B46" w:rsidP="00B5274E">
      <w:pPr>
        <w:pStyle w:val="Heading1"/>
      </w:pPr>
      <w:bookmarkStart w:id="2" w:name="_Toc209798356"/>
      <w:r w:rsidRPr="007210C5">
        <w:t>IND</w:t>
      </w:r>
      <w:r w:rsidR="00A364B1">
        <w:t>3</w:t>
      </w:r>
      <w:r w:rsidR="004E7D23">
        <w:t>19</w:t>
      </w:r>
      <w:r w:rsidRPr="007210C5">
        <w:t xml:space="preserve">: </w:t>
      </w:r>
      <w:r w:rsidR="002A5F45" w:rsidRPr="002A5F45">
        <w:t>Weight management: weight management advice (18-39 years)</w:t>
      </w:r>
      <w:bookmarkEnd w:id="2"/>
    </w:p>
    <w:p w14:paraId="5A84EAD8" w14:textId="31AFC815" w:rsidR="0020340C" w:rsidRPr="004E1E77" w:rsidRDefault="00802583" w:rsidP="005C3893">
      <w:pPr>
        <w:pStyle w:val="Paragraph"/>
        <w:spacing w:line="360" w:lineRule="auto"/>
        <w:rPr>
          <w:iCs/>
        </w:rPr>
      </w:pPr>
      <w:bookmarkStart w:id="3" w:name="_Hlk158296567"/>
      <w:r w:rsidRPr="004E1E77">
        <w:rPr>
          <w:iCs/>
        </w:rPr>
        <w:t>The percentage of patients aged 18 to 39 years with a BMI of between 23 kg/m</w:t>
      </w:r>
      <w:r w:rsidRPr="004E1E77">
        <w:rPr>
          <w:iCs/>
          <w:vertAlign w:val="superscript"/>
        </w:rPr>
        <w:t>2</w:t>
      </w:r>
      <w:r w:rsidRPr="004E1E77">
        <w:rPr>
          <w:iCs/>
        </w:rPr>
        <w:t xml:space="preserve"> to 27.4 kg/m</w:t>
      </w:r>
      <w:r w:rsidRPr="004E1E77">
        <w:rPr>
          <w:iCs/>
          <w:vertAlign w:val="superscript"/>
        </w:rPr>
        <w:t>2</w:t>
      </w:r>
      <w:r w:rsidRPr="004E1E77">
        <w:rPr>
          <w:iCs/>
        </w:rPr>
        <w:t xml:space="preserve"> (or 25 and 30 kg/m2 if ethnicity is recorded as White) in the preceding 12 months who have been given weight management advice within 90 days of the BMI being recorded</w:t>
      </w:r>
      <w:bookmarkEnd w:id="3"/>
      <w:r w:rsidR="002A5F45" w:rsidRPr="004E1E77">
        <w:rPr>
          <w:iCs/>
        </w:rPr>
        <w:t>.</w:t>
      </w:r>
    </w:p>
    <w:p w14:paraId="0F483EF5" w14:textId="43809AF7" w:rsidR="00CC3889" w:rsidRDefault="00CC3889" w:rsidP="00B5274E">
      <w:pPr>
        <w:pStyle w:val="Heading2"/>
      </w:pPr>
      <w:bookmarkStart w:id="4" w:name="_Toc150951820"/>
      <w:bookmarkStart w:id="5" w:name="_Toc209798357"/>
      <w:bookmarkStart w:id="6" w:name="_Hlk9608630"/>
      <w:r>
        <w:t>Indicator type</w:t>
      </w:r>
      <w:bookmarkEnd w:id="4"/>
      <w:bookmarkEnd w:id="5"/>
      <w:r>
        <w:t xml:space="preserve"> </w:t>
      </w:r>
    </w:p>
    <w:p w14:paraId="7254CCF2" w14:textId="77777777" w:rsidR="00CC3889" w:rsidRPr="002A5F45" w:rsidRDefault="00CC3889" w:rsidP="00CC3889">
      <w:pPr>
        <w:pStyle w:val="Paragraph"/>
      </w:pPr>
      <w:bookmarkStart w:id="7" w:name="_Hlk158296594"/>
      <w:r w:rsidRPr="002A5F45">
        <w:t>General practice indicator suitable for use in the Quality and Outcomes Framework.</w:t>
      </w:r>
    </w:p>
    <w:p w14:paraId="08A9DDD6" w14:textId="3A274329" w:rsidR="00A356D3" w:rsidRDefault="00A356D3" w:rsidP="00B5274E">
      <w:pPr>
        <w:pStyle w:val="Heading2"/>
      </w:pPr>
      <w:bookmarkStart w:id="8" w:name="_Toc150951821"/>
      <w:bookmarkStart w:id="9" w:name="_Toc209798358"/>
      <w:bookmarkEnd w:id="7"/>
      <w:r>
        <w:t>Importance</w:t>
      </w:r>
      <w:bookmarkEnd w:id="8"/>
      <w:bookmarkEnd w:id="9"/>
      <w:r>
        <w:t xml:space="preserve"> </w:t>
      </w:r>
    </w:p>
    <w:tbl>
      <w:tblPr>
        <w:tblStyle w:val="TableGrid"/>
        <w:tblW w:w="9067" w:type="dxa"/>
        <w:tblLook w:val="04A0" w:firstRow="1" w:lastRow="0" w:firstColumn="1" w:lastColumn="0" w:noHBand="0" w:noVBand="1"/>
      </w:tblPr>
      <w:tblGrid>
        <w:gridCol w:w="5949"/>
        <w:gridCol w:w="3118"/>
      </w:tblGrid>
      <w:tr w:rsidR="00A356D3" w:rsidRPr="00A31413" w14:paraId="095BF8D7" w14:textId="77777777" w:rsidTr="006B3CE0">
        <w:tc>
          <w:tcPr>
            <w:tcW w:w="5949" w:type="dxa"/>
          </w:tcPr>
          <w:p w14:paraId="77B0060C" w14:textId="77777777" w:rsidR="00A356D3" w:rsidRPr="00A31413" w:rsidRDefault="00A356D3" w:rsidP="006B3CE0">
            <w:pPr>
              <w:pStyle w:val="Paragraph"/>
              <w:spacing w:before="120" w:after="120" w:line="240" w:lineRule="auto"/>
              <w:rPr>
                <w:rFonts w:cs="Arial"/>
                <w:b/>
                <w:bCs/>
                <w:sz w:val="22"/>
                <w:szCs w:val="22"/>
              </w:rPr>
            </w:pPr>
            <w:bookmarkStart w:id="10" w:name="_Hlk34309601"/>
            <w:r w:rsidRPr="00A31413">
              <w:rPr>
                <w:rFonts w:cs="Arial"/>
                <w:b/>
                <w:bCs/>
                <w:sz w:val="22"/>
                <w:szCs w:val="22"/>
              </w:rPr>
              <w:t xml:space="preserve">Considerations </w:t>
            </w:r>
          </w:p>
        </w:tc>
        <w:tc>
          <w:tcPr>
            <w:tcW w:w="3118" w:type="dxa"/>
          </w:tcPr>
          <w:p w14:paraId="36E4FA1D" w14:textId="77777777" w:rsidR="00A356D3" w:rsidRPr="00A31413" w:rsidRDefault="00A356D3" w:rsidP="006B3CE0">
            <w:pPr>
              <w:pStyle w:val="Paragraph"/>
              <w:spacing w:before="120" w:after="120" w:line="240" w:lineRule="auto"/>
              <w:rPr>
                <w:rFonts w:cs="Arial"/>
                <w:b/>
                <w:bCs/>
                <w:sz w:val="22"/>
                <w:szCs w:val="22"/>
              </w:rPr>
            </w:pPr>
            <w:r w:rsidRPr="00A31413">
              <w:rPr>
                <w:rFonts w:cs="Arial"/>
                <w:b/>
                <w:bCs/>
                <w:sz w:val="22"/>
                <w:szCs w:val="22"/>
              </w:rPr>
              <w:t>Assessment</w:t>
            </w:r>
          </w:p>
        </w:tc>
      </w:tr>
      <w:tr w:rsidR="00A356D3" w:rsidRPr="00A31413" w14:paraId="7F59F6AB" w14:textId="77777777" w:rsidTr="006B3CE0">
        <w:tc>
          <w:tcPr>
            <w:tcW w:w="5949" w:type="dxa"/>
          </w:tcPr>
          <w:p w14:paraId="079C1241" w14:textId="02B948D9" w:rsidR="00A356D3" w:rsidRPr="00A31413" w:rsidRDefault="00E83E64" w:rsidP="00D9350B">
            <w:pPr>
              <w:pStyle w:val="Paragraph"/>
              <w:spacing w:before="120" w:after="120"/>
              <w:rPr>
                <w:rFonts w:cs="Arial"/>
                <w:sz w:val="22"/>
                <w:szCs w:val="22"/>
              </w:rPr>
            </w:pPr>
            <w:r w:rsidRPr="00A31413">
              <w:rPr>
                <w:rFonts w:cs="Arial"/>
                <w:sz w:val="22"/>
                <w:szCs w:val="22"/>
              </w:rPr>
              <w:t xml:space="preserve">The </w:t>
            </w:r>
            <w:hyperlink r:id="rId8" w:history="1">
              <w:r w:rsidR="000C3B9C">
                <w:rPr>
                  <w:rStyle w:val="Hyperlink"/>
                  <w:rFonts w:cs="Arial"/>
                  <w:sz w:val="22"/>
                  <w:szCs w:val="22"/>
                </w:rPr>
                <w:t>10 year health plan for England</w:t>
              </w:r>
            </w:hyperlink>
            <w:r w:rsidRPr="00A31413">
              <w:rPr>
                <w:rFonts w:cs="Arial"/>
                <w:sz w:val="22"/>
                <w:szCs w:val="22"/>
              </w:rPr>
              <w:t xml:space="preserve"> identifies obesity as a clinical</w:t>
            </w:r>
            <w:r w:rsidR="00A31413" w:rsidRPr="00A31413">
              <w:rPr>
                <w:rFonts w:cs="Arial"/>
                <w:sz w:val="22"/>
                <w:szCs w:val="22"/>
              </w:rPr>
              <w:t xml:space="preserve"> </w:t>
            </w:r>
            <w:r w:rsidRPr="00A31413">
              <w:rPr>
                <w:rFonts w:cs="Arial"/>
                <w:sz w:val="22"/>
                <w:szCs w:val="22"/>
              </w:rPr>
              <w:t>priority</w:t>
            </w:r>
            <w:r w:rsidR="00D9266C">
              <w:rPr>
                <w:rFonts w:cs="Arial"/>
                <w:sz w:val="22"/>
                <w:szCs w:val="22"/>
              </w:rPr>
              <w:t>.</w:t>
            </w:r>
          </w:p>
        </w:tc>
        <w:tc>
          <w:tcPr>
            <w:tcW w:w="3118" w:type="dxa"/>
          </w:tcPr>
          <w:p w14:paraId="7300C387" w14:textId="5A6712B7" w:rsidR="00A356D3" w:rsidRPr="00A31413" w:rsidRDefault="00A356D3" w:rsidP="00A31413">
            <w:pPr>
              <w:spacing w:before="120" w:after="120"/>
              <w:rPr>
                <w:rFonts w:ascii="Arial" w:hAnsi="Arial" w:cs="Arial"/>
                <w:color w:val="000000"/>
                <w:kern w:val="24"/>
                <w:sz w:val="22"/>
                <w:szCs w:val="22"/>
                <w:lang w:val="en-US"/>
              </w:rPr>
            </w:pPr>
            <w:r w:rsidRPr="00A31413">
              <w:rPr>
                <w:rFonts w:ascii="Arial" w:hAnsi="Arial" w:cs="Arial"/>
                <w:color w:val="000000"/>
                <w:kern w:val="24"/>
                <w:sz w:val="22"/>
                <w:szCs w:val="22"/>
                <w:lang w:val="en-US"/>
              </w:rPr>
              <w:t>The indicator reflects a specific priority area identified by NHS England.</w:t>
            </w:r>
          </w:p>
        </w:tc>
      </w:tr>
      <w:tr w:rsidR="00A356D3" w:rsidRPr="00A31413" w14:paraId="5A5FE1D5" w14:textId="77777777" w:rsidTr="006B3CE0">
        <w:tc>
          <w:tcPr>
            <w:tcW w:w="5949" w:type="dxa"/>
          </w:tcPr>
          <w:p w14:paraId="031D40C5" w14:textId="097BF9CB" w:rsidR="000E4596" w:rsidRDefault="00560BB2" w:rsidP="006B3CE0">
            <w:pPr>
              <w:pStyle w:val="Paragraph"/>
              <w:spacing w:before="120" w:after="120" w:line="240" w:lineRule="auto"/>
              <w:rPr>
                <w:rFonts w:cs="Arial"/>
                <w:sz w:val="22"/>
                <w:szCs w:val="22"/>
              </w:rPr>
            </w:pPr>
            <w:r w:rsidRPr="00A31413">
              <w:rPr>
                <w:rFonts w:cs="Arial"/>
                <w:sz w:val="22"/>
                <w:szCs w:val="22"/>
              </w:rPr>
              <w:t xml:space="preserve">The </w:t>
            </w:r>
            <w:hyperlink r:id="rId9" w:history="1">
              <w:r w:rsidRPr="00A31413">
                <w:rPr>
                  <w:rStyle w:val="Hyperlink"/>
                  <w:rFonts w:cs="Arial"/>
                  <w:sz w:val="22"/>
                  <w:szCs w:val="22"/>
                </w:rPr>
                <w:t>Health Survey for England</w:t>
              </w:r>
            </w:hyperlink>
            <w:r w:rsidRPr="00A31413">
              <w:rPr>
                <w:rFonts w:cs="Arial"/>
                <w:sz w:val="22"/>
                <w:szCs w:val="22"/>
              </w:rPr>
              <w:t xml:space="preserve"> reports that the percentage of adults </w:t>
            </w:r>
            <w:r w:rsidR="00CC4169">
              <w:rPr>
                <w:rFonts w:cs="Arial"/>
                <w:sz w:val="22"/>
                <w:szCs w:val="22"/>
              </w:rPr>
              <w:t>living with</w:t>
            </w:r>
            <w:r w:rsidRPr="00A31413">
              <w:rPr>
                <w:rFonts w:cs="Arial"/>
                <w:sz w:val="22"/>
                <w:szCs w:val="22"/>
              </w:rPr>
              <w:t xml:space="preserve"> overweight</w:t>
            </w:r>
            <w:r w:rsidR="000E4596">
              <w:rPr>
                <w:rFonts w:cs="Arial"/>
                <w:sz w:val="22"/>
                <w:szCs w:val="22"/>
              </w:rPr>
              <w:t xml:space="preserve"> in 2022</w:t>
            </w:r>
            <w:r w:rsidRPr="00A31413">
              <w:rPr>
                <w:rFonts w:cs="Arial"/>
                <w:sz w:val="22"/>
                <w:szCs w:val="22"/>
              </w:rPr>
              <w:t xml:space="preserve"> </w:t>
            </w:r>
            <w:r w:rsidR="000E4596">
              <w:rPr>
                <w:rFonts w:cs="Arial"/>
                <w:sz w:val="22"/>
                <w:szCs w:val="22"/>
              </w:rPr>
              <w:t>was:</w:t>
            </w:r>
            <w:r w:rsidRPr="00A31413">
              <w:rPr>
                <w:rFonts w:cs="Arial"/>
                <w:sz w:val="22"/>
                <w:szCs w:val="22"/>
              </w:rPr>
              <w:t xml:space="preserve"> </w:t>
            </w:r>
          </w:p>
          <w:p w14:paraId="1C71ADF4" w14:textId="3324C922" w:rsidR="000E4596" w:rsidRDefault="000E4596" w:rsidP="00A05248">
            <w:pPr>
              <w:pStyle w:val="Paragraph"/>
              <w:numPr>
                <w:ilvl w:val="0"/>
                <w:numId w:val="40"/>
              </w:numPr>
              <w:spacing w:before="120" w:after="120" w:line="240" w:lineRule="auto"/>
              <w:rPr>
                <w:rFonts w:cs="Arial"/>
                <w:sz w:val="22"/>
                <w:szCs w:val="22"/>
              </w:rPr>
            </w:pPr>
            <w:r>
              <w:rPr>
                <w:rFonts w:cs="Arial"/>
                <w:sz w:val="22"/>
                <w:szCs w:val="22"/>
              </w:rPr>
              <w:t>23% ages 16-24 (22% in 2015)</w:t>
            </w:r>
          </w:p>
          <w:p w14:paraId="182970D6" w14:textId="60D088E1" w:rsidR="000E4596" w:rsidRDefault="000E4596" w:rsidP="00A05248">
            <w:pPr>
              <w:pStyle w:val="Paragraph"/>
              <w:numPr>
                <w:ilvl w:val="0"/>
                <w:numId w:val="40"/>
              </w:numPr>
              <w:spacing w:before="120" w:after="120" w:line="240" w:lineRule="auto"/>
              <w:rPr>
                <w:rFonts w:cs="Arial"/>
                <w:sz w:val="22"/>
                <w:szCs w:val="22"/>
              </w:rPr>
            </w:pPr>
            <w:r>
              <w:rPr>
                <w:rFonts w:cs="Arial"/>
                <w:sz w:val="22"/>
                <w:szCs w:val="22"/>
              </w:rPr>
              <w:t>33% ages 25-34 (30% in 2015</w:t>
            </w:r>
            <w:r w:rsidR="00CC4169">
              <w:rPr>
                <w:rFonts w:cs="Arial"/>
                <w:sz w:val="22"/>
                <w:szCs w:val="22"/>
              </w:rPr>
              <w:t>)</w:t>
            </w:r>
          </w:p>
          <w:p w14:paraId="1F9F3B71" w14:textId="1CF782FE" w:rsidR="000E4596" w:rsidRDefault="000E4596" w:rsidP="005624A2">
            <w:pPr>
              <w:pStyle w:val="Paragraph"/>
              <w:numPr>
                <w:ilvl w:val="0"/>
                <w:numId w:val="40"/>
              </w:numPr>
              <w:spacing w:before="120" w:after="120" w:line="240" w:lineRule="auto"/>
              <w:rPr>
                <w:rFonts w:cs="Arial"/>
                <w:sz w:val="22"/>
                <w:szCs w:val="22"/>
              </w:rPr>
            </w:pPr>
            <w:r>
              <w:rPr>
                <w:rFonts w:cs="Arial"/>
                <w:sz w:val="22"/>
                <w:szCs w:val="22"/>
              </w:rPr>
              <w:t>36% ages 35-44 (39% in 2015</w:t>
            </w:r>
            <w:r w:rsidR="00CC4169">
              <w:rPr>
                <w:rFonts w:cs="Arial"/>
                <w:sz w:val="22"/>
                <w:szCs w:val="22"/>
              </w:rPr>
              <w:t>)</w:t>
            </w:r>
          </w:p>
          <w:p w14:paraId="5EB98733" w14:textId="0FA815CA" w:rsidR="00A356D3" w:rsidRPr="00A31413" w:rsidRDefault="000E4596" w:rsidP="006B3CE0">
            <w:pPr>
              <w:pStyle w:val="Paragraph"/>
              <w:spacing w:before="120" w:after="120" w:line="240" w:lineRule="auto"/>
              <w:rPr>
                <w:rFonts w:cs="Arial"/>
                <w:sz w:val="22"/>
                <w:szCs w:val="22"/>
              </w:rPr>
            </w:pPr>
            <w:r>
              <w:rPr>
                <w:rFonts w:cs="Arial"/>
                <w:sz w:val="22"/>
                <w:szCs w:val="22"/>
              </w:rPr>
              <w:t xml:space="preserve">Rates of overweight in adults overall has </w:t>
            </w:r>
            <w:r w:rsidR="000B65FE" w:rsidRPr="00A31413">
              <w:rPr>
                <w:rFonts w:cs="Arial"/>
                <w:sz w:val="22"/>
                <w:szCs w:val="22"/>
              </w:rPr>
              <w:t xml:space="preserve">slightly decreased over the last </w:t>
            </w:r>
            <w:r>
              <w:rPr>
                <w:rFonts w:cs="Arial"/>
                <w:sz w:val="22"/>
                <w:szCs w:val="22"/>
              </w:rPr>
              <w:t>1</w:t>
            </w:r>
            <w:r w:rsidR="000B65FE" w:rsidRPr="00A31413">
              <w:rPr>
                <w:rFonts w:cs="Arial"/>
                <w:sz w:val="22"/>
                <w:szCs w:val="22"/>
              </w:rPr>
              <w:t>0 years</w:t>
            </w:r>
            <w:r>
              <w:rPr>
                <w:rFonts w:cs="Arial"/>
                <w:sz w:val="22"/>
                <w:szCs w:val="22"/>
              </w:rPr>
              <w:t xml:space="preserve">, </w:t>
            </w:r>
            <w:proofErr w:type="gramStart"/>
            <w:r>
              <w:rPr>
                <w:rFonts w:cs="Arial"/>
                <w:sz w:val="22"/>
                <w:szCs w:val="22"/>
              </w:rPr>
              <w:t>however</w:t>
            </w:r>
            <w:proofErr w:type="gramEnd"/>
            <w:r w:rsidR="000B65FE" w:rsidRPr="00A31413">
              <w:rPr>
                <w:rFonts w:cs="Arial"/>
                <w:sz w:val="22"/>
                <w:szCs w:val="22"/>
              </w:rPr>
              <w:t xml:space="preserve"> there has been a</w:t>
            </w:r>
            <w:r>
              <w:rPr>
                <w:rFonts w:cs="Arial"/>
                <w:sz w:val="22"/>
                <w:szCs w:val="22"/>
              </w:rPr>
              <w:t xml:space="preserve"> comparable</w:t>
            </w:r>
            <w:r w:rsidR="000B65FE" w:rsidRPr="00A31413">
              <w:rPr>
                <w:rFonts w:cs="Arial"/>
                <w:sz w:val="22"/>
                <w:szCs w:val="22"/>
              </w:rPr>
              <w:t xml:space="preserve"> increase in the percentages who are obese or morbidly obese.</w:t>
            </w:r>
          </w:p>
          <w:p w14:paraId="5FB3CDF9" w14:textId="4B99B094" w:rsidR="007F0FE0" w:rsidRPr="00A31413" w:rsidRDefault="007F0FE0" w:rsidP="006B3CE0">
            <w:pPr>
              <w:pStyle w:val="Paragraph"/>
              <w:spacing w:before="120" w:after="120" w:line="240" w:lineRule="auto"/>
              <w:rPr>
                <w:rFonts w:cs="Arial"/>
                <w:sz w:val="22"/>
                <w:szCs w:val="22"/>
              </w:rPr>
            </w:pPr>
            <w:r w:rsidRPr="00A31413">
              <w:rPr>
                <w:rFonts w:cs="Arial"/>
                <w:sz w:val="22"/>
                <w:szCs w:val="22"/>
              </w:rPr>
              <w:t>1</w:t>
            </w:r>
            <w:r w:rsidR="002940D3">
              <w:rPr>
                <w:rFonts w:cs="Arial"/>
                <w:sz w:val="22"/>
                <w:szCs w:val="22"/>
              </w:rPr>
              <w:t>3</w:t>
            </w:r>
            <w:r w:rsidRPr="00A31413">
              <w:rPr>
                <w:rFonts w:cs="Arial"/>
                <w:sz w:val="22"/>
                <w:szCs w:val="22"/>
              </w:rPr>
              <w:t>% more adults living in the most deprived areas are obese compared to those living in the least deprived areas.</w:t>
            </w:r>
            <w:r w:rsidR="00F7298E" w:rsidRPr="00A31413">
              <w:rPr>
                <w:rFonts w:cs="Arial"/>
                <w:sz w:val="22"/>
                <w:szCs w:val="22"/>
              </w:rPr>
              <w:t xml:space="preserve"> There is also variation by gender</w:t>
            </w:r>
            <w:r w:rsidR="000E4596">
              <w:rPr>
                <w:rFonts w:cs="Arial"/>
                <w:sz w:val="22"/>
                <w:szCs w:val="22"/>
              </w:rPr>
              <w:t>, with men having higher levels of overweight</w:t>
            </w:r>
            <w:r w:rsidR="00F7298E" w:rsidRPr="00A31413">
              <w:rPr>
                <w:rFonts w:cs="Arial"/>
                <w:sz w:val="22"/>
                <w:szCs w:val="22"/>
              </w:rPr>
              <w:t>.</w:t>
            </w:r>
          </w:p>
        </w:tc>
        <w:tc>
          <w:tcPr>
            <w:tcW w:w="3118" w:type="dxa"/>
          </w:tcPr>
          <w:p w14:paraId="0FF1AF70" w14:textId="77777777" w:rsidR="00A356D3" w:rsidRPr="00A31413" w:rsidRDefault="00A356D3" w:rsidP="006B3CE0">
            <w:pPr>
              <w:spacing w:before="120" w:after="120"/>
              <w:rPr>
                <w:rFonts w:ascii="Arial" w:hAnsi="Arial" w:cs="Arial"/>
                <w:color w:val="000000"/>
                <w:kern w:val="24"/>
                <w:sz w:val="22"/>
                <w:szCs w:val="22"/>
                <w:lang w:val="en-US"/>
              </w:rPr>
            </w:pPr>
            <w:r w:rsidRPr="00A31413">
              <w:rPr>
                <w:rFonts w:ascii="Arial" w:hAnsi="Arial" w:cs="Arial"/>
                <w:color w:val="000000"/>
                <w:kern w:val="24"/>
                <w:sz w:val="22"/>
                <w:szCs w:val="22"/>
                <w:lang w:val="en-US"/>
              </w:rPr>
              <w:t>The indicator relates to an area where there is known variation in practice.</w:t>
            </w:r>
          </w:p>
          <w:p w14:paraId="45E41755" w14:textId="77777777" w:rsidR="00A356D3" w:rsidRPr="00A31413" w:rsidRDefault="00A356D3" w:rsidP="006B3CE0">
            <w:pPr>
              <w:pStyle w:val="Paragraph"/>
              <w:spacing w:before="120" w:after="120" w:line="240" w:lineRule="auto"/>
              <w:rPr>
                <w:rFonts w:cs="Arial"/>
                <w:sz w:val="22"/>
                <w:szCs w:val="22"/>
                <w:highlight w:val="lightGray"/>
              </w:rPr>
            </w:pPr>
            <w:r w:rsidRPr="00A31413">
              <w:rPr>
                <w:rFonts w:cs="Arial"/>
                <w:color w:val="000000"/>
                <w:kern w:val="24"/>
                <w:sz w:val="22"/>
                <w:szCs w:val="22"/>
                <w:lang w:val="en-US"/>
              </w:rPr>
              <w:t>The indicator addresses under-treatment.</w:t>
            </w:r>
          </w:p>
        </w:tc>
      </w:tr>
      <w:tr w:rsidR="00A356D3" w:rsidRPr="00A31413" w14:paraId="3B000278" w14:textId="77777777" w:rsidTr="006B3CE0">
        <w:tc>
          <w:tcPr>
            <w:tcW w:w="5949" w:type="dxa"/>
          </w:tcPr>
          <w:p w14:paraId="2E5A4935" w14:textId="1F134996" w:rsidR="00A356D3" w:rsidRPr="00A31413" w:rsidRDefault="004019F6" w:rsidP="004019F6">
            <w:pPr>
              <w:spacing w:before="120" w:after="120"/>
              <w:rPr>
                <w:rFonts w:ascii="Arial" w:hAnsi="Arial" w:cs="Arial"/>
                <w:sz w:val="22"/>
                <w:szCs w:val="22"/>
              </w:rPr>
            </w:pPr>
            <w:bookmarkStart w:id="11" w:name="_Hlk158296608"/>
            <w:r w:rsidRPr="00A31413">
              <w:rPr>
                <w:rFonts w:ascii="Arial" w:hAnsi="Arial" w:cs="Arial"/>
                <w:sz w:val="22"/>
                <w:szCs w:val="22"/>
              </w:rPr>
              <w:t>The indicator aims to increase chances of patient weight loss</w:t>
            </w:r>
            <w:r w:rsidR="002940D3">
              <w:rPr>
                <w:rFonts w:ascii="Arial" w:hAnsi="Arial" w:cs="Arial"/>
                <w:sz w:val="22"/>
                <w:szCs w:val="22"/>
              </w:rPr>
              <w:t xml:space="preserve"> and prevention of obesity</w:t>
            </w:r>
            <w:r w:rsidRPr="00A31413">
              <w:rPr>
                <w:rFonts w:ascii="Arial" w:hAnsi="Arial" w:cs="Arial"/>
                <w:sz w:val="22"/>
                <w:szCs w:val="22"/>
              </w:rPr>
              <w:t xml:space="preserve"> </w:t>
            </w:r>
            <w:r w:rsidR="002940D3">
              <w:rPr>
                <w:rFonts w:ascii="Arial" w:hAnsi="Arial" w:cs="Arial"/>
                <w:sz w:val="22"/>
                <w:szCs w:val="22"/>
              </w:rPr>
              <w:t xml:space="preserve">through </w:t>
            </w:r>
            <w:r w:rsidRPr="00A31413">
              <w:rPr>
                <w:rFonts w:ascii="Arial" w:hAnsi="Arial" w:cs="Arial"/>
                <w:sz w:val="22"/>
                <w:szCs w:val="22"/>
              </w:rPr>
              <w:t>provision of weight management advice</w:t>
            </w:r>
            <w:r w:rsidR="006D3DC4">
              <w:rPr>
                <w:rFonts w:ascii="Arial" w:hAnsi="Arial" w:cs="Arial"/>
                <w:sz w:val="22"/>
                <w:szCs w:val="22"/>
              </w:rPr>
              <w:t>,</w:t>
            </w:r>
            <w:r w:rsidRPr="00A31413">
              <w:rPr>
                <w:rFonts w:ascii="Arial" w:hAnsi="Arial" w:cs="Arial"/>
                <w:sz w:val="22"/>
                <w:szCs w:val="22"/>
              </w:rPr>
              <w:t xml:space="preserve"> that includes information about the severity of their overweight and central adiposity and the impact this has on their risk of developing other long-term conditions (such as type 2 diabetes, cardiovascular </w:t>
            </w:r>
            <w:r w:rsidRPr="00A31413">
              <w:rPr>
                <w:rFonts w:ascii="Arial" w:hAnsi="Arial" w:cs="Arial"/>
                <w:sz w:val="22"/>
                <w:szCs w:val="22"/>
              </w:rPr>
              <w:lastRenderedPageBreak/>
              <w:t>disease, hypertension, dyslipidaemia, certain cancers and respiratory musculoskeletal and other metabolic conditions.</w:t>
            </w:r>
            <w:bookmarkEnd w:id="11"/>
          </w:p>
        </w:tc>
        <w:tc>
          <w:tcPr>
            <w:tcW w:w="3118" w:type="dxa"/>
          </w:tcPr>
          <w:p w14:paraId="58B753B0" w14:textId="77777777" w:rsidR="00A356D3" w:rsidRPr="00A31413" w:rsidRDefault="00A356D3" w:rsidP="006B3CE0">
            <w:pPr>
              <w:spacing w:before="120" w:after="120"/>
              <w:rPr>
                <w:rFonts w:ascii="Arial" w:hAnsi="Arial" w:cs="Arial"/>
                <w:color w:val="000000"/>
                <w:kern w:val="24"/>
                <w:sz w:val="22"/>
                <w:szCs w:val="22"/>
                <w:lang w:val="en-US"/>
              </w:rPr>
            </w:pPr>
            <w:r w:rsidRPr="00A31413">
              <w:rPr>
                <w:rFonts w:ascii="Arial" w:hAnsi="Arial" w:cs="Arial"/>
                <w:color w:val="000000"/>
                <w:kern w:val="24"/>
                <w:sz w:val="22"/>
                <w:szCs w:val="22"/>
                <w:lang w:val="en-US"/>
              </w:rPr>
              <w:lastRenderedPageBreak/>
              <w:t>The indicator will lead to a meaningful improvement in patient outcomes.</w:t>
            </w:r>
          </w:p>
          <w:p w14:paraId="0C127430" w14:textId="77777777" w:rsidR="00A356D3" w:rsidRPr="00A31413" w:rsidRDefault="00A356D3" w:rsidP="006B3CE0">
            <w:pPr>
              <w:spacing w:before="120" w:after="120"/>
              <w:rPr>
                <w:rFonts w:ascii="Arial" w:hAnsi="Arial" w:cs="Arial"/>
                <w:color w:val="000000"/>
                <w:kern w:val="24"/>
                <w:sz w:val="22"/>
                <w:szCs w:val="22"/>
                <w:highlight w:val="lightGray"/>
                <w:lang w:val="en-US"/>
              </w:rPr>
            </w:pPr>
          </w:p>
        </w:tc>
      </w:tr>
      <w:bookmarkEnd w:id="10"/>
    </w:tbl>
    <w:p w14:paraId="0A6B95CE" w14:textId="77777777" w:rsidR="00A356D3" w:rsidRDefault="00A356D3" w:rsidP="00A356D3">
      <w:pPr>
        <w:pStyle w:val="Paragraph"/>
      </w:pPr>
    </w:p>
    <w:p w14:paraId="5C5EBC01" w14:textId="77777777" w:rsidR="00A356D3" w:rsidRDefault="00A356D3" w:rsidP="00B5274E">
      <w:pPr>
        <w:pStyle w:val="Heading2"/>
      </w:pPr>
      <w:bookmarkStart w:id="12" w:name="_Toc150951822"/>
      <w:bookmarkStart w:id="13" w:name="_Toc209798359"/>
      <w:r>
        <w:t>Evidence base</w:t>
      </w:r>
      <w:bookmarkEnd w:id="12"/>
      <w:bookmarkEnd w:id="13"/>
      <w:r>
        <w:t xml:space="preserve"> </w:t>
      </w:r>
    </w:p>
    <w:tbl>
      <w:tblPr>
        <w:tblStyle w:val="TableGrid"/>
        <w:tblW w:w="9067" w:type="dxa"/>
        <w:tblLook w:val="04A0" w:firstRow="1" w:lastRow="0" w:firstColumn="1" w:lastColumn="0" w:noHBand="0" w:noVBand="1"/>
      </w:tblPr>
      <w:tblGrid>
        <w:gridCol w:w="5949"/>
        <w:gridCol w:w="3118"/>
      </w:tblGrid>
      <w:tr w:rsidR="00A356D3" w:rsidRPr="00A31413" w14:paraId="29A193AF" w14:textId="77777777" w:rsidTr="006B3CE0">
        <w:tc>
          <w:tcPr>
            <w:tcW w:w="5949" w:type="dxa"/>
          </w:tcPr>
          <w:p w14:paraId="395F46BC" w14:textId="77777777" w:rsidR="00A356D3" w:rsidRPr="00A31413" w:rsidRDefault="00A356D3" w:rsidP="006B3CE0">
            <w:pPr>
              <w:pStyle w:val="Paragraph"/>
              <w:keepNext/>
              <w:spacing w:before="120" w:after="120" w:line="240" w:lineRule="auto"/>
              <w:rPr>
                <w:b/>
                <w:bCs/>
                <w:sz w:val="22"/>
                <w:szCs w:val="22"/>
              </w:rPr>
            </w:pPr>
            <w:r w:rsidRPr="00A31413">
              <w:rPr>
                <w:b/>
                <w:bCs/>
                <w:sz w:val="22"/>
                <w:szCs w:val="22"/>
              </w:rPr>
              <w:t xml:space="preserve">Considerations </w:t>
            </w:r>
          </w:p>
        </w:tc>
        <w:tc>
          <w:tcPr>
            <w:tcW w:w="3118" w:type="dxa"/>
          </w:tcPr>
          <w:p w14:paraId="17296202" w14:textId="77777777" w:rsidR="00A356D3" w:rsidRPr="00A31413" w:rsidRDefault="00A356D3" w:rsidP="006B3CE0">
            <w:pPr>
              <w:pStyle w:val="Paragraph"/>
              <w:keepNext/>
              <w:spacing w:before="120" w:after="120" w:line="240" w:lineRule="auto"/>
              <w:rPr>
                <w:b/>
                <w:bCs/>
                <w:sz w:val="22"/>
                <w:szCs w:val="22"/>
              </w:rPr>
            </w:pPr>
            <w:r w:rsidRPr="00A31413">
              <w:rPr>
                <w:b/>
                <w:bCs/>
                <w:sz w:val="22"/>
                <w:szCs w:val="22"/>
              </w:rPr>
              <w:t>Assessment</w:t>
            </w:r>
          </w:p>
        </w:tc>
      </w:tr>
      <w:bookmarkStart w:id="14" w:name="_Hlk200461045"/>
      <w:bookmarkStart w:id="15" w:name="_Hlk158296629"/>
      <w:tr w:rsidR="00A356D3" w:rsidRPr="00A31413" w14:paraId="11C06BA4" w14:textId="77777777" w:rsidTr="006B3CE0">
        <w:tc>
          <w:tcPr>
            <w:tcW w:w="5949" w:type="dxa"/>
          </w:tcPr>
          <w:p w14:paraId="50BA9CF9" w14:textId="023CA3DC" w:rsidR="00A356D3" w:rsidRPr="002940D3" w:rsidRDefault="002940D3" w:rsidP="006B3CE0">
            <w:pPr>
              <w:pStyle w:val="Paragraph"/>
              <w:spacing w:before="120" w:after="120" w:line="240" w:lineRule="auto"/>
              <w:rPr>
                <w:sz w:val="22"/>
                <w:szCs w:val="22"/>
                <w:highlight w:val="lightGray"/>
              </w:rPr>
            </w:pPr>
            <w:r w:rsidRPr="005624A2">
              <w:rPr>
                <w:sz w:val="22"/>
                <w:szCs w:val="22"/>
              </w:rPr>
              <w:fldChar w:fldCharType="begin"/>
            </w:r>
            <w:r w:rsidRPr="005624A2">
              <w:rPr>
                <w:sz w:val="22"/>
                <w:szCs w:val="22"/>
              </w:rPr>
              <w:instrText>HYPERLINK "https://www.nice.org.uk/guidance/NG246"</w:instrText>
            </w:r>
            <w:r w:rsidRPr="005624A2">
              <w:rPr>
                <w:sz w:val="22"/>
                <w:szCs w:val="22"/>
              </w:rPr>
            </w:r>
            <w:r w:rsidRPr="005624A2">
              <w:rPr>
                <w:sz w:val="22"/>
                <w:szCs w:val="22"/>
              </w:rPr>
              <w:fldChar w:fldCharType="separate"/>
            </w:r>
            <w:r w:rsidRPr="005624A2">
              <w:rPr>
                <w:rStyle w:val="Hyperlink"/>
                <w:sz w:val="22"/>
                <w:szCs w:val="22"/>
              </w:rPr>
              <w:t xml:space="preserve">Overweight and obesity management. NICE guideline NG246 </w:t>
            </w:r>
            <w:r w:rsidRPr="005624A2">
              <w:rPr>
                <w:sz w:val="22"/>
                <w:szCs w:val="22"/>
              </w:rPr>
              <w:fldChar w:fldCharType="end"/>
            </w:r>
            <w:r w:rsidRPr="005624A2">
              <w:rPr>
                <w:sz w:val="22"/>
                <w:szCs w:val="22"/>
              </w:rPr>
              <w:t xml:space="preserve"> (2025), recommendations </w:t>
            </w:r>
            <w:bookmarkEnd w:id="14"/>
            <w:r w:rsidRPr="005624A2">
              <w:rPr>
                <w:sz w:val="22"/>
                <w:szCs w:val="22"/>
              </w:rPr>
              <w:t>1.9.2, 1.9.10, 1.9.11, 1.11.1, 1.11.2, 1.11.3 and 1.11.4</w:t>
            </w:r>
            <w:bookmarkEnd w:id="15"/>
          </w:p>
        </w:tc>
        <w:tc>
          <w:tcPr>
            <w:tcW w:w="3118" w:type="dxa"/>
          </w:tcPr>
          <w:p w14:paraId="7DD00A27" w14:textId="77777777" w:rsidR="00A356D3" w:rsidRPr="00A31413" w:rsidRDefault="00A356D3" w:rsidP="006B3CE0">
            <w:pPr>
              <w:spacing w:before="120" w:after="120"/>
              <w:rPr>
                <w:rFonts w:ascii="Arial" w:hAnsi="Arial" w:cs="Arial"/>
                <w:color w:val="000000"/>
                <w:kern w:val="24"/>
                <w:sz w:val="22"/>
                <w:szCs w:val="22"/>
                <w:lang w:val="en-US"/>
              </w:rPr>
            </w:pPr>
            <w:r w:rsidRPr="00A31413">
              <w:rPr>
                <w:rFonts w:ascii="Arial" w:hAnsi="Arial" w:cs="Arial"/>
                <w:color w:val="000000"/>
                <w:kern w:val="24"/>
                <w:sz w:val="22"/>
                <w:szCs w:val="22"/>
                <w:lang w:val="en-US"/>
              </w:rPr>
              <w:t xml:space="preserve">The indicator is derived from a high-quality evidence base. </w:t>
            </w:r>
          </w:p>
          <w:p w14:paraId="312273C7" w14:textId="77777777" w:rsidR="00A356D3" w:rsidRPr="00A31413" w:rsidRDefault="00A356D3" w:rsidP="006B3CE0">
            <w:pPr>
              <w:pStyle w:val="Paragraph"/>
              <w:spacing w:before="120" w:after="120" w:line="240" w:lineRule="auto"/>
              <w:rPr>
                <w:sz w:val="22"/>
                <w:szCs w:val="22"/>
                <w:highlight w:val="lightGray"/>
              </w:rPr>
            </w:pPr>
            <w:r w:rsidRPr="00A31413">
              <w:rPr>
                <w:rFonts w:cs="Arial"/>
                <w:color w:val="000000"/>
                <w:kern w:val="24"/>
                <w:sz w:val="22"/>
                <w:szCs w:val="22"/>
                <w:lang w:val="en-US"/>
              </w:rPr>
              <w:t>The indicator aligns with the evidence base.</w:t>
            </w:r>
          </w:p>
        </w:tc>
      </w:tr>
    </w:tbl>
    <w:p w14:paraId="1DEE3DF5" w14:textId="77777777" w:rsidR="00A356D3" w:rsidRDefault="00A356D3" w:rsidP="00A356D3">
      <w:pPr>
        <w:pStyle w:val="Paragraph"/>
      </w:pPr>
    </w:p>
    <w:p w14:paraId="57CBAF80" w14:textId="77777777" w:rsidR="00A356D3" w:rsidRPr="002338EB" w:rsidRDefault="00A356D3" w:rsidP="00B5274E">
      <w:pPr>
        <w:pStyle w:val="Heading2"/>
      </w:pPr>
      <w:bookmarkStart w:id="16" w:name="_Toc150951823"/>
      <w:bookmarkStart w:id="17" w:name="_Toc209798360"/>
      <w:r>
        <w:t>Specification</w:t>
      </w:r>
      <w:bookmarkEnd w:id="16"/>
      <w:bookmarkEnd w:id="17"/>
      <w:r>
        <w:t xml:space="preserve"> </w:t>
      </w:r>
    </w:p>
    <w:tbl>
      <w:tblPr>
        <w:tblStyle w:val="TableGrid"/>
        <w:tblW w:w="9067" w:type="dxa"/>
        <w:tblLook w:val="04A0" w:firstRow="1" w:lastRow="0" w:firstColumn="1" w:lastColumn="0" w:noHBand="0" w:noVBand="1"/>
      </w:tblPr>
      <w:tblGrid>
        <w:gridCol w:w="5949"/>
        <w:gridCol w:w="3118"/>
      </w:tblGrid>
      <w:tr w:rsidR="00A356D3" w14:paraId="3C3D60D6" w14:textId="77777777" w:rsidTr="006B3CE0">
        <w:tc>
          <w:tcPr>
            <w:tcW w:w="5949" w:type="dxa"/>
          </w:tcPr>
          <w:p w14:paraId="3C18B6FD" w14:textId="77777777" w:rsidR="00A356D3" w:rsidRPr="002338EB" w:rsidRDefault="00A356D3" w:rsidP="006B3CE0">
            <w:pPr>
              <w:pStyle w:val="Paragraph"/>
              <w:spacing w:before="120" w:after="120" w:line="240" w:lineRule="auto"/>
              <w:rPr>
                <w:b/>
                <w:bCs/>
                <w:sz w:val="22"/>
                <w:szCs w:val="22"/>
              </w:rPr>
            </w:pPr>
            <w:r w:rsidRPr="002338EB">
              <w:rPr>
                <w:b/>
                <w:bCs/>
                <w:sz w:val="22"/>
                <w:szCs w:val="22"/>
              </w:rPr>
              <w:t xml:space="preserve">Considerations </w:t>
            </w:r>
          </w:p>
        </w:tc>
        <w:tc>
          <w:tcPr>
            <w:tcW w:w="3118" w:type="dxa"/>
          </w:tcPr>
          <w:p w14:paraId="1B30DA8F" w14:textId="77777777" w:rsidR="00A356D3" w:rsidRPr="002338EB" w:rsidRDefault="00A356D3" w:rsidP="006B3CE0">
            <w:pPr>
              <w:pStyle w:val="Paragraph"/>
              <w:spacing w:before="120" w:after="120" w:line="240" w:lineRule="auto"/>
              <w:rPr>
                <w:b/>
                <w:bCs/>
                <w:sz w:val="22"/>
                <w:szCs w:val="22"/>
              </w:rPr>
            </w:pPr>
            <w:r w:rsidRPr="002338EB">
              <w:rPr>
                <w:b/>
                <w:bCs/>
                <w:sz w:val="22"/>
                <w:szCs w:val="22"/>
              </w:rPr>
              <w:t>Assessment</w:t>
            </w:r>
          </w:p>
        </w:tc>
      </w:tr>
      <w:tr w:rsidR="00A356D3" w14:paraId="3A204BAE" w14:textId="77777777" w:rsidTr="006B3CE0">
        <w:tc>
          <w:tcPr>
            <w:tcW w:w="5949" w:type="dxa"/>
          </w:tcPr>
          <w:p w14:paraId="632190E2" w14:textId="6DE377CC" w:rsidR="00A356D3" w:rsidRPr="002A5F45" w:rsidRDefault="00A356D3" w:rsidP="006B3CE0">
            <w:pPr>
              <w:spacing w:before="120" w:after="120"/>
              <w:rPr>
                <w:rFonts w:ascii="Arial" w:hAnsi="Arial" w:cs="Arial"/>
                <w:color w:val="000000"/>
                <w:kern w:val="24"/>
                <w:sz w:val="22"/>
                <w:szCs w:val="22"/>
              </w:rPr>
            </w:pPr>
            <w:bookmarkStart w:id="18" w:name="_Hlk158296907"/>
            <w:r w:rsidRPr="002A5F45">
              <w:rPr>
                <w:rFonts w:ascii="Arial" w:hAnsi="Arial" w:cs="Arial"/>
                <w:color w:val="000000"/>
                <w:kern w:val="24"/>
                <w:sz w:val="22"/>
                <w:szCs w:val="22"/>
              </w:rPr>
              <w:t xml:space="preserve">Numerator: </w:t>
            </w:r>
            <w:r w:rsidR="002A5F45" w:rsidRPr="002A5F45">
              <w:rPr>
                <w:rFonts w:ascii="Arial" w:hAnsi="Arial" w:cs="Arial"/>
                <w:color w:val="000000"/>
                <w:kern w:val="24"/>
                <w:sz w:val="22"/>
                <w:szCs w:val="22"/>
              </w:rPr>
              <w:t>The number of patients in the denominator who have been given weight management advice within 90 days of the BMI being recorded.</w:t>
            </w:r>
          </w:p>
          <w:p w14:paraId="19C01907" w14:textId="26D01404" w:rsidR="00A356D3" w:rsidRPr="002A5F45" w:rsidRDefault="00A356D3" w:rsidP="006B3CE0">
            <w:pPr>
              <w:pStyle w:val="Paragraph"/>
              <w:spacing w:before="120" w:after="120" w:line="240" w:lineRule="auto"/>
              <w:rPr>
                <w:rFonts w:cs="Arial"/>
                <w:color w:val="000000"/>
                <w:kern w:val="24"/>
                <w:sz w:val="22"/>
                <w:szCs w:val="22"/>
              </w:rPr>
            </w:pPr>
            <w:r w:rsidRPr="002A5F45">
              <w:rPr>
                <w:rFonts w:cs="Arial"/>
                <w:color w:val="000000"/>
                <w:kern w:val="24"/>
                <w:sz w:val="22"/>
                <w:szCs w:val="22"/>
              </w:rPr>
              <w:t xml:space="preserve">Denominator: </w:t>
            </w:r>
            <w:r w:rsidR="002940D3" w:rsidRPr="002940D3">
              <w:rPr>
                <w:rFonts w:cs="Arial"/>
                <w:color w:val="000000"/>
                <w:kern w:val="24"/>
                <w:sz w:val="22"/>
                <w:szCs w:val="22"/>
              </w:rPr>
              <w:t>The number of patients aged 18 to 39 years with a BMI measured in the preceding 12 months of 23 kg/m</w:t>
            </w:r>
            <w:r w:rsidR="002940D3" w:rsidRPr="005624A2">
              <w:rPr>
                <w:rFonts w:cs="Arial"/>
                <w:color w:val="000000"/>
                <w:kern w:val="24"/>
                <w:sz w:val="22"/>
                <w:szCs w:val="22"/>
                <w:vertAlign w:val="superscript"/>
              </w:rPr>
              <w:t>2</w:t>
            </w:r>
            <w:r w:rsidR="002940D3" w:rsidRPr="002940D3">
              <w:rPr>
                <w:rFonts w:cs="Arial"/>
                <w:color w:val="000000"/>
                <w:kern w:val="24"/>
                <w:sz w:val="22"/>
                <w:szCs w:val="22"/>
              </w:rPr>
              <w:t xml:space="preserve"> to 27.4 kg/m</w:t>
            </w:r>
            <w:r w:rsidR="002940D3" w:rsidRPr="005624A2">
              <w:rPr>
                <w:rFonts w:cs="Arial"/>
                <w:color w:val="000000"/>
                <w:kern w:val="24"/>
                <w:sz w:val="22"/>
                <w:szCs w:val="22"/>
                <w:vertAlign w:val="superscript"/>
              </w:rPr>
              <w:t>2</w:t>
            </w:r>
            <w:r w:rsidR="002940D3" w:rsidRPr="002940D3">
              <w:rPr>
                <w:rFonts w:cs="Arial"/>
                <w:color w:val="000000"/>
                <w:kern w:val="24"/>
                <w:sz w:val="22"/>
                <w:szCs w:val="22"/>
              </w:rPr>
              <w:t xml:space="preserve"> (or 25 kg/m</w:t>
            </w:r>
            <w:r w:rsidR="002940D3" w:rsidRPr="005624A2">
              <w:rPr>
                <w:rFonts w:cs="Arial"/>
                <w:color w:val="000000"/>
                <w:kern w:val="24"/>
                <w:sz w:val="22"/>
                <w:szCs w:val="22"/>
                <w:vertAlign w:val="superscript"/>
              </w:rPr>
              <w:t>2</w:t>
            </w:r>
            <w:r w:rsidR="002940D3" w:rsidRPr="002940D3">
              <w:rPr>
                <w:rFonts w:cs="Arial"/>
                <w:color w:val="000000"/>
                <w:kern w:val="24"/>
                <w:sz w:val="22"/>
                <w:szCs w:val="22"/>
              </w:rPr>
              <w:t xml:space="preserve"> to 29.9 kg/m</w:t>
            </w:r>
            <w:r w:rsidR="002940D3" w:rsidRPr="005624A2">
              <w:rPr>
                <w:rFonts w:cs="Arial"/>
                <w:color w:val="000000"/>
                <w:kern w:val="24"/>
                <w:sz w:val="22"/>
                <w:szCs w:val="22"/>
                <w:vertAlign w:val="superscript"/>
              </w:rPr>
              <w:t>2</w:t>
            </w:r>
            <w:r w:rsidR="002940D3" w:rsidRPr="002940D3">
              <w:rPr>
                <w:rFonts w:cs="Arial"/>
                <w:color w:val="000000"/>
                <w:kern w:val="24"/>
                <w:sz w:val="22"/>
                <w:szCs w:val="22"/>
              </w:rPr>
              <w:t xml:space="preserve"> if ethnicity is recorded as White)</w:t>
            </w:r>
          </w:p>
          <w:bookmarkEnd w:id="18"/>
          <w:p w14:paraId="600EC3BE" w14:textId="5E885048" w:rsidR="009D3923" w:rsidRPr="002A5F45" w:rsidRDefault="009D3923" w:rsidP="009D3923">
            <w:pPr>
              <w:pStyle w:val="Paragraph"/>
              <w:spacing w:before="120" w:after="120" w:line="240" w:lineRule="auto"/>
              <w:rPr>
                <w:rFonts w:cs="Arial"/>
                <w:color w:val="000000"/>
                <w:kern w:val="24"/>
                <w:sz w:val="22"/>
                <w:szCs w:val="22"/>
              </w:rPr>
            </w:pPr>
            <w:r w:rsidRPr="002A5F45">
              <w:rPr>
                <w:rFonts w:cs="Arial"/>
                <w:color w:val="000000"/>
                <w:kern w:val="24"/>
                <w:sz w:val="22"/>
                <w:szCs w:val="22"/>
              </w:rPr>
              <w:t>Exclusions:</w:t>
            </w:r>
            <w:r w:rsidR="00304D9F" w:rsidRPr="002A5F45">
              <w:rPr>
                <w:rFonts w:cs="Arial"/>
                <w:color w:val="000000"/>
                <w:kern w:val="24"/>
                <w:sz w:val="22"/>
                <w:szCs w:val="22"/>
              </w:rPr>
              <w:t xml:space="preserve"> </w:t>
            </w:r>
            <w:r w:rsidR="002A5F45" w:rsidRPr="002A5F45">
              <w:rPr>
                <w:rFonts w:cs="Arial"/>
                <w:color w:val="000000"/>
                <w:kern w:val="24"/>
                <w:sz w:val="22"/>
                <w:szCs w:val="22"/>
              </w:rPr>
              <w:t>None</w:t>
            </w:r>
          </w:p>
          <w:p w14:paraId="198B22D4" w14:textId="054F6279" w:rsidR="005E2D54" w:rsidRPr="002A5F45" w:rsidRDefault="005E2D54" w:rsidP="009D3923">
            <w:pPr>
              <w:pStyle w:val="Paragraph"/>
              <w:spacing w:before="120" w:after="120" w:line="240" w:lineRule="auto"/>
              <w:rPr>
                <w:rFonts w:cs="Arial"/>
                <w:color w:val="000000"/>
                <w:kern w:val="24"/>
                <w:sz w:val="22"/>
                <w:szCs w:val="22"/>
              </w:rPr>
            </w:pPr>
            <w:r w:rsidRPr="002A5F45">
              <w:rPr>
                <w:rFonts w:cs="Arial"/>
                <w:color w:val="000000"/>
                <w:kern w:val="24"/>
                <w:sz w:val="22"/>
                <w:szCs w:val="22"/>
              </w:rPr>
              <w:t xml:space="preserve">Definitions: </w:t>
            </w:r>
            <w:r w:rsidR="002A5F45" w:rsidRPr="002A5F45">
              <w:rPr>
                <w:rFonts w:cs="Arial"/>
                <w:color w:val="000000"/>
                <w:kern w:val="24"/>
                <w:sz w:val="22"/>
                <w:szCs w:val="22"/>
              </w:rPr>
              <w:t>None</w:t>
            </w:r>
          </w:p>
          <w:p w14:paraId="27247229" w14:textId="76B87767" w:rsidR="00A356D3" w:rsidRDefault="002A5F45" w:rsidP="009D3923">
            <w:pPr>
              <w:pStyle w:val="Paragraph"/>
              <w:spacing w:before="120" w:after="120" w:line="240" w:lineRule="auto"/>
              <w:rPr>
                <w:rFonts w:cs="Arial"/>
                <w:color w:val="000000"/>
                <w:kern w:val="24"/>
                <w:sz w:val="22"/>
                <w:szCs w:val="22"/>
              </w:rPr>
            </w:pPr>
            <w:r w:rsidRPr="002A5F45">
              <w:rPr>
                <w:rFonts w:cs="Arial"/>
                <w:color w:val="000000"/>
                <w:kern w:val="24"/>
                <w:sz w:val="22"/>
                <w:szCs w:val="22"/>
              </w:rPr>
              <w:t>Age range of 18</w:t>
            </w:r>
            <w:r w:rsidR="00A7417D">
              <w:rPr>
                <w:rFonts w:cs="Arial"/>
                <w:color w:val="000000"/>
                <w:kern w:val="24"/>
                <w:sz w:val="22"/>
                <w:szCs w:val="22"/>
              </w:rPr>
              <w:t xml:space="preserve"> to </w:t>
            </w:r>
            <w:r w:rsidRPr="002A5F45">
              <w:rPr>
                <w:rFonts w:cs="Arial"/>
                <w:color w:val="000000"/>
                <w:kern w:val="24"/>
                <w:sz w:val="22"/>
                <w:szCs w:val="22"/>
              </w:rPr>
              <w:t>39 years has been chosen as these patients may have less healthcare utilisation and therefore fewer opportunities for provision of brief intervention</w:t>
            </w:r>
            <w:r w:rsidR="000A319C">
              <w:rPr>
                <w:rFonts w:cs="Arial"/>
                <w:color w:val="000000"/>
                <w:kern w:val="24"/>
                <w:sz w:val="22"/>
                <w:szCs w:val="22"/>
              </w:rPr>
              <w:t xml:space="preserve"> </w:t>
            </w:r>
            <w:r w:rsidR="00A7417D">
              <w:rPr>
                <w:rFonts w:cs="Arial"/>
                <w:color w:val="000000"/>
                <w:kern w:val="24"/>
                <w:sz w:val="22"/>
                <w:szCs w:val="22"/>
              </w:rPr>
              <w:t>weight management advice</w:t>
            </w:r>
            <w:r w:rsidRPr="002A5F45">
              <w:rPr>
                <w:rFonts w:cs="Arial"/>
                <w:color w:val="000000"/>
                <w:kern w:val="24"/>
                <w:sz w:val="22"/>
                <w:szCs w:val="22"/>
              </w:rPr>
              <w:t>.</w:t>
            </w:r>
          </w:p>
          <w:p w14:paraId="798CDCBC" w14:textId="14753157" w:rsidR="00401231" w:rsidRPr="002338EB" w:rsidRDefault="00401231" w:rsidP="009D3923">
            <w:pPr>
              <w:pStyle w:val="Paragraph"/>
              <w:spacing w:before="120" w:after="120" w:line="240" w:lineRule="auto"/>
              <w:rPr>
                <w:highlight w:val="lightGray"/>
              </w:rPr>
            </w:pPr>
            <w:r w:rsidRPr="00401231">
              <w:rPr>
                <w:rFonts w:cs="Arial"/>
                <w:color w:val="000000"/>
                <w:kern w:val="24"/>
                <w:sz w:val="22"/>
                <w:szCs w:val="22"/>
              </w:rPr>
              <w:t xml:space="preserve">Personalised care adjustments or exception reporting should be considered to account for situations where the patient declines, does not attend </w:t>
            </w:r>
            <w:bookmarkStart w:id="19" w:name="_Hlk158296934"/>
            <w:r w:rsidRPr="00401231">
              <w:rPr>
                <w:rFonts w:cs="Arial"/>
                <w:color w:val="000000"/>
                <w:kern w:val="24"/>
                <w:sz w:val="22"/>
                <w:szCs w:val="22"/>
              </w:rPr>
              <w:t>or</w:t>
            </w:r>
            <w:r>
              <w:rPr>
                <w:rFonts w:cs="Arial"/>
                <w:color w:val="000000"/>
                <w:kern w:val="24"/>
                <w:sz w:val="22"/>
                <w:szCs w:val="22"/>
              </w:rPr>
              <w:t xml:space="preserve"> if weight management advice</w:t>
            </w:r>
            <w:r w:rsidRPr="00401231">
              <w:rPr>
                <w:rFonts w:cs="Arial"/>
                <w:color w:val="000000"/>
                <w:kern w:val="24"/>
                <w:sz w:val="22"/>
                <w:szCs w:val="22"/>
              </w:rPr>
              <w:t xml:space="preserve"> is not appropriate.</w:t>
            </w:r>
            <w:bookmarkEnd w:id="19"/>
          </w:p>
        </w:tc>
        <w:tc>
          <w:tcPr>
            <w:tcW w:w="3118" w:type="dxa"/>
          </w:tcPr>
          <w:p w14:paraId="5F2F7174" w14:textId="6CE025DE" w:rsidR="00A356D3" w:rsidRPr="00F7298E" w:rsidRDefault="00A356D3" w:rsidP="00F7298E">
            <w:pPr>
              <w:spacing w:before="120" w:after="120"/>
              <w:rPr>
                <w:rFonts w:ascii="Arial" w:hAnsi="Arial" w:cs="Arial"/>
                <w:color w:val="000000"/>
                <w:kern w:val="24"/>
                <w:sz w:val="22"/>
                <w:szCs w:val="22"/>
              </w:rPr>
            </w:pPr>
            <w:r w:rsidRPr="00F7298E">
              <w:rPr>
                <w:rFonts w:ascii="Arial" w:hAnsi="Arial" w:cs="Arial"/>
                <w:color w:val="000000"/>
                <w:kern w:val="24"/>
                <w:sz w:val="22"/>
                <w:szCs w:val="22"/>
              </w:rPr>
              <w:t>The indicator has defined components necessary to construct the indicator, including numerator, denominator and exclusions.</w:t>
            </w:r>
          </w:p>
        </w:tc>
      </w:tr>
      <w:tr w:rsidR="00A356D3" w14:paraId="136F07CE" w14:textId="77777777" w:rsidTr="006B3CE0">
        <w:tc>
          <w:tcPr>
            <w:tcW w:w="5949" w:type="dxa"/>
          </w:tcPr>
          <w:p w14:paraId="04041234" w14:textId="395133F1" w:rsidR="00A356D3" w:rsidRPr="00E17929" w:rsidRDefault="00B6709F" w:rsidP="00B6709F">
            <w:pPr>
              <w:pStyle w:val="Paragraph"/>
              <w:spacing w:before="120" w:after="120" w:line="240" w:lineRule="auto"/>
              <w:rPr>
                <w:rFonts w:cs="Arial"/>
                <w:color w:val="000000"/>
                <w:kern w:val="24"/>
                <w:sz w:val="22"/>
                <w:szCs w:val="22"/>
              </w:rPr>
            </w:pPr>
            <w:r w:rsidRPr="00E17929">
              <w:rPr>
                <w:rFonts w:cs="Arial"/>
                <w:color w:val="000000"/>
                <w:kern w:val="24"/>
                <w:sz w:val="22"/>
                <w:szCs w:val="22"/>
              </w:rPr>
              <w:t xml:space="preserve">To be classified as suitable for use in QOF, there should be an average minimum population of more than 20 patients per practice eligible for inclusion in the denominator prior to application of personalised care adjustments. </w:t>
            </w:r>
            <w:bookmarkStart w:id="20" w:name="_Hlk200461250"/>
            <w:r w:rsidR="00574D9D" w:rsidRPr="002F6A35">
              <w:rPr>
                <w:rFonts w:cs="Arial"/>
                <w:sz w:val="22"/>
                <w:szCs w:val="22"/>
              </w:rPr>
              <w:t xml:space="preserve">Clinical Practice Research Datalink </w:t>
            </w:r>
            <w:r w:rsidR="00574D9D" w:rsidRPr="005624A2">
              <w:rPr>
                <w:rFonts w:cs="Arial"/>
                <w:sz w:val="22"/>
                <w:szCs w:val="22"/>
              </w:rPr>
              <w:t>shows that</w:t>
            </w:r>
            <w:bookmarkEnd w:id="20"/>
            <w:r w:rsidR="00574D9D" w:rsidRPr="005624A2">
              <w:rPr>
                <w:rFonts w:cs="Arial"/>
                <w:sz w:val="22"/>
                <w:szCs w:val="22"/>
              </w:rPr>
              <w:t xml:space="preserve"> </w:t>
            </w:r>
            <w:r w:rsidR="00AD411D" w:rsidRPr="00AD411D">
              <w:rPr>
                <w:rFonts w:cs="Arial"/>
                <w:sz w:val="22"/>
                <w:szCs w:val="22"/>
              </w:rPr>
              <w:t>5.9% of people were aged 18 to 39 years (inclusive), had a record of BMI between 23 kg/m</w:t>
            </w:r>
            <w:r w:rsidR="00AD411D" w:rsidRPr="00AD411D">
              <w:rPr>
                <w:rFonts w:cs="Arial"/>
                <w:sz w:val="22"/>
                <w:szCs w:val="22"/>
                <w:vertAlign w:val="superscript"/>
              </w:rPr>
              <w:t>2</w:t>
            </w:r>
            <w:r w:rsidR="00AD411D" w:rsidRPr="00AD411D">
              <w:rPr>
                <w:rFonts w:cs="Arial"/>
                <w:sz w:val="22"/>
                <w:szCs w:val="22"/>
              </w:rPr>
              <w:t xml:space="preserve"> to 27.4 kg/m</w:t>
            </w:r>
            <w:r w:rsidR="00AD411D" w:rsidRPr="00AD411D">
              <w:rPr>
                <w:rFonts w:cs="Arial"/>
                <w:sz w:val="22"/>
                <w:szCs w:val="22"/>
                <w:vertAlign w:val="superscript"/>
              </w:rPr>
              <w:t>2</w:t>
            </w:r>
            <w:r w:rsidR="00AD411D" w:rsidRPr="00AD411D">
              <w:rPr>
                <w:rFonts w:cs="Arial"/>
                <w:sz w:val="22"/>
                <w:szCs w:val="22"/>
              </w:rPr>
              <w:t xml:space="preserve"> (or 25 and 30 kg/m</w:t>
            </w:r>
            <w:r w:rsidR="00AD411D" w:rsidRPr="00AD411D">
              <w:rPr>
                <w:rFonts w:cs="Arial"/>
                <w:sz w:val="22"/>
                <w:szCs w:val="22"/>
                <w:vertAlign w:val="superscript"/>
              </w:rPr>
              <w:t>2</w:t>
            </w:r>
            <w:r w:rsidR="00AD411D" w:rsidRPr="00AD411D">
              <w:rPr>
                <w:rFonts w:cs="Arial"/>
                <w:sz w:val="22"/>
                <w:szCs w:val="22"/>
              </w:rPr>
              <w:t xml:space="preserve"> if ethnicity is recorded as White) being recorded in the preceding 12 months, and were still alive and registered for 90 days after BMI recording: 188 patients for an average practice with 10,000 patients</w:t>
            </w:r>
            <w:r w:rsidR="00574D9D" w:rsidRPr="00574D9D">
              <w:rPr>
                <w:rFonts w:cs="Arial"/>
                <w:color w:val="000000"/>
                <w:kern w:val="24"/>
                <w:sz w:val="22"/>
                <w:szCs w:val="22"/>
              </w:rPr>
              <w:t>.</w:t>
            </w:r>
            <w:r w:rsidR="002F6A35">
              <w:rPr>
                <w:rFonts w:cs="Arial"/>
                <w:color w:val="000000"/>
                <w:kern w:val="24"/>
                <w:sz w:val="22"/>
                <w:szCs w:val="22"/>
              </w:rPr>
              <w:t xml:space="preserve"> </w:t>
            </w:r>
            <w:r w:rsidR="002F6A35" w:rsidRPr="002F6A35">
              <w:rPr>
                <w:rFonts w:cs="Arial"/>
                <w:color w:val="000000"/>
                <w:kern w:val="24"/>
                <w:sz w:val="22"/>
                <w:szCs w:val="22"/>
              </w:rPr>
              <w:lastRenderedPageBreak/>
              <w:t xml:space="preserve">CPRD </w:t>
            </w:r>
            <w:proofErr w:type="spellStart"/>
            <w:r w:rsidR="002F6A35" w:rsidRPr="002F6A35">
              <w:rPr>
                <w:rFonts w:cs="Arial"/>
                <w:color w:val="000000"/>
                <w:kern w:val="24"/>
                <w:sz w:val="22"/>
                <w:szCs w:val="22"/>
              </w:rPr>
              <w:t>Aurum</w:t>
            </w:r>
            <w:proofErr w:type="spellEnd"/>
            <w:r w:rsidR="002F6A35" w:rsidRPr="002F6A35">
              <w:rPr>
                <w:rFonts w:cs="Arial"/>
                <w:color w:val="000000"/>
                <w:kern w:val="24"/>
                <w:sz w:val="22"/>
                <w:szCs w:val="22"/>
              </w:rPr>
              <w:t xml:space="preserve"> September 2024 (Version 2024.09.001) [Data set]. Clinical Practice Research Datalink. </w:t>
            </w:r>
            <w:hyperlink r:id="rId10" w:history="1">
              <w:r w:rsidR="002F6A35" w:rsidRPr="00BA4329">
                <w:rPr>
                  <w:rStyle w:val="Hyperlink"/>
                  <w:rFonts w:cs="Arial"/>
                  <w:kern w:val="24"/>
                  <w:sz w:val="22"/>
                  <w:szCs w:val="22"/>
                </w:rPr>
                <w:t>https://doi.org/10.48329/zrvz-6a47</w:t>
              </w:r>
            </w:hyperlink>
            <w:r w:rsidR="002F6A35">
              <w:rPr>
                <w:rFonts w:cs="Arial"/>
                <w:color w:val="000000"/>
                <w:kern w:val="24"/>
                <w:sz w:val="22"/>
                <w:szCs w:val="22"/>
              </w:rPr>
              <w:t xml:space="preserve"> </w:t>
            </w:r>
          </w:p>
        </w:tc>
        <w:tc>
          <w:tcPr>
            <w:tcW w:w="3118" w:type="dxa"/>
          </w:tcPr>
          <w:p w14:paraId="47D2350E" w14:textId="5BC516E8" w:rsidR="00A356D3" w:rsidRPr="00E17929" w:rsidRDefault="00A356D3" w:rsidP="006B3CE0">
            <w:pPr>
              <w:pStyle w:val="Paragraph"/>
              <w:spacing w:before="120" w:after="120" w:line="240" w:lineRule="auto"/>
              <w:rPr>
                <w:rFonts w:cs="Arial"/>
                <w:color w:val="000000"/>
                <w:kern w:val="24"/>
                <w:sz w:val="22"/>
                <w:szCs w:val="22"/>
              </w:rPr>
            </w:pPr>
            <w:r w:rsidRPr="00E17929">
              <w:rPr>
                <w:rFonts w:cs="Arial"/>
                <w:color w:val="000000"/>
                <w:kern w:val="24"/>
                <w:sz w:val="22"/>
                <w:szCs w:val="22"/>
              </w:rPr>
              <w:lastRenderedPageBreak/>
              <w:t>The indicator does outline minimum numbers of patients needed to be confident in the assessment of variation.</w:t>
            </w:r>
          </w:p>
          <w:p w14:paraId="2B3B0D03" w14:textId="42681054" w:rsidR="00A756F9" w:rsidRPr="002338EB" w:rsidRDefault="00A756F9" w:rsidP="006B3CE0">
            <w:pPr>
              <w:pStyle w:val="Paragraph"/>
              <w:spacing w:before="120" w:after="120" w:line="240" w:lineRule="auto"/>
              <w:rPr>
                <w:highlight w:val="lightGray"/>
              </w:rPr>
            </w:pPr>
            <w:r w:rsidRPr="00E17929">
              <w:rPr>
                <w:rFonts w:cs="Arial"/>
                <w:color w:val="000000"/>
                <w:kern w:val="24"/>
                <w:sz w:val="22"/>
                <w:szCs w:val="22"/>
              </w:rPr>
              <w:t xml:space="preserve">Available data does suggest that the number of eligible patients per average </w:t>
            </w:r>
            <w:r w:rsidR="00E17929">
              <w:rPr>
                <w:rFonts w:cs="Arial"/>
                <w:color w:val="000000"/>
                <w:kern w:val="24"/>
                <w:sz w:val="22"/>
                <w:szCs w:val="22"/>
              </w:rPr>
              <w:t>practice</w:t>
            </w:r>
            <w:r w:rsidRPr="00E17929">
              <w:rPr>
                <w:rFonts w:cs="Arial"/>
                <w:color w:val="000000"/>
                <w:kern w:val="24"/>
                <w:sz w:val="22"/>
                <w:szCs w:val="22"/>
              </w:rPr>
              <w:t xml:space="preserve"> would be above this minimum number.</w:t>
            </w:r>
          </w:p>
        </w:tc>
      </w:tr>
    </w:tbl>
    <w:p w14:paraId="258B29E7" w14:textId="77777777" w:rsidR="00A356D3" w:rsidRDefault="00A356D3" w:rsidP="00A356D3">
      <w:pPr>
        <w:pStyle w:val="Paragraph"/>
      </w:pPr>
    </w:p>
    <w:p w14:paraId="66D34201" w14:textId="77777777" w:rsidR="00A356D3" w:rsidRDefault="00A356D3" w:rsidP="00B5274E">
      <w:pPr>
        <w:pStyle w:val="Heading2"/>
      </w:pPr>
      <w:bookmarkStart w:id="21" w:name="_Toc150951824"/>
      <w:bookmarkStart w:id="22" w:name="_Toc209798361"/>
      <w:r>
        <w:t>Feasibility</w:t>
      </w:r>
      <w:bookmarkEnd w:id="21"/>
      <w:bookmarkEnd w:id="22"/>
      <w:r>
        <w:t xml:space="preserve"> </w:t>
      </w:r>
    </w:p>
    <w:tbl>
      <w:tblPr>
        <w:tblStyle w:val="TableGrid"/>
        <w:tblW w:w="9067" w:type="dxa"/>
        <w:tblLook w:val="04A0" w:firstRow="1" w:lastRow="0" w:firstColumn="1" w:lastColumn="0" w:noHBand="0" w:noVBand="1"/>
      </w:tblPr>
      <w:tblGrid>
        <w:gridCol w:w="5949"/>
        <w:gridCol w:w="3118"/>
      </w:tblGrid>
      <w:tr w:rsidR="00A356D3" w:rsidRPr="00A31413" w14:paraId="6B3FC300" w14:textId="77777777" w:rsidTr="006B3CE0">
        <w:tc>
          <w:tcPr>
            <w:tcW w:w="5949" w:type="dxa"/>
          </w:tcPr>
          <w:p w14:paraId="51981E51" w14:textId="77777777" w:rsidR="00A356D3" w:rsidRPr="00A31413" w:rsidRDefault="00A356D3" w:rsidP="006B3CE0">
            <w:pPr>
              <w:pStyle w:val="Paragraph"/>
              <w:spacing w:before="120" w:after="120" w:line="240" w:lineRule="auto"/>
              <w:rPr>
                <w:rFonts w:cs="Arial"/>
                <w:b/>
                <w:bCs/>
                <w:sz w:val="22"/>
                <w:szCs w:val="22"/>
              </w:rPr>
            </w:pPr>
            <w:r w:rsidRPr="00A31413">
              <w:rPr>
                <w:rFonts w:cs="Arial"/>
                <w:b/>
                <w:bCs/>
                <w:sz w:val="22"/>
                <w:szCs w:val="22"/>
              </w:rPr>
              <w:t xml:space="preserve">Considerations </w:t>
            </w:r>
          </w:p>
        </w:tc>
        <w:tc>
          <w:tcPr>
            <w:tcW w:w="3118" w:type="dxa"/>
          </w:tcPr>
          <w:p w14:paraId="53CFF03A" w14:textId="77777777" w:rsidR="00A356D3" w:rsidRPr="00A31413" w:rsidRDefault="00A356D3" w:rsidP="006B3CE0">
            <w:pPr>
              <w:pStyle w:val="Paragraph"/>
              <w:spacing w:before="120" w:after="120" w:line="240" w:lineRule="auto"/>
              <w:rPr>
                <w:rFonts w:cs="Arial"/>
                <w:b/>
                <w:bCs/>
                <w:sz w:val="22"/>
                <w:szCs w:val="22"/>
              </w:rPr>
            </w:pPr>
            <w:r w:rsidRPr="00A31413">
              <w:rPr>
                <w:rFonts w:cs="Arial"/>
                <w:b/>
                <w:bCs/>
                <w:sz w:val="22"/>
                <w:szCs w:val="22"/>
              </w:rPr>
              <w:t>Assessment</w:t>
            </w:r>
          </w:p>
        </w:tc>
      </w:tr>
      <w:tr w:rsidR="00A356D3" w:rsidRPr="00A31413" w14:paraId="2DF9586C" w14:textId="77777777" w:rsidTr="006B3CE0">
        <w:tc>
          <w:tcPr>
            <w:tcW w:w="5949" w:type="dxa"/>
          </w:tcPr>
          <w:p w14:paraId="1E67FF29" w14:textId="40CD78AB" w:rsidR="00A356D3" w:rsidRPr="005624A2" w:rsidRDefault="00A356D3" w:rsidP="006B3CE0">
            <w:pPr>
              <w:pStyle w:val="Paragraph"/>
              <w:spacing w:before="120" w:after="120" w:line="240" w:lineRule="auto"/>
              <w:rPr>
                <w:rFonts w:cs="Arial"/>
                <w:sz w:val="22"/>
                <w:szCs w:val="22"/>
              </w:rPr>
            </w:pPr>
            <w:r w:rsidRPr="005624A2">
              <w:rPr>
                <w:rFonts w:cs="Arial"/>
                <w:sz w:val="22"/>
                <w:szCs w:val="22"/>
              </w:rPr>
              <w:t xml:space="preserve">Data is collected annually as part of the </w:t>
            </w:r>
            <w:hyperlink r:id="rId11" w:history="1">
              <w:r w:rsidR="00574D9D" w:rsidRPr="00574D9D">
                <w:rPr>
                  <w:rStyle w:val="Hyperlink"/>
                  <w:rFonts w:cs="Arial"/>
                  <w:sz w:val="22"/>
                  <w:szCs w:val="22"/>
                </w:rPr>
                <w:t>Health Survey for England</w:t>
              </w:r>
            </w:hyperlink>
            <w:r w:rsidR="00574D9D" w:rsidRPr="005624A2">
              <w:rPr>
                <w:sz w:val="22"/>
                <w:szCs w:val="22"/>
              </w:rPr>
              <w:t>, however the data is broken down under different age ranges than the one used in the indicator.</w:t>
            </w:r>
          </w:p>
        </w:tc>
        <w:tc>
          <w:tcPr>
            <w:tcW w:w="3118" w:type="dxa"/>
          </w:tcPr>
          <w:p w14:paraId="2597558E" w14:textId="77777777" w:rsidR="00A356D3" w:rsidRPr="005624A2" w:rsidRDefault="00A356D3" w:rsidP="006B3CE0">
            <w:pPr>
              <w:spacing w:before="120" w:after="120"/>
              <w:rPr>
                <w:rFonts w:ascii="Arial" w:hAnsi="Arial" w:cs="Arial"/>
                <w:color w:val="000000"/>
                <w:kern w:val="24"/>
                <w:sz w:val="22"/>
                <w:szCs w:val="22"/>
              </w:rPr>
            </w:pPr>
            <w:r w:rsidRPr="005624A2">
              <w:rPr>
                <w:rFonts w:ascii="Arial" w:hAnsi="Arial" w:cs="Arial"/>
                <w:color w:val="000000"/>
                <w:kern w:val="24"/>
                <w:sz w:val="22"/>
                <w:szCs w:val="22"/>
              </w:rPr>
              <w:t>The indicator is repeatable.</w:t>
            </w:r>
          </w:p>
          <w:p w14:paraId="39B9F503" w14:textId="77777777" w:rsidR="00A356D3" w:rsidRPr="00A31413" w:rsidRDefault="00A356D3" w:rsidP="006B3CE0">
            <w:pPr>
              <w:pStyle w:val="Paragraph"/>
              <w:spacing w:before="120" w:after="120" w:line="240" w:lineRule="auto"/>
              <w:rPr>
                <w:rFonts w:cs="Arial"/>
                <w:sz w:val="22"/>
                <w:szCs w:val="22"/>
                <w:highlight w:val="lightGray"/>
              </w:rPr>
            </w:pPr>
          </w:p>
        </w:tc>
      </w:tr>
      <w:tr w:rsidR="00A356D3" w:rsidRPr="00A31413" w14:paraId="0F17ACE9" w14:textId="77777777" w:rsidTr="006B3CE0">
        <w:tc>
          <w:tcPr>
            <w:tcW w:w="5949" w:type="dxa"/>
          </w:tcPr>
          <w:p w14:paraId="2C7C1A1D" w14:textId="73C78468" w:rsidR="00A356D3" w:rsidRPr="00A31413" w:rsidRDefault="008D34F8" w:rsidP="005624A2">
            <w:pPr>
              <w:spacing w:before="120" w:after="120"/>
              <w:contextualSpacing/>
              <w:rPr>
                <w:rFonts w:ascii="Arial" w:hAnsi="Arial" w:cs="Arial"/>
                <w:sz w:val="22"/>
                <w:szCs w:val="22"/>
                <w:highlight w:val="lightGray"/>
              </w:rPr>
            </w:pPr>
            <w:r w:rsidRPr="005624A2">
              <w:rPr>
                <w:rFonts w:ascii="Arial" w:hAnsi="Arial" w:cs="Arial"/>
                <w:sz w:val="22"/>
                <w:szCs w:val="22"/>
              </w:rPr>
              <w:t xml:space="preserve">The indicator can be </w:t>
            </w:r>
            <w:r w:rsidRPr="008D34F8">
              <w:rPr>
                <w:rFonts w:ascii="Arial" w:hAnsi="Arial" w:cs="Arial"/>
                <w:sz w:val="22"/>
                <w:szCs w:val="22"/>
              </w:rPr>
              <w:t xml:space="preserve">constructed using existing </w:t>
            </w:r>
            <w:r>
              <w:rPr>
                <w:rFonts w:ascii="Arial" w:hAnsi="Arial" w:cs="Arial"/>
                <w:sz w:val="22"/>
                <w:szCs w:val="22"/>
              </w:rPr>
              <w:t>S</w:t>
            </w:r>
            <w:r w:rsidR="00FE7F43">
              <w:rPr>
                <w:rFonts w:ascii="Arial" w:hAnsi="Arial" w:cs="Arial"/>
                <w:sz w:val="22"/>
                <w:szCs w:val="22"/>
              </w:rPr>
              <w:t xml:space="preserve">NOMED </w:t>
            </w:r>
            <w:r w:rsidRPr="008D34F8">
              <w:rPr>
                <w:rFonts w:ascii="Arial" w:hAnsi="Arial" w:cs="Arial"/>
                <w:sz w:val="22"/>
                <w:szCs w:val="22"/>
              </w:rPr>
              <w:t>codes</w:t>
            </w:r>
            <w:r>
              <w:rPr>
                <w:rFonts w:ascii="Arial" w:hAnsi="Arial" w:cs="Arial"/>
                <w:sz w:val="22"/>
                <w:szCs w:val="22"/>
              </w:rPr>
              <w:t xml:space="preserve"> for </w:t>
            </w:r>
            <w:r w:rsidRPr="005624A2">
              <w:rPr>
                <w:rFonts w:ascii="Arial" w:hAnsi="Arial" w:cs="Arial"/>
                <w:sz w:val="22"/>
                <w:szCs w:val="22"/>
              </w:rPr>
              <w:t>BMI</w:t>
            </w:r>
            <w:r>
              <w:rPr>
                <w:rFonts w:ascii="Arial" w:hAnsi="Arial" w:cs="Arial"/>
                <w:sz w:val="22"/>
                <w:szCs w:val="22"/>
              </w:rPr>
              <w:t>, ethnicity, dietary physical and lifestyle advice</w:t>
            </w:r>
            <w:r w:rsidR="00FE7F43">
              <w:rPr>
                <w:rFonts w:ascii="Arial" w:hAnsi="Arial" w:cs="Arial"/>
                <w:sz w:val="22"/>
                <w:szCs w:val="22"/>
              </w:rPr>
              <w:t>,</w:t>
            </w:r>
            <w:r>
              <w:rPr>
                <w:rFonts w:ascii="Arial" w:hAnsi="Arial" w:cs="Arial"/>
                <w:sz w:val="22"/>
                <w:szCs w:val="22"/>
              </w:rPr>
              <w:t xml:space="preserve"> as well as filtering by age.</w:t>
            </w:r>
          </w:p>
        </w:tc>
        <w:tc>
          <w:tcPr>
            <w:tcW w:w="3118" w:type="dxa"/>
          </w:tcPr>
          <w:p w14:paraId="3002952B" w14:textId="77777777" w:rsidR="00A356D3" w:rsidRPr="005624A2" w:rsidRDefault="00A356D3" w:rsidP="006B3CE0">
            <w:pPr>
              <w:spacing w:before="120" w:after="120"/>
              <w:rPr>
                <w:rFonts w:ascii="Arial" w:hAnsi="Arial" w:cs="Arial"/>
                <w:color w:val="000000"/>
                <w:kern w:val="24"/>
                <w:sz w:val="22"/>
                <w:szCs w:val="22"/>
              </w:rPr>
            </w:pPr>
            <w:r w:rsidRPr="005624A2">
              <w:rPr>
                <w:rFonts w:ascii="Arial" w:hAnsi="Arial" w:cs="Arial"/>
                <w:color w:val="000000"/>
                <w:kern w:val="24"/>
                <w:sz w:val="22"/>
                <w:szCs w:val="22"/>
              </w:rPr>
              <w:t xml:space="preserve">The indicator is measuring what it is designed to measure. </w:t>
            </w:r>
          </w:p>
          <w:p w14:paraId="6E21506F" w14:textId="77777777" w:rsidR="00A356D3" w:rsidRPr="00A31413" w:rsidRDefault="00A356D3" w:rsidP="006B3CE0">
            <w:pPr>
              <w:spacing w:before="120" w:after="120"/>
              <w:rPr>
                <w:rFonts w:ascii="Arial" w:hAnsi="Arial" w:cs="Arial"/>
                <w:color w:val="000000"/>
                <w:kern w:val="24"/>
                <w:sz w:val="22"/>
                <w:szCs w:val="22"/>
                <w:highlight w:val="lightGray"/>
              </w:rPr>
            </w:pPr>
            <w:r w:rsidRPr="005624A2">
              <w:rPr>
                <w:rFonts w:ascii="Arial" w:hAnsi="Arial" w:cs="Arial"/>
                <w:color w:val="000000"/>
                <w:kern w:val="24"/>
                <w:sz w:val="22"/>
                <w:szCs w:val="22"/>
              </w:rPr>
              <w:t>The indicator uses existing data fields.</w:t>
            </w:r>
          </w:p>
        </w:tc>
      </w:tr>
    </w:tbl>
    <w:p w14:paraId="1A51206B" w14:textId="77777777" w:rsidR="00A356D3" w:rsidRDefault="00A356D3" w:rsidP="00A356D3">
      <w:pPr>
        <w:pStyle w:val="Paragraph"/>
      </w:pPr>
    </w:p>
    <w:p w14:paraId="35555E12" w14:textId="77777777" w:rsidR="00A356D3" w:rsidRDefault="00A356D3" w:rsidP="00B5274E">
      <w:pPr>
        <w:pStyle w:val="Heading2"/>
      </w:pPr>
      <w:bookmarkStart w:id="23" w:name="_Toc150951825"/>
      <w:bookmarkStart w:id="24" w:name="_Toc209798362"/>
      <w:r>
        <w:t>Acceptability</w:t>
      </w:r>
      <w:bookmarkEnd w:id="23"/>
      <w:bookmarkEnd w:id="24"/>
      <w:r>
        <w:t xml:space="preserve"> </w:t>
      </w:r>
    </w:p>
    <w:tbl>
      <w:tblPr>
        <w:tblStyle w:val="TableGrid"/>
        <w:tblW w:w="9067" w:type="dxa"/>
        <w:tblLook w:val="04A0" w:firstRow="1" w:lastRow="0" w:firstColumn="1" w:lastColumn="0" w:noHBand="0" w:noVBand="1"/>
      </w:tblPr>
      <w:tblGrid>
        <w:gridCol w:w="5949"/>
        <w:gridCol w:w="3118"/>
      </w:tblGrid>
      <w:tr w:rsidR="00A356D3" w14:paraId="2633C601" w14:textId="77777777" w:rsidTr="006B3CE0">
        <w:tc>
          <w:tcPr>
            <w:tcW w:w="5949" w:type="dxa"/>
          </w:tcPr>
          <w:p w14:paraId="2706B108" w14:textId="77777777" w:rsidR="00A356D3" w:rsidRPr="00A47852" w:rsidRDefault="00A356D3" w:rsidP="006B3CE0">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46C2473D" w14:textId="77777777" w:rsidR="00A356D3" w:rsidRPr="00A47852" w:rsidRDefault="00A356D3" w:rsidP="006B3CE0">
            <w:pPr>
              <w:pStyle w:val="Paragraph"/>
              <w:spacing w:before="120" w:after="120" w:line="240" w:lineRule="auto"/>
              <w:rPr>
                <w:b/>
                <w:bCs/>
                <w:sz w:val="22"/>
                <w:szCs w:val="22"/>
              </w:rPr>
            </w:pPr>
            <w:r w:rsidRPr="00A47852">
              <w:rPr>
                <w:b/>
                <w:bCs/>
                <w:sz w:val="22"/>
                <w:szCs w:val="22"/>
              </w:rPr>
              <w:t>Assessment</w:t>
            </w:r>
          </w:p>
        </w:tc>
      </w:tr>
      <w:tr w:rsidR="00A356D3" w14:paraId="10EE95C0" w14:textId="77777777" w:rsidTr="006B3CE0">
        <w:tc>
          <w:tcPr>
            <w:tcW w:w="5949" w:type="dxa"/>
          </w:tcPr>
          <w:p w14:paraId="4BE1D23F" w14:textId="5202346E" w:rsidR="00A356D3" w:rsidRPr="00A47852" w:rsidRDefault="008D34F8" w:rsidP="006B3CE0">
            <w:pPr>
              <w:pStyle w:val="Paragraph"/>
              <w:spacing w:before="120" w:after="120" w:line="240" w:lineRule="auto"/>
              <w:rPr>
                <w:highlight w:val="lightGray"/>
              </w:rPr>
            </w:pPr>
            <w:r w:rsidRPr="005624A2">
              <w:rPr>
                <w:rFonts w:cs="Arial"/>
                <w:sz w:val="22"/>
                <w:szCs w:val="22"/>
              </w:rPr>
              <w:t xml:space="preserve">There </w:t>
            </w:r>
            <w:r>
              <w:rPr>
                <w:rFonts w:cs="Arial"/>
                <w:sz w:val="22"/>
                <w:szCs w:val="22"/>
              </w:rPr>
              <w:t>m</w:t>
            </w:r>
            <w:r w:rsidRPr="005624A2">
              <w:rPr>
                <w:rFonts w:cs="Arial"/>
                <w:sz w:val="22"/>
                <w:szCs w:val="22"/>
              </w:rPr>
              <w:t>ay be instances where</w:t>
            </w:r>
            <w:r>
              <w:rPr>
                <w:rFonts w:cs="Arial"/>
                <w:sz w:val="22"/>
                <w:szCs w:val="22"/>
              </w:rPr>
              <w:t xml:space="preserve"> </w:t>
            </w:r>
            <w:r w:rsidR="00FE7F43">
              <w:rPr>
                <w:rFonts w:cs="Arial"/>
                <w:sz w:val="22"/>
                <w:szCs w:val="22"/>
              </w:rPr>
              <w:t>it is inappropriate to give weight management advice, a patient declines weight management advice or a patient does not attend an appointment that is arranged to provide weight management advice. The indicator includes these situations in personalised care and exception reporting considerations.</w:t>
            </w:r>
          </w:p>
        </w:tc>
        <w:tc>
          <w:tcPr>
            <w:tcW w:w="3118" w:type="dxa"/>
          </w:tcPr>
          <w:p w14:paraId="3D58C0F0" w14:textId="77777777" w:rsidR="00A356D3" w:rsidRPr="00A47852" w:rsidRDefault="00A356D3" w:rsidP="006B3CE0">
            <w:pPr>
              <w:pStyle w:val="Paragraph"/>
              <w:spacing w:before="120" w:after="120" w:line="240" w:lineRule="auto"/>
              <w:rPr>
                <w:highlight w:val="lightGray"/>
              </w:rPr>
            </w:pPr>
            <w:r w:rsidRPr="005624A2">
              <w:rPr>
                <w:rFonts w:cs="Arial"/>
                <w:color w:val="000000"/>
                <w:kern w:val="24"/>
                <w:sz w:val="22"/>
                <w:szCs w:val="22"/>
              </w:rPr>
              <w:t>The indicator assesses performance that is attributable to or within the control of the audience</w:t>
            </w:r>
          </w:p>
        </w:tc>
      </w:tr>
      <w:tr w:rsidR="00A356D3" w14:paraId="5D6786A8" w14:textId="77777777" w:rsidTr="006B3CE0">
        <w:tc>
          <w:tcPr>
            <w:tcW w:w="5949" w:type="dxa"/>
          </w:tcPr>
          <w:p w14:paraId="3CC3A57B" w14:textId="27F2C13B" w:rsidR="00A356D3" w:rsidRPr="00A47852" w:rsidRDefault="00FE7F43" w:rsidP="006B3CE0">
            <w:pPr>
              <w:pStyle w:val="Paragraph"/>
              <w:spacing w:before="120" w:after="120" w:line="240" w:lineRule="auto"/>
              <w:rPr>
                <w:highlight w:val="lightGray"/>
              </w:rPr>
            </w:pPr>
            <w:r w:rsidRPr="00FE7F43">
              <w:rPr>
                <w:rFonts w:cs="Arial"/>
                <w:sz w:val="22"/>
                <w:szCs w:val="22"/>
              </w:rPr>
              <w:t>Data can be extracted and used to compare practice within the GP practice or with other GP practices.</w:t>
            </w:r>
            <w:r w:rsidRPr="005624A2">
              <w:rPr>
                <w:rFonts w:cs="Arial"/>
                <w:sz w:val="22"/>
                <w:szCs w:val="22"/>
              </w:rPr>
              <w:t xml:space="preserve"> Data can be used </w:t>
            </w:r>
            <w:r>
              <w:rPr>
                <w:rFonts w:cs="Arial"/>
                <w:sz w:val="22"/>
                <w:szCs w:val="22"/>
              </w:rPr>
              <w:t xml:space="preserve">for quality improvement </w:t>
            </w:r>
            <w:r w:rsidRPr="005624A2">
              <w:rPr>
                <w:rFonts w:cs="Arial"/>
                <w:sz w:val="22"/>
                <w:szCs w:val="22"/>
              </w:rPr>
              <w:t>nationally if used in QOF.</w:t>
            </w:r>
          </w:p>
        </w:tc>
        <w:tc>
          <w:tcPr>
            <w:tcW w:w="3118" w:type="dxa"/>
          </w:tcPr>
          <w:p w14:paraId="38B04583" w14:textId="77777777" w:rsidR="00A356D3" w:rsidRPr="00A47852" w:rsidRDefault="00A356D3" w:rsidP="006B3CE0">
            <w:pPr>
              <w:pStyle w:val="Paragraph"/>
              <w:spacing w:before="120" w:after="120" w:line="240" w:lineRule="auto"/>
              <w:rPr>
                <w:highlight w:val="lightGray"/>
              </w:rPr>
            </w:pPr>
            <w:r w:rsidRPr="005624A2">
              <w:rPr>
                <w:rFonts w:cs="Arial"/>
                <w:color w:val="000000"/>
                <w:kern w:val="24"/>
                <w:sz w:val="22"/>
                <w:szCs w:val="22"/>
              </w:rPr>
              <w:t>The results of the indicator can be used to improve practice</w:t>
            </w:r>
          </w:p>
        </w:tc>
      </w:tr>
    </w:tbl>
    <w:p w14:paraId="67A5D397" w14:textId="77777777" w:rsidR="00A356D3" w:rsidRDefault="00A356D3" w:rsidP="00A356D3">
      <w:pPr>
        <w:pStyle w:val="Paragraph"/>
      </w:pPr>
    </w:p>
    <w:p w14:paraId="5FB32BA9" w14:textId="77777777" w:rsidR="00A356D3" w:rsidRDefault="00A356D3" w:rsidP="00B5274E">
      <w:pPr>
        <w:pStyle w:val="Heading2"/>
      </w:pPr>
      <w:bookmarkStart w:id="25" w:name="_Toc150951826"/>
      <w:bookmarkStart w:id="26" w:name="_Toc209798363"/>
      <w:r>
        <w:t>Risk</w:t>
      </w:r>
      <w:bookmarkEnd w:id="25"/>
      <w:bookmarkEnd w:id="26"/>
    </w:p>
    <w:tbl>
      <w:tblPr>
        <w:tblStyle w:val="TableGrid"/>
        <w:tblW w:w="9067" w:type="dxa"/>
        <w:tblLook w:val="04A0" w:firstRow="1" w:lastRow="0" w:firstColumn="1" w:lastColumn="0" w:noHBand="0" w:noVBand="1"/>
      </w:tblPr>
      <w:tblGrid>
        <w:gridCol w:w="5949"/>
        <w:gridCol w:w="3118"/>
      </w:tblGrid>
      <w:tr w:rsidR="00A356D3" w14:paraId="7B5B9F31" w14:textId="77777777" w:rsidTr="006B3CE0">
        <w:tc>
          <w:tcPr>
            <w:tcW w:w="5949" w:type="dxa"/>
          </w:tcPr>
          <w:p w14:paraId="779ECA22" w14:textId="77777777" w:rsidR="00A356D3" w:rsidRPr="00A47852" w:rsidRDefault="00A356D3" w:rsidP="006B3CE0">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21BD6F18" w14:textId="77777777" w:rsidR="00A356D3" w:rsidRPr="00A47852" w:rsidRDefault="00A356D3" w:rsidP="006B3CE0">
            <w:pPr>
              <w:pStyle w:val="Paragraph"/>
              <w:spacing w:before="120" w:after="120" w:line="240" w:lineRule="auto"/>
              <w:rPr>
                <w:b/>
                <w:bCs/>
                <w:sz w:val="22"/>
                <w:szCs w:val="22"/>
              </w:rPr>
            </w:pPr>
            <w:r w:rsidRPr="00A47852">
              <w:rPr>
                <w:b/>
                <w:bCs/>
                <w:sz w:val="22"/>
                <w:szCs w:val="22"/>
              </w:rPr>
              <w:t>Assessment</w:t>
            </w:r>
          </w:p>
        </w:tc>
      </w:tr>
      <w:tr w:rsidR="00A356D3" w14:paraId="46ABAEB3" w14:textId="77777777" w:rsidTr="006B3CE0">
        <w:tc>
          <w:tcPr>
            <w:tcW w:w="5949" w:type="dxa"/>
          </w:tcPr>
          <w:p w14:paraId="159A7549" w14:textId="49C8F875" w:rsidR="00A356D3" w:rsidRPr="00A47852" w:rsidRDefault="00FE7F43" w:rsidP="006B3CE0">
            <w:pPr>
              <w:pStyle w:val="Paragraph"/>
              <w:spacing w:before="120" w:after="120" w:line="240" w:lineRule="auto"/>
              <w:rPr>
                <w:highlight w:val="lightGray"/>
              </w:rPr>
            </w:pPr>
            <w:r w:rsidRPr="00FE7F43">
              <w:rPr>
                <w:rFonts w:cs="Arial"/>
                <w:color w:val="000000"/>
                <w:kern w:val="24"/>
                <w:sz w:val="22"/>
                <w:szCs w:val="22"/>
                <w:lang w:eastAsia="en-GB"/>
              </w:rPr>
              <w:t xml:space="preserve">Coding of ethnicity may be poor in some practices. Using the lower </w:t>
            </w:r>
            <w:r w:rsidR="001F67FE">
              <w:rPr>
                <w:rFonts w:cs="Arial"/>
                <w:color w:val="000000"/>
                <w:kern w:val="24"/>
                <w:sz w:val="22"/>
                <w:szCs w:val="22"/>
                <w:lang w:eastAsia="en-GB"/>
              </w:rPr>
              <w:t xml:space="preserve">BMI </w:t>
            </w:r>
            <w:r w:rsidRPr="00FE7F43">
              <w:rPr>
                <w:rFonts w:cs="Arial"/>
                <w:color w:val="000000"/>
                <w:kern w:val="24"/>
                <w:sz w:val="22"/>
                <w:szCs w:val="22"/>
                <w:lang w:eastAsia="en-GB"/>
              </w:rPr>
              <w:t>threshold of 23 kg/m</w:t>
            </w:r>
            <w:r w:rsidRPr="00866F83">
              <w:rPr>
                <w:rFonts w:cs="Arial"/>
                <w:color w:val="000000"/>
                <w:kern w:val="24"/>
                <w:sz w:val="22"/>
                <w:szCs w:val="22"/>
                <w:vertAlign w:val="superscript"/>
                <w:lang w:eastAsia="en-GB"/>
              </w:rPr>
              <w:t>2</w:t>
            </w:r>
            <w:r w:rsidR="001F67FE">
              <w:rPr>
                <w:rFonts w:cs="Arial"/>
                <w:color w:val="000000"/>
                <w:kern w:val="24"/>
                <w:sz w:val="22"/>
                <w:szCs w:val="22"/>
                <w:lang w:eastAsia="en-GB"/>
              </w:rPr>
              <w:t>,</w:t>
            </w:r>
            <w:r w:rsidR="000A319C">
              <w:rPr>
                <w:rFonts w:cs="Arial"/>
                <w:color w:val="000000"/>
                <w:kern w:val="24"/>
                <w:sz w:val="22"/>
                <w:szCs w:val="22"/>
                <w:lang w:eastAsia="en-GB"/>
              </w:rPr>
              <w:t xml:space="preserve"> by default</w:t>
            </w:r>
            <w:r w:rsidR="001F67FE">
              <w:rPr>
                <w:rFonts w:cs="Arial"/>
                <w:color w:val="000000"/>
                <w:kern w:val="24"/>
                <w:sz w:val="22"/>
                <w:szCs w:val="22"/>
                <w:lang w:eastAsia="en-GB"/>
              </w:rPr>
              <w:t xml:space="preserve"> </w:t>
            </w:r>
            <w:r w:rsidRPr="00FE7F43">
              <w:rPr>
                <w:rFonts w:cs="Arial"/>
                <w:color w:val="000000"/>
                <w:kern w:val="24"/>
                <w:sz w:val="22"/>
                <w:szCs w:val="22"/>
                <w:lang w:eastAsia="en-GB"/>
              </w:rPr>
              <w:t>unless ethnicity is specifically recorded as White</w:t>
            </w:r>
            <w:r w:rsidR="001F67FE">
              <w:rPr>
                <w:rFonts w:cs="Arial"/>
                <w:color w:val="000000"/>
                <w:kern w:val="24"/>
                <w:sz w:val="22"/>
                <w:szCs w:val="22"/>
                <w:lang w:eastAsia="en-GB"/>
              </w:rPr>
              <w:t>,</w:t>
            </w:r>
            <w:r w:rsidRPr="00FE7F43">
              <w:rPr>
                <w:rFonts w:cs="Arial"/>
                <w:color w:val="000000"/>
                <w:kern w:val="24"/>
                <w:sz w:val="22"/>
                <w:szCs w:val="22"/>
                <w:lang w:eastAsia="en-GB"/>
              </w:rPr>
              <w:t xml:space="preserve"> will help </w:t>
            </w:r>
            <w:r w:rsidR="000A319C">
              <w:rPr>
                <w:rFonts w:cs="Arial"/>
                <w:color w:val="000000"/>
                <w:kern w:val="24"/>
                <w:sz w:val="22"/>
                <w:szCs w:val="22"/>
                <w:lang w:eastAsia="en-GB"/>
              </w:rPr>
              <w:t xml:space="preserve">to </w:t>
            </w:r>
            <w:r w:rsidRPr="00FE7F43">
              <w:rPr>
                <w:rFonts w:cs="Arial"/>
                <w:color w:val="000000"/>
                <w:kern w:val="24"/>
                <w:sz w:val="22"/>
                <w:szCs w:val="22"/>
                <w:lang w:eastAsia="en-GB"/>
              </w:rPr>
              <w:t xml:space="preserve">ensure that people </w:t>
            </w:r>
            <w:r w:rsidR="000A319C" w:rsidRPr="000A319C">
              <w:rPr>
                <w:rFonts w:cs="Arial"/>
                <w:color w:val="000000"/>
                <w:kern w:val="24"/>
                <w:sz w:val="22"/>
                <w:szCs w:val="22"/>
                <w:lang w:eastAsia="en-GB"/>
              </w:rPr>
              <w:t xml:space="preserve">with a South Asian, Chinese, other Asian, Middle Eastern, Black African or African–Caribbean background </w:t>
            </w:r>
            <w:r w:rsidRPr="00FE7F43">
              <w:rPr>
                <w:rFonts w:cs="Arial"/>
                <w:color w:val="000000"/>
                <w:kern w:val="24"/>
                <w:sz w:val="22"/>
                <w:szCs w:val="22"/>
                <w:lang w:eastAsia="en-GB"/>
              </w:rPr>
              <w:t xml:space="preserve">are not excluded from </w:t>
            </w:r>
            <w:r w:rsidR="003A1388">
              <w:rPr>
                <w:rFonts w:cs="Arial"/>
                <w:color w:val="000000"/>
                <w:kern w:val="24"/>
                <w:sz w:val="22"/>
                <w:szCs w:val="22"/>
                <w:lang w:eastAsia="en-GB"/>
              </w:rPr>
              <w:t>provision of advice</w:t>
            </w:r>
            <w:r w:rsidRPr="00FE7F43">
              <w:rPr>
                <w:rFonts w:cs="Arial"/>
                <w:color w:val="000000"/>
                <w:kern w:val="24"/>
                <w:sz w:val="22"/>
                <w:szCs w:val="22"/>
                <w:lang w:eastAsia="en-GB"/>
              </w:rPr>
              <w:t xml:space="preserve"> </w:t>
            </w:r>
            <w:r w:rsidR="000A319C">
              <w:rPr>
                <w:rFonts w:cs="Arial"/>
                <w:color w:val="000000"/>
                <w:kern w:val="24"/>
                <w:sz w:val="22"/>
                <w:szCs w:val="22"/>
                <w:lang w:eastAsia="en-GB"/>
              </w:rPr>
              <w:lastRenderedPageBreak/>
              <w:t>while living with overweight</w:t>
            </w:r>
            <w:r w:rsidRPr="00FE7F43">
              <w:rPr>
                <w:rFonts w:cs="Arial"/>
                <w:color w:val="000000"/>
                <w:kern w:val="24"/>
                <w:sz w:val="22"/>
                <w:szCs w:val="22"/>
                <w:lang w:eastAsia="en-GB"/>
              </w:rPr>
              <w:t xml:space="preserve"> simply because ethnicity was not recorded. </w:t>
            </w:r>
          </w:p>
        </w:tc>
        <w:tc>
          <w:tcPr>
            <w:tcW w:w="3118" w:type="dxa"/>
          </w:tcPr>
          <w:p w14:paraId="3EFB384D" w14:textId="77777777" w:rsidR="00A356D3" w:rsidRPr="00A47852" w:rsidRDefault="00A356D3" w:rsidP="006B3CE0">
            <w:pPr>
              <w:pStyle w:val="Paragraph"/>
              <w:spacing w:before="120" w:after="120" w:line="240" w:lineRule="auto"/>
              <w:rPr>
                <w:highlight w:val="lightGray"/>
              </w:rPr>
            </w:pPr>
            <w:r w:rsidRPr="005624A2">
              <w:rPr>
                <w:rFonts w:cs="Arial"/>
                <w:color w:val="000000"/>
                <w:kern w:val="24"/>
                <w:sz w:val="22"/>
                <w:szCs w:val="22"/>
              </w:rPr>
              <w:lastRenderedPageBreak/>
              <w:t>The indicator has an acceptable risk of unintended consequences.</w:t>
            </w:r>
          </w:p>
        </w:tc>
      </w:tr>
      <w:bookmarkEnd w:id="6"/>
    </w:tbl>
    <w:p w14:paraId="37D9A2F5" w14:textId="64CBAFAD" w:rsidR="004A517E" w:rsidRDefault="004A517E">
      <w:pPr>
        <w:rPr>
          <w:rFonts w:ascii="Arial" w:hAnsi="Arial"/>
          <w:lang w:val="en-US"/>
        </w:rPr>
      </w:pPr>
    </w:p>
    <w:p w14:paraId="68E6AB3C" w14:textId="3CEF3AAF" w:rsidR="00AA74EB" w:rsidRDefault="00AA74EB" w:rsidP="00CD39BF">
      <w:pPr>
        <w:pStyle w:val="Bullets"/>
        <w:numPr>
          <w:ilvl w:val="0"/>
          <w:numId w:val="0"/>
        </w:numPr>
        <w:ind w:left="1134" w:hanging="454"/>
      </w:pPr>
    </w:p>
    <w:p w14:paraId="098EB15C" w14:textId="5739B283" w:rsidR="00D73835" w:rsidRPr="005624A2" w:rsidRDefault="00D73835" w:rsidP="005624A2">
      <w:pPr>
        <w:rPr>
          <w:rFonts w:ascii="Arial" w:hAnsi="Arial"/>
          <w:b/>
          <w:bCs/>
          <w:sz w:val="28"/>
          <w:szCs w:val="28"/>
        </w:rPr>
      </w:pPr>
    </w:p>
    <w:sectPr w:rsidR="00D73835" w:rsidRPr="005624A2" w:rsidSect="007C4D5D">
      <w:headerReference w:type="default" r:id="rId12"/>
      <w:footerReference w:type="default" r:id="rId13"/>
      <w:headerReference w:type="first" r:id="rId14"/>
      <w:pgSz w:w="11907"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CA3B6" w14:textId="77777777" w:rsidR="00BB14CA" w:rsidRDefault="00BB14CA" w:rsidP="00446BEE">
      <w:r>
        <w:separator/>
      </w:r>
    </w:p>
  </w:endnote>
  <w:endnote w:type="continuationSeparator" w:id="0">
    <w:p w14:paraId="22EB9B1D" w14:textId="77777777" w:rsidR="00BB14CA" w:rsidRDefault="00BB14CA"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2B07A" w14:textId="3B143C03" w:rsidR="00BB14CA" w:rsidRPr="008C1C95" w:rsidRDefault="00BB14CA" w:rsidP="008C1C95">
    <w:pPr>
      <w:pStyle w:val="Footer"/>
      <w:jc w:val="right"/>
    </w:pPr>
    <w:r>
      <w:fldChar w:fldCharType="begin"/>
    </w:r>
    <w:r>
      <w:instrText xml:space="preserve"> PAGE </w:instrText>
    </w:r>
    <w:r>
      <w:fldChar w:fldCharType="separate"/>
    </w:r>
    <w:r>
      <w:rPr>
        <w:noProof/>
      </w:rPr>
      <w:t>21</w:t>
    </w:r>
    <w:r>
      <w:fldChar w:fldCharType="end"/>
    </w:r>
    <w:r>
      <w:t xml:space="preserve"> of </w:t>
    </w:r>
    <w:r>
      <w:rPr>
        <w:noProof/>
      </w:rPr>
      <w:fldChar w:fldCharType="begin"/>
    </w:r>
    <w:r>
      <w:rPr>
        <w:noProof/>
      </w:rPr>
      <w:instrText xml:space="preserve"> NUMPAGES  </w:instrText>
    </w:r>
    <w:r>
      <w:rPr>
        <w:noProof/>
      </w:rPr>
      <w:fldChar w:fldCharType="separate"/>
    </w:r>
    <w:r>
      <w:rPr>
        <w:noProof/>
      </w:rPr>
      <w:t>63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157E4" w14:textId="77777777" w:rsidR="00BB14CA" w:rsidRDefault="00BB14CA" w:rsidP="00446BEE">
      <w:r>
        <w:separator/>
      </w:r>
    </w:p>
  </w:footnote>
  <w:footnote w:type="continuationSeparator" w:id="0">
    <w:p w14:paraId="1B316AC4" w14:textId="77777777" w:rsidR="00BB14CA" w:rsidRDefault="00BB14CA"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E1FB0" w14:textId="46BD7C4C" w:rsidR="00BB14CA" w:rsidRPr="00482C01" w:rsidRDefault="00BB14CA" w:rsidP="00670FFB">
    <w:pPr>
      <w:pStyle w:val="Header"/>
      <w:tabs>
        <w:tab w:val="left" w:pos="2768"/>
        <w:tab w:val="center" w:pos="4156"/>
      </w:tabs>
      <w:rPr>
        <w:b/>
        <w:color w:val="FF0000"/>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B9C19" w14:textId="1B329835" w:rsidR="007C4D5D" w:rsidRDefault="007C4D5D">
    <w:pPr>
      <w:pStyle w:val="Header"/>
    </w:pPr>
    <w:r w:rsidRPr="007C4D5D">
      <w:rPr>
        <w:rFonts w:ascii="Times New Roman" w:hAnsi="Times New Roman"/>
        <w:noProof/>
        <w:lang w:eastAsia="en-GB"/>
      </w:rPr>
      <w:drawing>
        <wp:inline distT="0" distB="0" distL="0" distR="0" wp14:anchorId="7F05F06F" wp14:editId="2D4B3CB6">
          <wp:extent cx="2444400" cy="252000"/>
          <wp:effectExtent l="0" t="0" r="0" b="0"/>
          <wp:docPr id="2" name="Picture 2"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5017405"/>
    <w:multiLevelType w:val="multilevel"/>
    <w:tmpl w:val="599C3FC2"/>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A9148B"/>
    <w:multiLevelType w:val="hybridMultilevel"/>
    <w:tmpl w:val="80EE8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EA30F79"/>
    <w:multiLevelType w:val="hybridMultilevel"/>
    <w:tmpl w:val="798C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75056A0"/>
    <w:multiLevelType w:val="hybridMultilevel"/>
    <w:tmpl w:val="0B5C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5" w15:restartNumberingAfterBreak="0">
    <w:nsid w:val="29FF49C7"/>
    <w:multiLevelType w:val="hybridMultilevel"/>
    <w:tmpl w:val="596867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3FB63AD"/>
    <w:multiLevelType w:val="hybridMultilevel"/>
    <w:tmpl w:val="512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5A819B5"/>
    <w:multiLevelType w:val="hybridMultilevel"/>
    <w:tmpl w:val="CFC8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C61174D"/>
    <w:multiLevelType w:val="hybridMultilevel"/>
    <w:tmpl w:val="24FC3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4"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5"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623D7CBE"/>
    <w:multiLevelType w:val="hybridMultilevel"/>
    <w:tmpl w:val="AC78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2"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6583991">
    <w:abstractNumId w:val="32"/>
  </w:num>
  <w:num w:numId="2" w16cid:durableId="1436559406">
    <w:abstractNumId w:val="11"/>
  </w:num>
  <w:num w:numId="3" w16cid:durableId="253907117">
    <w:abstractNumId w:val="28"/>
  </w:num>
  <w:num w:numId="4" w16cid:durableId="525602313">
    <w:abstractNumId w:val="12"/>
  </w:num>
  <w:num w:numId="5" w16cid:durableId="1209417427">
    <w:abstractNumId w:val="25"/>
  </w:num>
  <w:num w:numId="6" w16cid:durableId="1845172316">
    <w:abstractNumId w:val="1"/>
  </w:num>
  <w:num w:numId="7" w16cid:durableId="1438480131">
    <w:abstractNumId w:val="10"/>
  </w:num>
  <w:num w:numId="8" w16cid:durableId="1718582510">
    <w:abstractNumId w:val="23"/>
  </w:num>
  <w:num w:numId="9" w16cid:durableId="1928345641">
    <w:abstractNumId w:val="24"/>
  </w:num>
  <w:num w:numId="10" w16cid:durableId="545409240">
    <w:abstractNumId w:val="4"/>
  </w:num>
  <w:num w:numId="11" w16cid:durableId="328169845">
    <w:abstractNumId w:val="6"/>
  </w:num>
  <w:num w:numId="12" w16cid:durableId="2032337653">
    <w:abstractNumId w:val="2"/>
  </w:num>
  <w:num w:numId="13" w16cid:durableId="1703439367">
    <w:abstractNumId w:val="31"/>
  </w:num>
  <w:num w:numId="14" w16cid:durableId="1165167612">
    <w:abstractNumId w:val="14"/>
  </w:num>
  <w:num w:numId="15" w16cid:durableId="1380938765">
    <w:abstractNumId w:val="8"/>
  </w:num>
  <w:num w:numId="16" w16cid:durableId="1645163724">
    <w:abstractNumId w:val="19"/>
  </w:num>
  <w:num w:numId="17" w16cid:durableId="1939681479">
    <w:abstractNumId w:val="16"/>
  </w:num>
  <w:num w:numId="18" w16cid:durableId="1152793717">
    <w:abstractNumId w:val="21"/>
  </w:num>
  <w:num w:numId="19" w16cid:durableId="1325355535">
    <w:abstractNumId w:val="26"/>
  </w:num>
  <w:num w:numId="20" w16cid:durableId="1160272381">
    <w:abstractNumId w:val="5"/>
  </w:num>
  <w:num w:numId="21" w16cid:durableId="300815329">
    <w:abstractNumId w:val="29"/>
  </w:num>
  <w:num w:numId="22" w16cid:durableId="1710521516">
    <w:abstractNumId w:val="0"/>
  </w:num>
  <w:num w:numId="23" w16cid:durableId="851577871">
    <w:abstractNumId w:val="3"/>
  </w:num>
  <w:num w:numId="24" w16cid:durableId="859052017">
    <w:abstractNumId w:val="27"/>
  </w:num>
  <w:num w:numId="25" w16cid:durableId="1433012996">
    <w:abstractNumId w:val="18"/>
  </w:num>
  <w:num w:numId="26" w16cid:durableId="126246443">
    <w:abstractNumId w:val="17"/>
  </w:num>
  <w:num w:numId="27" w16cid:durableId="14603408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22684505">
    <w:abstractNumId w:val="7"/>
  </w:num>
  <w:num w:numId="29" w16cid:durableId="192118363">
    <w:abstractNumId w:val="4"/>
  </w:num>
  <w:num w:numId="30" w16cid:durableId="550653363">
    <w:abstractNumId w:val="13"/>
  </w:num>
  <w:num w:numId="31" w16cid:durableId="176508409">
    <w:abstractNumId w:val="4"/>
  </w:num>
  <w:num w:numId="32" w16cid:durableId="780683316">
    <w:abstractNumId w:val="4"/>
  </w:num>
  <w:num w:numId="33" w16cid:durableId="199248237">
    <w:abstractNumId w:val="4"/>
  </w:num>
  <w:num w:numId="34" w16cid:durableId="448738899">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84545014">
    <w:abstractNumId w:val="4"/>
  </w:num>
  <w:num w:numId="36" w16cid:durableId="1610816185">
    <w:abstractNumId w:val="4"/>
  </w:num>
  <w:num w:numId="37" w16cid:durableId="971600179">
    <w:abstractNumId w:val="4"/>
  </w:num>
  <w:num w:numId="38" w16cid:durableId="2046521468">
    <w:abstractNumId w:val="30"/>
  </w:num>
  <w:num w:numId="39" w16cid:durableId="403724901">
    <w:abstractNumId w:val="20"/>
  </w:num>
  <w:num w:numId="40" w16cid:durableId="722562909">
    <w:abstractNumId w:val="9"/>
  </w:num>
  <w:num w:numId="41" w16cid:durableId="1413310428">
    <w:abstractNumId w:val="22"/>
  </w:num>
  <w:num w:numId="42" w16cid:durableId="1714303981">
    <w:abstractNumId w:val="32"/>
    <w:lvlOverride w:ilvl="0">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197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FBE"/>
    <w:rsid w:val="00001DF1"/>
    <w:rsid w:val="00002AC5"/>
    <w:rsid w:val="00011FC6"/>
    <w:rsid w:val="0001222B"/>
    <w:rsid w:val="00015441"/>
    <w:rsid w:val="00016234"/>
    <w:rsid w:val="00017F45"/>
    <w:rsid w:val="000200AB"/>
    <w:rsid w:val="00020637"/>
    <w:rsid w:val="0002076F"/>
    <w:rsid w:val="0002231A"/>
    <w:rsid w:val="00023CA5"/>
    <w:rsid w:val="00024D0A"/>
    <w:rsid w:val="00025A5C"/>
    <w:rsid w:val="0002655B"/>
    <w:rsid w:val="00027B76"/>
    <w:rsid w:val="000300AE"/>
    <w:rsid w:val="00030385"/>
    <w:rsid w:val="0003213D"/>
    <w:rsid w:val="00035D96"/>
    <w:rsid w:val="00036EE4"/>
    <w:rsid w:val="00037552"/>
    <w:rsid w:val="000414CD"/>
    <w:rsid w:val="000453F8"/>
    <w:rsid w:val="0004740B"/>
    <w:rsid w:val="00050710"/>
    <w:rsid w:val="000523A6"/>
    <w:rsid w:val="000524FA"/>
    <w:rsid w:val="00052A67"/>
    <w:rsid w:val="00052B85"/>
    <w:rsid w:val="00053145"/>
    <w:rsid w:val="00057A05"/>
    <w:rsid w:val="00060DA1"/>
    <w:rsid w:val="0006231E"/>
    <w:rsid w:val="00062405"/>
    <w:rsid w:val="00063213"/>
    <w:rsid w:val="00063573"/>
    <w:rsid w:val="00063B7C"/>
    <w:rsid w:val="00065B8F"/>
    <w:rsid w:val="000660D6"/>
    <w:rsid w:val="000661F4"/>
    <w:rsid w:val="000675B4"/>
    <w:rsid w:val="00070065"/>
    <w:rsid w:val="0007042D"/>
    <w:rsid w:val="000710A1"/>
    <w:rsid w:val="00071FBC"/>
    <w:rsid w:val="000769BB"/>
    <w:rsid w:val="00077062"/>
    <w:rsid w:val="00077DF9"/>
    <w:rsid w:val="00077EEC"/>
    <w:rsid w:val="0008047F"/>
    <w:rsid w:val="00081BFA"/>
    <w:rsid w:val="00081C69"/>
    <w:rsid w:val="000853CB"/>
    <w:rsid w:val="000910A7"/>
    <w:rsid w:val="000919DB"/>
    <w:rsid w:val="00094BC2"/>
    <w:rsid w:val="00094C1B"/>
    <w:rsid w:val="000963D1"/>
    <w:rsid w:val="000A16C2"/>
    <w:rsid w:val="000A319C"/>
    <w:rsid w:val="000A638C"/>
    <w:rsid w:val="000A7163"/>
    <w:rsid w:val="000B1301"/>
    <w:rsid w:val="000B1CBF"/>
    <w:rsid w:val="000B34B8"/>
    <w:rsid w:val="000B4922"/>
    <w:rsid w:val="000B5939"/>
    <w:rsid w:val="000B5EBE"/>
    <w:rsid w:val="000B65FE"/>
    <w:rsid w:val="000C22B9"/>
    <w:rsid w:val="000C3B9C"/>
    <w:rsid w:val="000C4D57"/>
    <w:rsid w:val="000C4EE8"/>
    <w:rsid w:val="000C7A5D"/>
    <w:rsid w:val="000D04B0"/>
    <w:rsid w:val="000D1487"/>
    <w:rsid w:val="000D2F84"/>
    <w:rsid w:val="000D3776"/>
    <w:rsid w:val="000D6D02"/>
    <w:rsid w:val="000E0E0D"/>
    <w:rsid w:val="000E30EE"/>
    <w:rsid w:val="000E4596"/>
    <w:rsid w:val="000E4899"/>
    <w:rsid w:val="000E7E3C"/>
    <w:rsid w:val="000F3B49"/>
    <w:rsid w:val="000F6502"/>
    <w:rsid w:val="001043B0"/>
    <w:rsid w:val="00110A94"/>
    <w:rsid w:val="00110AD8"/>
    <w:rsid w:val="00112FAE"/>
    <w:rsid w:val="001131E2"/>
    <w:rsid w:val="001134E7"/>
    <w:rsid w:val="00121C0F"/>
    <w:rsid w:val="00124CBD"/>
    <w:rsid w:val="001252AE"/>
    <w:rsid w:val="00125557"/>
    <w:rsid w:val="00126E2F"/>
    <w:rsid w:val="001306F4"/>
    <w:rsid w:val="00130EC7"/>
    <w:rsid w:val="00134FDA"/>
    <w:rsid w:val="00135081"/>
    <w:rsid w:val="001352C4"/>
    <w:rsid w:val="00136466"/>
    <w:rsid w:val="001368F7"/>
    <w:rsid w:val="00140B46"/>
    <w:rsid w:val="001413FC"/>
    <w:rsid w:val="00145D3C"/>
    <w:rsid w:val="001503E8"/>
    <w:rsid w:val="00154516"/>
    <w:rsid w:val="00155A83"/>
    <w:rsid w:val="00156264"/>
    <w:rsid w:val="00156529"/>
    <w:rsid w:val="001579DA"/>
    <w:rsid w:val="00161EBC"/>
    <w:rsid w:val="00165770"/>
    <w:rsid w:val="00165B01"/>
    <w:rsid w:val="00166C1A"/>
    <w:rsid w:val="0017169E"/>
    <w:rsid w:val="0017396B"/>
    <w:rsid w:val="00175BE8"/>
    <w:rsid w:val="00175F5D"/>
    <w:rsid w:val="00177200"/>
    <w:rsid w:val="001779E5"/>
    <w:rsid w:val="00182263"/>
    <w:rsid w:val="0018281C"/>
    <w:rsid w:val="00185F6B"/>
    <w:rsid w:val="00187570"/>
    <w:rsid w:val="00192188"/>
    <w:rsid w:val="00192B09"/>
    <w:rsid w:val="001936A7"/>
    <w:rsid w:val="00193D4B"/>
    <w:rsid w:val="00194E6C"/>
    <w:rsid w:val="00196653"/>
    <w:rsid w:val="00196E29"/>
    <w:rsid w:val="00197301"/>
    <w:rsid w:val="001976DA"/>
    <w:rsid w:val="001A056C"/>
    <w:rsid w:val="001A23E4"/>
    <w:rsid w:val="001A281B"/>
    <w:rsid w:val="001A3011"/>
    <w:rsid w:val="001A48E7"/>
    <w:rsid w:val="001A73CD"/>
    <w:rsid w:val="001B06E1"/>
    <w:rsid w:val="001B1619"/>
    <w:rsid w:val="001B187B"/>
    <w:rsid w:val="001B3C11"/>
    <w:rsid w:val="001B3DA1"/>
    <w:rsid w:val="001B3FEC"/>
    <w:rsid w:val="001B49A0"/>
    <w:rsid w:val="001B5300"/>
    <w:rsid w:val="001B5C36"/>
    <w:rsid w:val="001B65B3"/>
    <w:rsid w:val="001B6878"/>
    <w:rsid w:val="001B6DC2"/>
    <w:rsid w:val="001C0AB8"/>
    <w:rsid w:val="001C187F"/>
    <w:rsid w:val="001C27F3"/>
    <w:rsid w:val="001C3567"/>
    <w:rsid w:val="001C360A"/>
    <w:rsid w:val="001C74F4"/>
    <w:rsid w:val="001D0D90"/>
    <w:rsid w:val="001D24D0"/>
    <w:rsid w:val="001D298F"/>
    <w:rsid w:val="001D3D36"/>
    <w:rsid w:val="001D6DFD"/>
    <w:rsid w:val="001D6E16"/>
    <w:rsid w:val="001E08E9"/>
    <w:rsid w:val="001E0B63"/>
    <w:rsid w:val="001E0E8C"/>
    <w:rsid w:val="001E586B"/>
    <w:rsid w:val="001E6F20"/>
    <w:rsid w:val="001F1315"/>
    <w:rsid w:val="001F1D2D"/>
    <w:rsid w:val="001F3C47"/>
    <w:rsid w:val="001F67FE"/>
    <w:rsid w:val="001F6AB0"/>
    <w:rsid w:val="0020071D"/>
    <w:rsid w:val="00201090"/>
    <w:rsid w:val="0020340C"/>
    <w:rsid w:val="00203B08"/>
    <w:rsid w:val="00204572"/>
    <w:rsid w:val="00205A28"/>
    <w:rsid w:val="00205FBE"/>
    <w:rsid w:val="00207174"/>
    <w:rsid w:val="00210375"/>
    <w:rsid w:val="002128D3"/>
    <w:rsid w:val="002132AF"/>
    <w:rsid w:val="00214828"/>
    <w:rsid w:val="00214A72"/>
    <w:rsid w:val="00215444"/>
    <w:rsid w:val="00215C91"/>
    <w:rsid w:val="00220661"/>
    <w:rsid w:val="002213B0"/>
    <w:rsid w:val="0022189B"/>
    <w:rsid w:val="002229AD"/>
    <w:rsid w:val="00224AEE"/>
    <w:rsid w:val="00225FF4"/>
    <w:rsid w:val="00230A13"/>
    <w:rsid w:val="002331C6"/>
    <w:rsid w:val="00236B76"/>
    <w:rsid w:val="002408EA"/>
    <w:rsid w:val="00241410"/>
    <w:rsid w:val="002447C0"/>
    <w:rsid w:val="00247CCD"/>
    <w:rsid w:val="002509AC"/>
    <w:rsid w:val="002549B2"/>
    <w:rsid w:val="002563DF"/>
    <w:rsid w:val="0026014A"/>
    <w:rsid w:val="0026108E"/>
    <w:rsid w:val="002614ED"/>
    <w:rsid w:val="00265142"/>
    <w:rsid w:val="00266AA6"/>
    <w:rsid w:val="00266B50"/>
    <w:rsid w:val="00270605"/>
    <w:rsid w:val="00271804"/>
    <w:rsid w:val="00271857"/>
    <w:rsid w:val="00276AC9"/>
    <w:rsid w:val="00277ED2"/>
    <w:rsid w:val="00280F8A"/>
    <w:rsid w:val="00286537"/>
    <w:rsid w:val="00286C3A"/>
    <w:rsid w:val="00287467"/>
    <w:rsid w:val="00291A5B"/>
    <w:rsid w:val="00292B2C"/>
    <w:rsid w:val="0029330E"/>
    <w:rsid w:val="002940D3"/>
    <w:rsid w:val="00296E2E"/>
    <w:rsid w:val="002A5503"/>
    <w:rsid w:val="002A5F45"/>
    <w:rsid w:val="002A6812"/>
    <w:rsid w:val="002A7339"/>
    <w:rsid w:val="002A7A24"/>
    <w:rsid w:val="002B565A"/>
    <w:rsid w:val="002B71D2"/>
    <w:rsid w:val="002C1A7E"/>
    <w:rsid w:val="002C2893"/>
    <w:rsid w:val="002C292E"/>
    <w:rsid w:val="002C3718"/>
    <w:rsid w:val="002C4126"/>
    <w:rsid w:val="002C5955"/>
    <w:rsid w:val="002C5BFD"/>
    <w:rsid w:val="002C67A8"/>
    <w:rsid w:val="002C7316"/>
    <w:rsid w:val="002C73DF"/>
    <w:rsid w:val="002D028E"/>
    <w:rsid w:val="002D12BB"/>
    <w:rsid w:val="002D20E7"/>
    <w:rsid w:val="002D2C7E"/>
    <w:rsid w:val="002D2CC4"/>
    <w:rsid w:val="002D2D5C"/>
    <w:rsid w:val="002D2FD2"/>
    <w:rsid w:val="002D58EA"/>
    <w:rsid w:val="002D7242"/>
    <w:rsid w:val="002E13A4"/>
    <w:rsid w:val="002F13B0"/>
    <w:rsid w:val="002F2EEF"/>
    <w:rsid w:val="002F3E31"/>
    <w:rsid w:val="002F58D0"/>
    <w:rsid w:val="002F67D9"/>
    <w:rsid w:val="002F69F1"/>
    <w:rsid w:val="002F6A35"/>
    <w:rsid w:val="002F70E7"/>
    <w:rsid w:val="003015B5"/>
    <w:rsid w:val="0030244C"/>
    <w:rsid w:val="003030A7"/>
    <w:rsid w:val="00304581"/>
    <w:rsid w:val="00304D9F"/>
    <w:rsid w:val="003052E9"/>
    <w:rsid w:val="00310E3D"/>
    <w:rsid w:val="00311ED0"/>
    <w:rsid w:val="00311FE4"/>
    <w:rsid w:val="003132FA"/>
    <w:rsid w:val="00314933"/>
    <w:rsid w:val="0031497D"/>
    <w:rsid w:val="00316D48"/>
    <w:rsid w:val="003170C5"/>
    <w:rsid w:val="00320EE5"/>
    <w:rsid w:val="003236DA"/>
    <w:rsid w:val="003244E5"/>
    <w:rsid w:val="00324C60"/>
    <w:rsid w:val="00326131"/>
    <w:rsid w:val="00326482"/>
    <w:rsid w:val="00330AE2"/>
    <w:rsid w:val="00330EED"/>
    <w:rsid w:val="00331B26"/>
    <w:rsid w:val="00334B01"/>
    <w:rsid w:val="003351B7"/>
    <w:rsid w:val="0033631A"/>
    <w:rsid w:val="00336946"/>
    <w:rsid w:val="00340D15"/>
    <w:rsid w:val="00341BA8"/>
    <w:rsid w:val="00343A77"/>
    <w:rsid w:val="00344166"/>
    <w:rsid w:val="00346B57"/>
    <w:rsid w:val="00347EDE"/>
    <w:rsid w:val="00351FA4"/>
    <w:rsid w:val="00351FDE"/>
    <w:rsid w:val="003524BA"/>
    <w:rsid w:val="00352FD0"/>
    <w:rsid w:val="00354D09"/>
    <w:rsid w:val="00355BED"/>
    <w:rsid w:val="0035645A"/>
    <w:rsid w:val="00357C1E"/>
    <w:rsid w:val="003604C3"/>
    <w:rsid w:val="00361432"/>
    <w:rsid w:val="00362EE3"/>
    <w:rsid w:val="00365698"/>
    <w:rsid w:val="00367685"/>
    <w:rsid w:val="00367A82"/>
    <w:rsid w:val="00370ACD"/>
    <w:rsid w:val="00371E29"/>
    <w:rsid w:val="003722FA"/>
    <w:rsid w:val="003731E6"/>
    <w:rsid w:val="00373EA4"/>
    <w:rsid w:val="00374EA0"/>
    <w:rsid w:val="00374EB6"/>
    <w:rsid w:val="00375AE7"/>
    <w:rsid w:val="00376C2A"/>
    <w:rsid w:val="00377277"/>
    <w:rsid w:val="00377304"/>
    <w:rsid w:val="00381BEA"/>
    <w:rsid w:val="00381FB7"/>
    <w:rsid w:val="00382495"/>
    <w:rsid w:val="00384141"/>
    <w:rsid w:val="003856AA"/>
    <w:rsid w:val="00386007"/>
    <w:rsid w:val="003861AC"/>
    <w:rsid w:val="003862A5"/>
    <w:rsid w:val="00390249"/>
    <w:rsid w:val="00391F56"/>
    <w:rsid w:val="003953C7"/>
    <w:rsid w:val="003A03DC"/>
    <w:rsid w:val="003A1388"/>
    <w:rsid w:val="003A1975"/>
    <w:rsid w:val="003A1DE1"/>
    <w:rsid w:val="003A39A0"/>
    <w:rsid w:val="003A3E2A"/>
    <w:rsid w:val="003B0286"/>
    <w:rsid w:val="003B091A"/>
    <w:rsid w:val="003B1C33"/>
    <w:rsid w:val="003B254D"/>
    <w:rsid w:val="003B298F"/>
    <w:rsid w:val="003B69AA"/>
    <w:rsid w:val="003C3023"/>
    <w:rsid w:val="003C39D1"/>
    <w:rsid w:val="003C7AAF"/>
    <w:rsid w:val="003C7B7D"/>
    <w:rsid w:val="003D2D5E"/>
    <w:rsid w:val="003D497C"/>
    <w:rsid w:val="003D52EA"/>
    <w:rsid w:val="003D566D"/>
    <w:rsid w:val="003D58F7"/>
    <w:rsid w:val="003D5BF8"/>
    <w:rsid w:val="003D5D5A"/>
    <w:rsid w:val="003D6018"/>
    <w:rsid w:val="003E0602"/>
    <w:rsid w:val="003E0BD4"/>
    <w:rsid w:val="003E12B1"/>
    <w:rsid w:val="003E1787"/>
    <w:rsid w:val="003E22FC"/>
    <w:rsid w:val="003F0EB9"/>
    <w:rsid w:val="003F2EC0"/>
    <w:rsid w:val="003F40D1"/>
    <w:rsid w:val="003F42F7"/>
    <w:rsid w:val="003F4970"/>
    <w:rsid w:val="003F540E"/>
    <w:rsid w:val="003F694A"/>
    <w:rsid w:val="003F7CE6"/>
    <w:rsid w:val="003F7D78"/>
    <w:rsid w:val="00401231"/>
    <w:rsid w:val="004019F6"/>
    <w:rsid w:val="00405B03"/>
    <w:rsid w:val="00405FDF"/>
    <w:rsid w:val="004068EA"/>
    <w:rsid w:val="004075B6"/>
    <w:rsid w:val="00410E4D"/>
    <w:rsid w:val="00411C38"/>
    <w:rsid w:val="0041238E"/>
    <w:rsid w:val="004150FB"/>
    <w:rsid w:val="00420952"/>
    <w:rsid w:val="00422E2D"/>
    <w:rsid w:val="00423C0E"/>
    <w:rsid w:val="00423DB4"/>
    <w:rsid w:val="0042425C"/>
    <w:rsid w:val="004247FB"/>
    <w:rsid w:val="004271A0"/>
    <w:rsid w:val="0042742A"/>
    <w:rsid w:val="004306C0"/>
    <w:rsid w:val="00431F8B"/>
    <w:rsid w:val="00440CCA"/>
    <w:rsid w:val="00442D76"/>
    <w:rsid w:val="004440AF"/>
    <w:rsid w:val="00446BEE"/>
    <w:rsid w:val="00450E6D"/>
    <w:rsid w:val="004518F7"/>
    <w:rsid w:val="0045334C"/>
    <w:rsid w:val="004539A8"/>
    <w:rsid w:val="004539D9"/>
    <w:rsid w:val="00455B14"/>
    <w:rsid w:val="00456B1D"/>
    <w:rsid w:val="00461C01"/>
    <w:rsid w:val="00462AFA"/>
    <w:rsid w:val="0046325E"/>
    <w:rsid w:val="0046445C"/>
    <w:rsid w:val="00465ED7"/>
    <w:rsid w:val="0046709A"/>
    <w:rsid w:val="00472CEC"/>
    <w:rsid w:val="00474FE4"/>
    <w:rsid w:val="004755EC"/>
    <w:rsid w:val="00475C7C"/>
    <w:rsid w:val="00475D8E"/>
    <w:rsid w:val="00476940"/>
    <w:rsid w:val="0047731B"/>
    <w:rsid w:val="004824B6"/>
    <w:rsid w:val="00482C01"/>
    <w:rsid w:val="00483498"/>
    <w:rsid w:val="0048353B"/>
    <w:rsid w:val="00486953"/>
    <w:rsid w:val="004907E0"/>
    <w:rsid w:val="0049285D"/>
    <w:rsid w:val="00492AC8"/>
    <w:rsid w:val="00492CB6"/>
    <w:rsid w:val="00496B1E"/>
    <w:rsid w:val="00497AD3"/>
    <w:rsid w:val="004A13E2"/>
    <w:rsid w:val="004A1FB6"/>
    <w:rsid w:val="004A237B"/>
    <w:rsid w:val="004A517E"/>
    <w:rsid w:val="004A664D"/>
    <w:rsid w:val="004B1325"/>
    <w:rsid w:val="004B4360"/>
    <w:rsid w:val="004B5F89"/>
    <w:rsid w:val="004B686A"/>
    <w:rsid w:val="004B688D"/>
    <w:rsid w:val="004B7792"/>
    <w:rsid w:val="004C101D"/>
    <w:rsid w:val="004C3670"/>
    <w:rsid w:val="004C3BFD"/>
    <w:rsid w:val="004C55EB"/>
    <w:rsid w:val="004C5C89"/>
    <w:rsid w:val="004D1267"/>
    <w:rsid w:val="004D26AD"/>
    <w:rsid w:val="004D2897"/>
    <w:rsid w:val="004D39E2"/>
    <w:rsid w:val="004D756F"/>
    <w:rsid w:val="004E0E78"/>
    <w:rsid w:val="004E1E77"/>
    <w:rsid w:val="004E4C4B"/>
    <w:rsid w:val="004E54B6"/>
    <w:rsid w:val="004E7D23"/>
    <w:rsid w:val="004F242D"/>
    <w:rsid w:val="004F3269"/>
    <w:rsid w:val="004F7D3A"/>
    <w:rsid w:val="005001FC"/>
    <w:rsid w:val="005025A1"/>
    <w:rsid w:val="00502C4B"/>
    <w:rsid w:val="0050409D"/>
    <w:rsid w:val="00505407"/>
    <w:rsid w:val="00505DA4"/>
    <w:rsid w:val="00506302"/>
    <w:rsid w:val="00510FAD"/>
    <w:rsid w:val="00511471"/>
    <w:rsid w:val="00511887"/>
    <w:rsid w:val="005127C1"/>
    <w:rsid w:val="005138B7"/>
    <w:rsid w:val="005143BA"/>
    <w:rsid w:val="00523BB4"/>
    <w:rsid w:val="005243EC"/>
    <w:rsid w:val="005249CF"/>
    <w:rsid w:val="00525DD1"/>
    <w:rsid w:val="00527A29"/>
    <w:rsid w:val="005343E1"/>
    <w:rsid w:val="005353CB"/>
    <w:rsid w:val="00535CCD"/>
    <w:rsid w:val="00545970"/>
    <w:rsid w:val="00550783"/>
    <w:rsid w:val="005508EE"/>
    <w:rsid w:val="005536FB"/>
    <w:rsid w:val="00555CC8"/>
    <w:rsid w:val="00556B58"/>
    <w:rsid w:val="005577FA"/>
    <w:rsid w:val="00560BB2"/>
    <w:rsid w:val="005624A2"/>
    <w:rsid w:val="0056425E"/>
    <w:rsid w:val="00565745"/>
    <w:rsid w:val="00566FFF"/>
    <w:rsid w:val="0056705D"/>
    <w:rsid w:val="00570D51"/>
    <w:rsid w:val="00571370"/>
    <w:rsid w:val="00574D9D"/>
    <w:rsid w:val="00575207"/>
    <w:rsid w:val="00577C83"/>
    <w:rsid w:val="00580FF4"/>
    <w:rsid w:val="00583913"/>
    <w:rsid w:val="005842A7"/>
    <w:rsid w:val="00584C95"/>
    <w:rsid w:val="00584CC9"/>
    <w:rsid w:val="00585C10"/>
    <w:rsid w:val="00585FCF"/>
    <w:rsid w:val="00586210"/>
    <w:rsid w:val="00586316"/>
    <w:rsid w:val="00590E29"/>
    <w:rsid w:val="005935C0"/>
    <w:rsid w:val="00596607"/>
    <w:rsid w:val="0059685A"/>
    <w:rsid w:val="005A014D"/>
    <w:rsid w:val="005A188D"/>
    <w:rsid w:val="005A1A5C"/>
    <w:rsid w:val="005A4AD8"/>
    <w:rsid w:val="005A50D3"/>
    <w:rsid w:val="005A576F"/>
    <w:rsid w:val="005A64F3"/>
    <w:rsid w:val="005A6AB3"/>
    <w:rsid w:val="005B0095"/>
    <w:rsid w:val="005B4605"/>
    <w:rsid w:val="005B4EA2"/>
    <w:rsid w:val="005B5C8B"/>
    <w:rsid w:val="005B6D38"/>
    <w:rsid w:val="005B73E7"/>
    <w:rsid w:val="005C05E1"/>
    <w:rsid w:val="005C3893"/>
    <w:rsid w:val="005C5E41"/>
    <w:rsid w:val="005C7DB5"/>
    <w:rsid w:val="005D15B9"/>
    <w:rsid w:val="005D1E0A"/>
    <w:rsid w:val="005D352A"/>
    <w:rsid w:val="005D4C95"/>
    <w:rsid w:val="005E0AC1"/>
    <w:rsid w:val="005E2D54"/>
    <w:rsid w:val="005E437F"/>
    <w:rsid w:val="005E58ED"/>
    <w:rsid w:val="005E62A7"/>
    <w:rsid w:val="005E6B30"/>
    <w:rsid w:val="005F25FD"/>
    <w:rsid w:val="005F3989"/>
    <w:rsid w:val="005F3C5C"/>
    <w:rsid w:val="005F50DD"/>
    <w:rsid w:val="005F5AFD"/>
    <w:rsid w:val="005F6BB8"/>
    <w:rsid w:val="005F6F0A"/>
    <w:rsid w:val="005F7681"/>
    <w:rsid w:val="00601291"/>
    <w:rsid w:val="0060351B"/>
    <w:rsid w:val="00607959"/>
    <w:rsid w:val="0061221F"/>
    <w:rsid w:val="00614078"/>
    <w:rsid w:val="006150A0"/>
    <w:rsid w:val="0062228B"/>
    <w:rsid w:val="00624430"/>
    <w:rsid w:val="00625AEE"/>
    <w:rsid w:val="00627687"/>
    <w:rsid w:val="006276D1"/>
    <w:rsid w:val="006279C2"/>
    <w:rsid w:val="00637F2A"/>
    <w:rsid w:val="00642C45"/>
    <w:rsid w:val="0064313B"/>
    <w:rsid w:val="006434DF"/>
    <w:rsid w:val="0064604F"/>
    <w:rsid w:val="00651D20"/>
    <w:rsid w:val="006523CB"/>
    <w:rsid w:val="0065348A"/>
    <w:rsid w:val="006557A6"/>
    <w:rsid w:val="00657C65"/>
    <w:rsid w:val="006635D1"/>
    <w:rsid w:val="006639FD"/>
    <w:rsid w:val="00664F8F"/>
    <w:rsid w:val="00666A4E"/>
    <w:rsid w:val="00667C21"/>
    <w:rsid w:val="00667CFA"/>
    <w:rsid w:val="00670FFB"/>
    <w:rsid w:val="006775AB"/>
    <w:rsid w:val="006802CA"/>
    <w:rsid w:val="006814B9"/>
    <w:rsid w:val="00683039"/>
    <w:rsid w:val="0068417E"/>
    <w:rsid w:val="00684913"/>
    <w:rsid w:val="00684E13"/>
    <w:rsid w:val="00685588"/>
    <w:rsid w:val="006862FD"/>
    <w:rsid w:val="00686D56"/>
    <w:rsid w:val="006921E1"/>
    <w:rsid w:val="00692F13"/>
    <w:rsid w:val="0069305B"/>
    <w:rsid w:val="006937D0"/>
    <w:rsid w:val="00693996"/>
    <w:rsid w:val="006948AC"/>
    <w:rsid w:val="00696325"/>
    <w:rsid w:val="006966FC"/>
    <w:rsid w:val="006A2C36"/>
    <w:rsid w:val="006A5E06"/>
    <w:rsid w:val="006B17FD"/>
    <w:rsid w:val="006B3CE0"/>
    <w:rsid w:val="006B44E2"/>
    <w:rsid w:val="006C0C61"/>
    <w:rsid w:val="006D3DC4"/>
    <w:rsid w:val="006D4325"/>
    <w:rsid w:val="006D55A6"/>
    <w:rsid w:val="006D6BD0"/>
    <w:rsid w:val="006E09CB"/>
    <w:rsid w:val="006E2124"/>
    <w:rsid w:val="006E23A2"/>
    <w:rsid w:val="006E303F"/>
    <w:rsid w:val="006E46C1"/>
    <w:rsid w:val="006E4E37"/>
    <w:rsid w:val="006E5D76"/>
    <w:rsid w:val="006F17D4"/>
    <w:rsid w:val="006F255A"/>
    <w:rsid w:val="006F2843"/>
    <w:rsid w:val="006F6463"/>
    <w:rsid w:val="0070542C"/>
    <w:rsid w:val="007067D1"/>
    <w:rsid w:val="00713287"/>
    <w:rsid w:val="007136A7"/>
    <w:rsid w:val="007139DD"/>
    <w:rsid w:val="007143AC"/>
    <w:rsid w:val="00716007"/>
    <w:rsid w:val="00716835"/>
    <w:rsid w:val="00716ACF"/>
    <w:rsid w:val="007210C5"/>
    <w:rsid w:val="00726FF0"/>
    <w:rsid w:val="00727230"/>
    <w:rsid w:val="00730AA4"/>
    <w:rsid w:val="0073113B"/>
    <w:rsid w:val="00732C44"/>
    <w:rsid w:val="00734CC7"/>
    <w:rsid w:val="00736348"/>
    <w:rsid w:val="00736448"/>
    <w:rsid w:val="00736D41"/>
    <w:rsid w:val="00736E0A"/>
    <w:rsid w:val="00737F84"/>
    <w:rsid w:val="00740203"/>
    <w:rsid w:val="007434C4"/>
    <w:rsid w:val="007469C6"/>
    <w:rsid w:val="00746C13"/>
    <w:rsid w:val="00747C1C"/>
    <w:rsid w:val="007522A0"/>
    <w:rsid w:val="00752F55"/>
    <w:rsid w:val="00755281"/>
    <w:rsid w:val="007573F4"/>
    <w:rsid w:val="007574DD"/>
    <w:rsid w:val="00760E09"/>
    <w:rsid w:val="00762D25"/>
    <w:rsid w:val="00762FFF"/>
    <w:rsid w:val="00763FE4"/>
    <w:rsid w:val="007646C3"/>
    <w:rsid w:val="007647C1"/>
    <w:rsid w:val="00765397"/>
    <w:rsid w:val="007656F9"/>
    <w:rsid w:val="0076595B"/>
    <w:rsid w:val="007662E4"/>
    <w:rsid w:val="0076743A"/>
    <w:rsid w:val="00770B9A"/>
    <w:rsid w:val="007718E7"/>
    <w:rsid w:val="007813D2"/>
    <w:rsid w:val="007825BE"/>
    <w:rsid w:val="007831FB"/>
    <w:rsid w:val="007839C3"/>
    <w:rsid w:val="00783E53"/>
    <w:rsid w:val="00785266"/>
    <w:rsid w:val="00785616"/>
    <w:rsid w:val="007910D0"/>
    <w:rsid w:val="00791BB8"/>
    <w:rsid w:val="00792D69"/>
    <w:rsid w:val="007969DF"/>
    <w:rsid w:val="00796B64"/>
    <w:rsid w:val="0079772A"/>
    <w:rsid w:val="007977F2"/>
    <w:rsid w:val="007A67D6"/>
    <w:rsid w:val="007B1A6C"/>
    <w:rsid w:val="007B5378"/>
    <w:rsid w:val="007C1642"/>
    <w:rsid w:val="007C33F3"/>
    <w:rsid w:val="007C4561"/>
    <w:rsid w:val="007C4814"/>
    <w:rsid w:val="007C4D5D"/>
    <w:rsid w:val="007C516A"/>
    <w:rsid w:val="007C6CFD"/>
    <w:rsid w:val="007D28D7"/>
    <w:rsid w:val="007D31FD"/>
    <w:rsid w:val="007E1B11"/>
    <w:rsid w:val="007E2014"/>
    <w:rsid w:val="007E21F8"/>
    <w:rsid w:val="007E2696"/>
    <w:rsid w:val="007E3374"/>
    <w:rsid w:val="007E4F40"/>
    <w:rsid w:val="007E6A87"/>
    <w:rsid w:val="007E78BD"/>
    <w:rsid w:val="007F0FE0"/>
    <w:rsid w:val="007F14A6"/>
    <w:rsid w:val="007F71A5"/>
    <w:rsid w:val="007F744E"/>
    <w:rsid w:val="007F7F72"/>
    <w:rsid w:val="008010D5"/>
    <w:rsid w:val="0080217C"/>
    <w:rsid w:val="00802583"/>
    <w:rsid w:val="00802828"/>
    <w:rsid w:val="0080288C"/>
    <w:rsid w:val="0080417F"/>
    <w:rsid w:val="00804466"/>
    <w:rsid w:val="00806468"/>
    <w:rsid w:val="00806DBE"/>
    <w:rsid w:val="00807FF1"/>
    <w:rsid w:val="008100D4"/>
    <w:rsid w:val="00810C89"/>
    <w:rsid w:val="00813634"/>
    <w:rsid w:val="008137AD"/>
    <w:rsid w:val="008138B2"/>
    <w:rsid w:val="00813C4A"/>
    <w:rsid w:val="00815862"/>
    <w:rsid w:val="00816028"/>
    <w:rsid w:val="00817C3D"/>
    <w:rsid w:val="00820118"/>
    <w:rsid w:val="00821660"/>
    <w:rsid w:val="00822301"/>
    <w:rsid w:val="00822F81"/>
    <w:rsid w:val="00826926"/>
    <w:rsid w:val="008274B0"/>
    <w:rsid w:val="0082752E"/>
    <w:rsid w:val="008318F6"/>
    <w:rsid w:val="0083313E"/>
    <w:rsid w:val="008331BB"/>
    <w:rsid w:val="008338B5"/>
    <w:rsid w:val="00833D43"/>
    <w:rsid w:val="00837C4E"/>
    <w:rsid w:val="00840FF7"/>
    <w:rsid w:val="00841169"/>
    <w:rsid w:val="00844032"/>
    <w:rsid w:val="008443D8"/>
    <w:rsid w:val="008445E7"/>
    <w:rsid w:val="00847D3A"/>
    <w:rsid w:val="00855549"/>
    <w:rsid w:val="00856B02"/>
    <w:rsid w:val="0086032D"/>
    <w:rsid w:val="00861B3D"/>
    <w:rsid w:val="00862879"/>
    <w:rsid w:val="00865CE7"/>
    <w:rsid w:val="00866F83"/>
    <w:rsid w:val="0086701C"/>
    <w:rsid w:val="00867262"/>
    <w:rsid w:val="00870BDD"/>
    <w:rsid w:val="008717F1"/>
    <w:rsid w:val="00876D05"/>
    <w:rsid w:val="00876F5C"/>
    <w:rsid w:val="00880ED3"/>
    <w:rsid w:val="00883721"/>
    <w:rsid w:val="008879EC"/>
    <w:rsid w:val="00890137"/>
    <w:rsid w:val="008904D0"/>
    <w:rsid w:val="008924E3"/>
    <w:rsid w:val="0089270D"/>
    <w:rsid w:val="00897332"/>
    <w:rsid w:val="008A1DAE"/>
    <w:rsid w:val="008A247E"/>
    <w:rsid w:val="008A290E"/>
    <w:rsid w:val="008A2C2A"/>
    <w:rsid w:val="008A35A2"/>
    <w:rsid w:val="008A3D62"/>
    <w:rsid w:val="008A6605"/>
    <w:rsid w:val="008A6A0C"/>
    <w:rsid w:val="008B183A"/>
    <w:rsid w:val="008B4B98"/>
    <w:rsid w:val="008C00A5"/>
    <w:rsid w:val="008C183F"/>
    <w:rsid w:val="008C1C95"/>
    <w:rsid w:val="008C3D9F"/>
    <w:rsid w:val="008C4122"/>
    <w:rsid w:val="008C669E"/>
    <w:rsid w:val="008D2A77"/>
    <w:rsid w:val="008D2EC9"/>
    <w:rsid w:val="008D34F8"/>
    <w:rsid w:val="008D36B6"/>
    <w:rsid w:val="008D4098"/>
    <w:rsid w:val="008D62F8"/>
    <w:rsid w:val="008D652E"/>
    <w:rsid w:val="008D6A3E"/>
    <w:rsid w:val="008E1B3C"/>
    <w:rsid w:val="008E4419"/>
    <w:rsid w:val="008E56A4"/>
    <w:rsid w:val="008E5BA8"/>
    <w:rsid w:val="008E664D"/>
    <w:rsid w:val="008E6FCA"/>
    <w:rsid w:val="008F2FAE"/>
    <w:rsid w:val="008F4B70"/>
    <w:rsid w:val="008F4E22"/>
    <w:rsid w:val="008F4ED3"/>
    <w:rsid w:val="008F61C4"/>
    <w:rsid w:val="009019A9"/>
    <w:rsid w:val="009024D7"/>
    <w:rsid w:val="00904368"/>
    <w:rsid w:val="00904953"/>
    <w:rsid w:val="009052F5"/>
    <w:rsid w:val="009072F7"/>
    <w:rsid w:val="00907BFE"/>
    <w:rsid w:val="00907C13"/>
    <w:rsid w:val="00907DF5"/>
    <w:rsid w:val="00910C1F"/>
    <w:rsid w:val="00911263"/>
    <w:rsid w:val="0091321D"/>
    <w:rsid w:val="0091369D"/>
    <w:rsid w:val="0091391C"/>
    <w:rsid w:val="00913E52"/>
    <w:rsid w:val="00916CED"/>
    <w:rsid w:val="00917909"/>
    <w:rsid w:val="00917D07"/>
    <w:rsid w:val="0092122F"/>
    <w:rsid w:val="009225D9"/>
    <w:rsid w:val="0092393F"/>
    <w:rsid w:val="0092431B"/>
    <w:rsid w:val="00925F15"/>
    <w:rsid w:val="0092757A"/>
    <w:rsid w:val="00930715"/>
    <w:rsid w:val="0093101C"/>
    <w:rsid w:val="0093543E"/>
    <w:rsid w:val="00937B7D"/>
    <w:rsid w:val="00937E8B"/>
    <w:rsid w:val="00941616"/>
    <w:rsid w:val="009460E7"/>
    <w:rsid w:val="00947FDB"/>
    <w:rsid w:val="00952219"/>
    <w:rsid w:val="009539B0"/>
    <w:rsid w:val="009543A4"/>
    <w:rsid w:val="00955F17"/>
    <w:rsid w:val="009562D0"/>
    <w:rsid w:val="00957124"/>
    <w:rsid w:val="00960B9B"/>
    <w:rsid w:val="00960CC3"/>
    <w:rsid w:val="0096180D"/>
    <w:rsid w:val="00961E3B"/>
    <w:rsid w:val="00962360"/>
    <w:rsid w:val="009669AD"/>
    <w:rsid w:val="00966EB0"/>
    <w:rsid w:val="00970115"/>
    <w:rsid w:val="00972945"/>
    <w:rsid w:val="00973C64"/>
    <w:rsid w:val="00974384"/>
    <w:rsid w:val="00974D81"/>
    <w:rsid w:val="00976903"/>
    <w:rsid w:val="00977F9C"/>
    <w:rsid w:val="00983AF5"/>
    <w:rsid w:val="00986AA9"/>
    <w:rsid w:val="00987296"/>
    <w:rsid w:val="00987B83"/>
    <w:rsid w:val="00987E66"/>
    <w:rsid w:val="00990173"/>
    <w:rsid w:val="00992244"/>
    <w:rsid w:val="00993567"/>
    <w:rsid w:val="00994CE5"/>
    <w:rsid w:val="00995A38"/>
    <w:rsid w:val="009965E1"/>
    <w:rsid w:val="009A23F7"/>
    <w:rsid w:val="009A2B2A"/>
    <w:rsid w:val="009A38DA"/>
    <w:rsid w:val="009A3F7F"/>
    <w:rsid w:val="009A4775"/>
    <w:rsid w:val="009A75C4"/>
    <w:rsid w:val="009B0897"/>
    <w:rsid w:val="009B2421"/>
    <w:rsid w:val="009B276A"/>
    <w:rsid w:val="009B3223"/>
    <w:rsid w:val="009B4063"/>
    <w:rsid w:val="009B52E5"/>
    <w:rsid w:val="009B5C5F"/>
    <w:rsid w:val="009C0968"/>
    <w:rsid w:val="009C1354"/>
    <w:rsid w:val="009C3C0C"/>
    <w:rsid w:val="009C3CDC"/>
    <w:rsid w:val="009C5ADA"/>
    <w:rsid w:val="009C6214"/>
    <w:rsid w:val="009C77BF"/>
    <w:rsid w:val="009D02ED"/>
    <w:rsid w:val="009D1D56"/>
    <w:rsid w:val="009D1EB8"/>
    <w:rsid w:val="009D3923"/>
    <w:rsid w:val="009D49AA"/>
    <w:rsid w:val="009D4FBB"/>
    <w:rsid w:val="009D7602"/>
    <w:rsid w:val="009E3151"/>
    <w:rsid w:val="009E680B"/>
    <w:rsid w:val="009F1902"/>
    <w:rsid w:val="009F4086"/>
    <w:rsid w:val="009F4F44"/>
    <w:rsid w:val="009F7239"/>
    <w:rsid w:val="00A0188E"/>
    <w:rsid w:val="00A0249B"/>
    <w:rsid w:val="00A0479E"/>
    <w:rsid w:val="00A05248"/>
    <w:rsid w:val="00A05C88"/>
    <w:rsid w:val="00A07644"/>
    <w:rsid w:val="00A11761"/>
    <w:rsid w:val="00A11ECD"/>
    <w:rsid w:val="00A12BE0"/>
    <w:rsid w:val="00A137EF"/>
    <w:rsid w:val="00A144F8"/>
    <w:rsid w:val="00A1592C"/>
    <w:rsid w:val="00A15A1F"/>
    <w:rsid w:val="00A16F4B"/>
    <w:rsid w:val="00A17B57"/>
    <w:rsid w:val="00A240EE"/>
    <w:rsid w:val="00A25B7F"/>
    <w:rsid w:val="00A264CE"/>
    <w:rsid w:val="00A3050E"/>
    <w:rsid w:val="00A30543"/>
    <w:rsid w:val="00A305B3"/>
    <w:rsid w:val="00A31413"/>
    <w:rsid w:val="00A32C40"/>
    <w:rsid w:val="00A3325A"/>
    <w:rsid w:val="00A356D3"/>
    <w:rsid w:val="00A364B1"/>
    <w:rsid w:val="00A4094A"/>
    <w:rsid w:val="00A426BE"/>
    <w:rsid w:val="00A526EF"/>
    <w:rsid w:val="00A53E97"/>
    <w:rsid w:val="00A54F81"/>
    <w:rsid w:val="00A60794"/>
    <w:rsid w:val="00A611CE"/>
    <w:rsid w:val="00A614C6"/>
    <w:rsid w:val="00A7018B"/>
    <w:rsid w:val="00A70A7A"/>
    <w:rsid w:val="00A71410"/>
    <w:rsid w:val="00A7417D"/>
    <w:rsid w:val="00A74AE2"/>
    <w:rsid w:val="00A756BB"/>
    <w:rsid w:val="00A756F9"/>
    <w:rsid w:val="00A75FAA"/>
    <w:rsid w:val="00A77B63"/>
    <w:rsid w:val="00A80975"/>
    <w:rsid w:val="00A80F87"/>
    <w:rsid w:val="00A8249A"/>
    <w:rsid w:val="00A85968"/>
    <w:rsid w:val="00A866E2"/>
    <w:rsid w:val="00A879B5"/>
    <w:rsid w:val="00A90FB2"/>
    <w:rsid w:val="00A922F5"/>
    <w:rsid w:val="00A9270F"/>
    <w:rsid w:val="00A96317"/>
    <w:rsid w:val="00A9690E"/>
    <w:rsid w:val="00A9779D"/>
    <w:rsid w:val="00AA0FF3"/>
    <w:rsid w:val="00AA276F"/>
    <w:rsid w:val="00AA32D3"/>
    <w:rsid w:val="00AA4327"/>
    <w:rsid w:val="00AA5CBC"/>
    <w:rsid w:val="00AA74EB"/>
    <w:rsid w:val="00AA7A0F"/>
    <w:rsid w:val="00AB09A9"/>
    <w:rsid w:val="00AB123A"/>
    <w:rsid w:val="00AB1BBA"/>
    <w:rsid w:val="00AB3D08"/>
    <w:rsid w:val="00AB487A"/>
    <w:rsid w:val="00AB5614"/>
    <w:rsid w:val="00AB744E"/>
    <w:rsid w:val="00AC0698"/>
    <w:rsid w:val="00AC2019"/>
    <w:rsid w:val="00AC2382"/>
    <w:rsid w:val="00AC3D03"/>
    <w:rsid w:val="00AC63A6"/>
    <w:rsid w:val="00AC7C93"/>
    <w:rsid w:val="00AD09F8"/>
    <w:rsid w:val="00AD23FF"/>
    <w:rsid w:val="00AD3BCE"/>
    <w:rsid w:val="00AD411D"/>
    <w:rsid w:val="00AD56B1"/>
    <w:rsid w:val="00AD6864"/>
    <w:rsid w:val="00AD7CB3"/>
    <w:rsid w:val="00AE0661"/>
    <w:rsid w:val="00AE22A6"/>
    <w:rsid w:val="00AE38DB"/>
    <w:rsid w:val="00AE495F"/>
    <w:rsid w:val="00AE537D"/>
    <w:rsid w:val="00AE5576"/>
    <w:rsid w:val="00AE5854"/>
    <w:rsid w:val="00AE76CB"/>
    <w:rsid w:val="00AF108A"/>
    <w:rsid w:val="00AF10F5"/>
    <w:rsid w:val="00AF1393"/>
    <w:rsid w:val="00AF27B4"/>
    <w:rsid w:val="00AF5D31"/>
    <w:rsid w:val="00AF6DD8"/>
    <w:rsid w:val="00B01831"/>
    <w:rsid w:val="00B0269C"/>
    <w:rsid w:val="00B02E55"/>
    <w:rsid w:val="00B03527"/>
    <w:rsid w:val="00B0389A"/>
    <w:rsid w:val="00B0538C"/>
    <w:rsid w:val="00B06D4E"/>
    <w:rsid w:val="00B11A62"/>
    <w:rsid w:val="00B14C5C"/>
    <w:rsid w:val="00B14C68"/>
    <w:rsid w:val="00B14DDE"/>
    <w:rsid w:val="00B157D0"/>
    <w:rsid w:val="00B15EF3"/>
    <w:rsid w:val="00B17751"/>
    <w:rsid w:val="00B17DE0"/>
    <w:rsid w:val="00B20293"/>
    <w:rsid w:val="00B22A36"/>
    <w:rsid w:val="00B2396B"/>
    <w:rsid w:val="00B265EB"/>
    <w:rsid w:val="00B27031"/>
    <w:rsid w:val="00B307EC"/>
    <w:rsid w:val="00B32429"/>
    <w:rsid w:val="00B341DA"/>
    <w:rsid w:val="00B44CE2"/>
    <w:rsid w:val="00B453BB"/>
    <w:rsid w:val="00B50B39"/>
    <w:rsid w:val="00B5274E"/>
    <w:rsid w:val="00B53A23"/>
    <w:rsid w:val="00B54BE5"/>
    <w:rsid w:val="00B55D4E"/>
    <w:rsid w:val="00B570F4"/>
    <w:rsid w:val="00B57BE4"/>
    <w:rsid w:val="00B6709F"/>
    <w:rsid w:val="00B67460"/>
    <w:rsid w:val="00B67A85"/>
    <w:rsid w:val="00B70575"/>
    <w:rsid w:val="00B70FFB"/>
    <w:rsid w:val="00B712E5"/>
    <w:rsid w:val="00B72513"/>
    <w:rsid w:val="00B73B73"/>
    <w:rsid w:val="00B77084"/>
    <w:rsid w:val="00B80DC7"/>
    <w:rsid w:val="00B8205D"/>
    <w:rsid w:val="00B8239B"/>
    <w:rsid w:val="00B8344E"/>
    <w:rsid w:val="00B847E6"/>
    <w:rsid w:val="00B854AD"/>
    <w:rsid w:val="00B86D83"/>
    <w:rsid w:val="00B87486"/>
    <w:rsid w:val="00B909E1"/>
    <w:rsid w:val="00B91264"/>
    <w:rsid w:val="00B94316"/>
    <w:rsid w:val="00B956ED"/>
    <w:rsid w:val="00B95E5A"/>
    <w:rsid w:val="00B96E71"/>
    <w:rsid w:val="00B97C95"/>
    <w:rsid w:val="00BA02F9"/>
    <w:rsid w:val="00BA164A"/>
    <w:rsid w:val="00BA31F9"/>
    <w:rsid w:val="00BA3317"/>
    <w:rsid w:val="00BA3FDA"/>
    <w:rsid w:val="00BA4313"/>
    <w:rsid w:val="00BA4784"/>
    <w:rsid w:val="00BA49EA"/>
    <w:rsid w:val="00BA4F42"/>
    <w:rsid w:val="00BA513C"/>
    <w:rsid w:val="00BA570A"/>
    <w:rsid w:val="00BA714E"/>
    <w:rsid w:val="00BA7AA3"/>
    <w:rsid w:val="00BB14CA"/>
    <w:rsid w:val="00BB306E"/>
    <w:rsid w:val="00BB4FE5"/>
    <w:rsid w:val="00BB544C"/>
    <w:rsid w:val="00BB5876"/>
    <w:rsid w:val="00BB6334"/>
    <w:rsid w:val="00BB6352"/>
    <w:rsid w:val="00BB716A"/>
    <w:rsid w:val="00BC0422"/>
    <w:rsid w:val="00BC0BE8"/>
    <w:rsid w:val="00BC2765"/>
    <w:rsid w:val="00BC3D2A"/>
    <w:rsid w:val="00BC402A"/>
    <w:rsid w:val="00BC4575"/>
    <w:rsid w:val="00BC4CA0"/>
    <w:rsid w:val="00BC6FC8"/>
    <w:rsid w:val="00BC7ABB"/>
    <w:rsid w:val="00BD079D"/>
    <w:rsid w:val="00BD2A8E"/>
    <w:rsid w:val="00BD3051"/>
    <w:rsid w:val="00BD38BB"/>
    <w:rsid w:val="00BD4879"/>
    <w:rsid w:val="00BD50F7"/>
    <w:rsid w:val="00BD5FB3"/>
    <w:rsid w:val="00BD674E"/>
    <w:rsid w:val="00BE10A8"/>
    <w:rsid w:val="00BE2BC8"/>
    <w:rsid w:val="00BE387B"/>
    <w:rsid w:val="00BE5835"/>
    <w:rsid w:val="00BE5D71"/>
    <w:rsid w:val="00BE7D2D"/>
    <w:rsid w:val="00BF0116"/>
    <w:rsid w:val="00BF1474"/>
    <w:rsid w:val="00BF24FE"/>
    <w:rsid w:val="00BF28F7"/>
    <w:rsid w:val="00BF3B0A"/>
    <w:rsid w:val="00BF4B06"/>
    <w:rsid w:val="00BF54C1"/>
    <w:rsid w:val="00BF5BDB"/>
    <w:rsid w:val="00BF7FE0"/>
    <w:rsid w:val="00C0050E"/>
    <w:rsid w:val="00C026AC"/>
    <w:rsid w:val="00C0570D"/>
    <w:rsid w:val="00C130C8"/>
    <w:rsid w:val="00C13168"/>
    <w:rsid w:val="00C13F60"/>
    <w:rsid w:val="00C14404"/>
    <w:rsid w:val="00C17D6A"/>
    <w:rsid w:val="00C203C9"/>
    <w:rsid w:val="00C22E43"/>
    <w:rsid w:val="00C23238"/>
    <w:rsid w:val="00C235DF"/>
    <w:rsid w:val="00C2539E"/>
    <w:rsid w:val="00C278DE"/>
    <w:rsid w:val="00C2796B"/>
    <w:rsid w:val="00C3004B"/>
    <w:rsid w:val="00C31F4C"/>
    <w:rsid w:val="00C3209A"/>
    <w:rsid w:val="00C32ADC"/>
    <w:rsid w:val="00C35755"/>
    <w:rsid w:val="00C42E13"/>
    <w:rsid w:val="00C4427F"/>
    <w:rsid w:val="00C47DDE"/>
    <w:rsid w:val="00C50912"/>
    <w:rsid w:val="00C50FF0"/>
    <w:rsid w:val="00C56073"/>
    <w:rsid w:val="00C578C1"/>
    <w:rsid w:val="00C57E04"/>
    <w:rsid w:val="00C63347"/>
    <w:rsid w:val="00C64D23"/>
    <w:rsid w:val="00C67B74"/>
    <w:rsid w:val="00C70124"/>
    <w:rsid w:val="00C7123A"/>
    <w:rsid w:val="00C7128F"/>
    <w:rsid w:val="00C71666"/>
    <w:rsid w:val="00C7331B"/>
    <w:rsid w:val="00C74667"/>
    <w:rsid w:val="00C74D07"/>
    <w:rsid w:val="00C803FD"/>
    <w:rsid w:val="00C80EB4"/>
    <w:rsid w:val="00C8156F"/>
    <w:rsid w:val="00C83C1A"/>
    <w:rsid w:val="00C86682"/>
    <w:rsid w:val="00C90846"/>
    <w:rsid w:val="00C92700"/>
    <w:rsid w:val="00C92E3F"/>
    <w:rsid w:val="00C94681"/>
    <w:rsid w:val="00C95866"/>
    <w:rsid w:val="00CA129E"/>
    <w:rsid w:val="00CA20B5"/>
    <w:rsid w:val="00CA3562"/>
    <w:rsid w:val="00CA371D"/>
    <w:rsid w:val="00CA6681"/>
    <w:rsid w:val="00CA77AE"/>
    <w:rsid w:val="00CB0A27"/>
    <w:rsid w:val="00CB2154"/>
    <w:rsid w:val="00CB35D9"/>
    <w:rsid w:val="00CB4A8A"/>
    <w:rsid w:val="00CB60DD"/>
    <w:rsid w:val="00CB6E1F"/>
    <w:rsid w:val="00CB7E4D"/>
    <w:rsid w:val="00CC04DE"/>
    <w:rsid w:val="00CC12E7"/>
    <w:rsid w:val="00CC3889"/>
    <w:rsid w:val="00CC3F84"/>
    <w:rsid w:val="00CC4169"/>
    <w:rsid w:val="00CC6E2D"/>
    <w:rsid w:val="00CD24A8"/>
    <w:rsid w:val="00CD315A"/>
    <w:rsid w:val="00CD319A"/>
    <w:rsid w:val="00CD39BF"/>
    <w:rsid w:val="00CD5502"/>
    <w:rsid w:val="00CD769D"/>
    <w:rsid w:val="00CE0526"/>
    <w:rsid w:val="00CE1ED9"/>
    <w:rsid w:val="00CE3665"/>
    <w:rsid w:val="00CE3A62"/>
    <w:rsid w:val="00CE4F42"/>
    <w:rsid w:val="00CF0BB4"/>
    <w:rsid w:val="00CF1333"/>
    <w:rsid w:val="00CF1BB4"/>
    <w:rsid w:val="00CF2FF8"/>
    <w:rsid w:val="00CF3F6B"/>
    <w:rsid w:val="00CF4851"/>
    <w:rsid w:val="00CF58B7"/>
    <w:rsid w:val="00CF5DD6"/>
    <w:rsid w:val="00D0069F"/>
    <w:rsid w:val="00D007C0"/>
    <w:rsid w:val="00D05493"/>
    <w:rsid w:val="00D11C27"/>
    <w:rsid w:val="00D13EFE"/>
    <w:rsid w:val="00D148D5"/>
    <w:rsid w:val="00D1616C"/>
    <w:rsid w:val="00D1668B"/>
    <w:rsid w:val="00D16E6A"/>
    <w:rsid w:val="00D172EA"/>
    <w:rsid w:val="00D1792B"/>
    <w:rsid w:val="00D224A1"/>
    <w:rsid w:val="00D2279D"/>
    <w:rsid w:val="00D2772A"/>
    <w:rsid w:val="00D33FC2"/>
    <w:rsid w:val="00D349ED"/>
    <w:rsid w:val="00D351C1"/>
    <w:rsid w:val="00D35E64"/>
    <w:rsid w:val="00D36CA3"/>
    <w:rsid w:val="00D41537"/>
    <w:rsid w:val="00D4249C"/>
    <w:rsid w:val="00D428BC"/>
    <w:rsid w:val="00D44776"/>
    <w:rsid w:val="00D44CE7"/>
    <w:rsid w:val="00D45804"/>
    <w:rsid w:val="00D46BC7"/>
    <w:rsid w:val="00D47082"/>
    <w:rsid w:val="00D51245"/>
    <w:rsid w:val="00D532B8"/>
    <w:rsid w:val="00D54B6F"/>
    <w:rsid w:val="00D54D38"/>
    <w:rsid w:val="00D54E73"/>
    <w:rsid w:val="00D575A3"/>
    <w:rsid w:val="00D613A6"/>
    <w:rsid w:val="00D617A6"/>
    <w:rsid w:val="00D650EA"/>
    <w:rsid w:val="00D72C40"/>
    <w:rsid w:val="00D737C5"/>
    <w:rsid w:val="00D73835"/>
    <w:rsid w:val="00D76F5A"/>
    <w:rsid w:val="00D7722A"/>
    <w:rsid w:val="00D80B1B"/>
    <w:rsid w:val="00D82293"/>
    <w:rsid w:val="00D8405B"/>
    <w:rsid w:val="00D84E7D"/>
    <w:rsid w:val="00D86BF0"/>
    <w:rsid w:val="00D86DCB"/>
    <w:rsid w:val="00D91BA1"/>
    <w:rsid w:val="00D9266C"/>
    <w:rsid w:val="00D9350B"/>
    <w:rsid w:val="00D939B7"/>
    <w:rsid w:val="00D950D8"/>
    <w:rsid w:val="00D95477"/>
    <w:rsid w:val="00D961B8"/>
    <w:rsid w:val="00DA1511"/>
    <w:rsid w:val="00DA6FB8"/>
    <w:rsid w:val="00DA777A"/>
    <w:rsid w:val="00DB0188"/>
    <w:rsid w:val="00DB26A8"/>
    <w:rsid w:val="00DB3C58"/>
    <w:rsid w:val="00DB4AFB"/>
    <w:rsid w:val="00DB4F9F"/>
    <w:rsid w:val="00DB5728"/>
    <w:rsid w:val="00DB5AE0"/>
    <w:rsid w:val="00DB6161"/>
    <w:rsid w:val="00DB65B9"/>
    <w:rsid w:val="00DB70FB"/>
    <w:rsid w:val="00DB7166"/>
    <w:rsid w:val="00DC0CD5"/>
    <w:rsid w:val="00DC334D"/>
    <w:rsid w:val="00DC6AAD"/>
    <w:rsid w:val="00DE165D"/>
    <w:rsid w:val="00DE2FD7"/>
    <w:rsid w:val="00DE45A3"/>
    <w:rsid w:val="00DE466D"/>
    <w:rsid w:val="00DE5EE7"/>
    <w:rsid w:val="00DF1EC1"/>
    <w:rsid w:val="00DF343E"/>
    <w:rsid w:val="00DF67C3"/>
    <w:rsid w:val="00DF6CEB"/>
    <w:rsid w:val="00E0098A"/>
    <w:rsid w:val="00E009D9"/>
    <w:rsid w:val="00E03F71"/>
    <w:rsid w:val="00E045EE"/>
    <w:rsid w:val="00E06ED0"/>
    <w:rsid w:val="00E1082D"/>
    <w:rsid w:val="00E130CB"/>
    <w:rsid w:val="00E14934"/>
    <w:rsid w:val="00E172BE"/>
    <w:rsid w:val="00E17929"/>
    <w:rsid w:val="00E2160E"/>
    <w:rsid w:val="00E24E02"/>
    <w:rsid w:val="00E25895"/>
    <w:rsid w:val="00E30CA9"/>
    <w:rsid w:val="00E3246A"/>
    <w:rsid w:val="00E34A54"/>
    <w:rsid w:val="00E405E1"/>
    <w:rsid w:val="00E408AB"/>
    <w:rsid w:val="00E41E68"/>
    <w:rsid w:val="00E43B2D"/>
    <w:rsid w:val="00E460A6"/>
    <w:rsid w:val="00E50CB6"/>
    <w:rsid w:val="00E51920"/>
    <w:rsid w:val="00E53A58"/>
    <w:rsid w:val="00E542FA"/>
    <w:rsid w:val="00E54D26"/>
    <w:rsid w:val="00E620CC"/>
    <w:rsid w:val="00E63ADD"/>
    <w:rsid w:val="00E64120"/>
    <w:rsid w:val="00E65FA3"/>
    <w:rsid w:val="00E678CB"/>
    <w:rsid w:val="00E67D1E"/>
    <w:rsid w:val="00E707FD"/>
    <w:rsid w:val="00E70901"/>
    <w:rsid w:val="00E710D7"/>
    <w:rsid w:val="00E71348"/>
    <w:rsid w:val="00E71657"/>
    <w:rsid w:val="00E745BB"/>
    <w:rsid w:val="00E8010A"/>
    <w:rsid w:val="00E8229C"/>
    <w:rsid w:val="00E836E5"/>
    <w:rsid w:val="00E83E64"/>
    <w:rsid w:val="00E84601"/>
    <w:rsid w:val="00E85E09"/>
    <w:rsid w:val="00E8605D"/>
    <w:rsid w:val="00E92CE2"/>
    <w:rsid w:val="00E93CDD"/>
    <w:rsid w:val="00E949AC"/>
    <w:rsid w:val="00E971D6"/>
    <w:rsid w:val="00E977FB"/>
    <w:rsid w:val="00EA0944"/>
    <w:rsid w:val="00EA1325"/>
    <w:rsid w:val="00EA22D5"/>
    <w:rsid w:val="00EA241F"/>
    <w:rsid w:val="00EA2704"/>
    <w:rsid w:val="00EA4221"/>
    <w:rsid w:val="00EB2FE6"/>
    <w:rsid w:val="00EB3CD8"/>
    <w:rsid w:val="00EB6F5F"/>
    <w:rsid w:val="00ED246E"/>
    <w:rsid w:val="00ED379C"/>
    <w:rsid w:val="00ED4D08"/>
    <w:rsid w:val="00ED5834"/>
    <w:rsid w:val="00ED6AAF"/>
    <w:rsid w:val="00EE065C"/>
    <w:rsid w:val="00EE3926"/>
    <w:rsid w:val="00EE5D34"/>
    <w:rsid w:val="00EE776F"/>
    <w:rsid w:val="00EF319C"/>
    <w:rsid w:val="00EF3258"/>
    <w:rsid w:val="00EF7C4A"/>
    <w:rsid w:val="00F00846"/>
    <w:rsid w:val="00F02496"/>
    <w:rsid w:val="00F027E4"/>
    <w:rsid w:val="00F055F1"/>
    <w:rsid w:val="00F05A46"/>
    <w:rsid w:val="00F100EB"/>
    <w:rsid w:val="00F15458"/>
    <w:rsid w:val="00F158C7"/>
    <w:rsid w:val="00F162F4"/>
    <w:rsid w:val="00F16C11"/>
    <w:rsid w:val="00F22278"/>
    <w:rsid w:val="00F25246"/>
    <w:rsid w:val="00F307D6"/>
    <w:rsid w:val="00F31A8E"/>
    <w:rsid w:val="00F32283"/>
    <w:rsid w:val="00F32C2D"/>
    <w:rsid w:val="00F33A4C"/>
    <w:rsid w:val="00F34B87"/>
    <w:rsid w:val="00F358BF"/>
    <w:rsid w:val="00F35CB2"/>
    <w:rsid w:val="00F374CD"/>
    <w:rsid w:val="00F4046E"/>
    <w:rsid w:val="00F41E92"/>
    <w:rsid w:val="00F434FF"/>
    <w:rsid w:val="00F4425B"/>
    <w:rsid w:val="00F461FD"/>
    <w:rsid w:val="00F476F3"/>
    <w:rsid w:val="00F47BF8"/>
    <w:rsid w:val="00F50AB9"/>
    <w:rsid w:val="00F51024"/>
    <w:rsid w:val="00F5122A"/>
    <w:rsid w:val="00F51940"/>
    <w:rsid w:val="00F51A84"/>
    <w:rsid w:val="00F523CD"/>
    <w:rsid w:val="00F53495"/>
    <w:rsid w:val="00F559F9"/>
    <w:rsid w:val="00F55C5E"/>
    <w:rsid w:val="00F56168"/>
    <w:rsid w:val="00F561EE"/>
    <w:rsid w:val="00F621E4"/>
    <w:rsid w:val="00F63D66"/>
    <w:rsid w:val="00F64504"/>
    <w:rsid w:val="00F6458C"/>
    <w:rsid w:val="00F6478A"/>
    <w:rsid w:val="00F6661C"/>
    <w:rsid w:val="00F6682D"/>
    <w:rsid w:val="00F701C7"/>
    <w:rsid w:val="00F7298E"/>
    <w:rsid w:val="00F7531F"/>
    <w:rsid w:val="00F762D8"/>
    <w:rsid w:val="00F7721E"/>
    <w:rsid w:val="00F77823"/>
    <w:rsid w:val="00F77FD4"/>
    <w:rsid w:val="00F81C15"/>
    <w:rsid w:val="00F82391"/>
    <w:rsid w:val="00F8333E"/>
    <w:rsid w:val="00F858CA"/>
    <w:rsid w:val="00F87E9D"/>
    <w:rsid w:val="00F9034E"/>
    <w:rsid w:val="00F916DC"/>
    <w:rsid w:val="00F94BD6"/>
    <w:rsid w:val="00F958CC"/>
    <w:rsid w:val="00F96A90"/>
    <w:rsid w:val="00FA464E"/>
    <w:rsid w:val="00FA60EE"/>
    <w:rsid w:val="00FB2379"/>
    <w:rsid w:val="00FB25E5"/>
    <w:rsid w:val="00FB3848"/>
    <w:rsid w:val="00FB5293"/>
    <w:rsid w:val="00FB5446"/>
    <w:rsid w:val="00FC0D46"/>
    <w:rsid w:val="00FC10ED"/>
    <w:rsid w:val="00FC1841"/>
    <w:rsid w:val="00FC2D11"/>
    <w:rsid w:val="00FC373B"/>
    <w:rsid w:val="00FC3BC3"/>
    <w:rsid w:val="00FC6230"/>
    <w:rsid w:val="00FD0268"/>
    <w:rsid w:val="00FD05BA"/>
    <w:rsid w:val="00FD0638"/>
    <w:rsid w:val="00FD2A0A"/>
    <w:rsid w:val="00FD3934"/>
    <w:rsid w:val="00FD40F7"/>
    <w:rsid w:val="00FD5913"/>
    <w:rsid w:val="00FE0558"/>
    <w:rsid w:val="00FE0BF6"/>
    <w:rsid w:val="00FE11E8"/>
    <w:rsid w:val="00FE29B5"/>
    <w:rsid w:val="00FE32EB"/>
    <w:rsid w:val="00FE3AFF"/>
    <w:rsid w:val="00FE58A8"/>
    <w:rsid w:val="00FE7F43"/>
    <w:rsid w:val="00FE7F98"/>
    <w:rsid w:val="00FF065B"/>
    <w:rsid w:val="00FF23E1"/>
    <w:rsid w:val="00FF49E7"/>
    <w:rsid w:val="00FF61E7"/>
    <w:rsid w:val="00FF6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97633"/>
    <o:shapelayout v:ext="edit">
      <o:idmap v:ext="edit" data="1"/>
    </o:shapelayout>
  </w:shapeDefaults>
  <w:decimalSymbol w:val="."/>
  <w:listSeparator w:val=","/>
  <w14:docId w14:val="0327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1DE1"/>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3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uiPriority w:val="39"/>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uiPriority w:val="99"/>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3"/>
      </w:numPr>
    </w:pPr>
  </w:style>
  <w:style w:type="numbering" w:customStyle="1" w:styleId="Tablebulletindented">
    <w:name w:val="Table bullet indented"/>
    <w:basedOn w:val="NoList"/>
    <w:rsid w:val="00ED6AAF"/>
    <w:pPr>
      <w:numPr>
        <w:numId w:val="24"/>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2"/>
      </w:numPr>
      <w:contextualSpacing/>
    </w:pPr>
    <w:rPr>
      <w:rFonts w:ascii="Arial" w:hAnsi="Arial" w:cs="Arial"/>
      <w:spacing w:val="-3"/>
    </w:rPr>
  </w:style>
  <w:style w:type="numbering" w:customStyle="1" w:styleId="Tablebullet">
    <w:name w:val="Table bullet"/>
    <w:basedOn w:val="NoList"/>
    <w:rsid w:val="00ED6AAF"/>
    <w:pPr>
      <w:numPr>
        <w:numId w:val="25"/>
      </w:numPr>
    </w:pPr>
  </w:style>
  <w:style w:type="paragraph" w:styleId="ListParagraph">
    <w:name w:val="List Paragraph"/>
    <w:basedOn w:val="Normal"/>
    <w:uiPriority w:val="34"/>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styleId="UnresolvedMention">
    <w:name w:val="Unresolved Mention"/>
    <w:basedOn w:val="DefaultParagraphFont"/>
    <w:uiPriority w:val="99"/>
    <w:semiHidden/>
    <w:unhideWhenUsed/>
    <w:rsid w:val="00A264CE"/>
    <w:rPr>
      <w:color w:val="605E5C"/>
      <w:shd w:val="clear" w:color="auto" w:fill="E1DFDD"/>
    </w:rPr>
  </w:style>
  <w:style w:type="table" w:customStyle="1" w:styleId="TableGrid1">
    <w:name w:val="Table Grid1"/>
    <w:basedOn w:val="TableNormal"/>
    <w:next w:val="TableGrid"/>
    <w:rsid w:val="00F1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05528960">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66116610">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876620784">
      <w:bodyDiv w:val="1"/>
      <w:marLeft w:val="0"/>
      <w:marRight w:val="0"/>
      <w:marTop w:val="0"/>
      <w:marBottom w:val="0"/>
      <w:divBdr>
        <w:top w:val="none" w:sz="0" w:space="0" w:color="auto"/>
        <w:left w:val="none" w:sz="0" w:space="0" w:color="auto"/>
        <w:bottom w:val="none" w:sz="0" w:space="0" w:color="auto"/>
        <w:right w:val="none" w:sz="0" w:space="0" w:color="auto"/>
      </w:divBdr>
    </w:div>
    <w:div w:id="928663323">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175071340">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840726521">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 w:id="20973634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10-year-health-plan-for-england-fit-for-the-futur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gital.nhs.uk/data-and-information/publications/statistical/health-survey-for-englan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48329/zrvz-6a47" TargetMode="External"/><Relationship Id="rId4" Type="http://schemas.openxmlformats.org/officeDocument/2006/relationships/settings" Target="settings.xml"/><Relationship Id="rId9" Type="http://schemas.openxmlformats.org/officeDocument/2006/relationships/hyperlink" Target="https://digital.nhs.uk/data-and-information/publications/statistical/health-survey-for-england"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EA8B5-3809-4B73-ABE9-63C052CD6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951</Words>
  <Characters>5260</Characters>
  <Application>Microsoft Office Word</Application>
  <DocSecurity>0</DocSecurity>
  <Lines>181</Lines>
  <Paragraphs>76</Paragraphs>
  <ScaleCrop>false</ScaleCrop>
  <Company/>
  <LinksUpToDate>false</LinksUpToDate>
  <CharactersWithSpaces>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2025-10-29T11:33:00Z</dcterms:created>
  <dcterms:modified xsi:type="dcterms:W3CDTF">2025-10-29T14:01:00Z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2025-10-29T11:33:53Z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15ddaea4-b950-4cc4-8356-9da89c42eecf</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