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4551" w14:textId="77777777" w:rsidR="004A287F" w:rsidRPr="00982D5B" w:rsidRDefault="004A287F" w:rsidP="006A5BB3">
      <w:pPr>
        <w:pStyle w:val="NICEnormal"/>
        <w:spacing w:after="120"/>
        <w:jc w:val="center"/>
        <w:rPr>
          <w:rFonts w:cs="Arial"/>
          <w:b/>
          <w:sz w:val="16"/>
          <w:szCs w:val="16"/>
        </w:rPr>
      </w:pPr>
      <w:bookmarkStart w:id="0" w:name="_Toc403730097"/>
      <w:bookmarkStart w:id="1" w:name="_Toc406418757"/>
      <w:bookmarkStart w:id="2" w:name="_Toc406504237"/>
      <w:bookmarkStart w:id="3" w:name="_Toc406504647"/>
      <w:bookmarkStart w:id="4" w:name="_Toc406596717"/>
      <w:bookmarkStart w:id="5" w:name="_Toc407001865"/>
      <w:bookmarkStart w:id="6" w:name="_Toc409073402"/>
      <w:bookmarkStart w:id="7" w:name="_Toc470085037"/>
      <w:bookmarkStart w:id="8" w:name="_Toc470859118"/>
      <w:bookmarkStart w:id="9" w:name="_Toc470859362"/>
      <w:bookmarkStart w:id="10" w:name="_Toc470859739"/>
      <w:bookmarkStart w:id="11" w:name="_Toc472681500"/>
      <w:bookmarkStart w:id="12" w:name="_Toc472689029"/>
    </w:p>
    <w:p w14:paraId="41DCB5C0" w14:textId="30EE6644" w:rsidR="004A287F" w:rsidRDefault="004A287F" w:rsidP="00E91284">
      <w:pPr>
        <w:pStyle w:val="Title1"/>
      </w:pPr>
      <w:bookmarkStart w:id="13" w:name="_Toc372816409"/>
      <w:bookmarkStart w:id="14" w:name="_Toc374020069"/>
      <w:bookmarkStart w:id="15" w:name="_Toc374020137"/>
      <w:bookmarkStart w:id="16" w:name="_Toc374020240"/>
      <w:bookmarkStart w:id="17" w:name="_Toc406418758"/>
      <w:bookmarkStart w:id="18" w:name="_Toc406504238"/>
      <w:bookmarkStart w:id="19" w:name="_Toc406504648"/>
      <w:bookmarkStart w:id="20" w:name="_Toc406596718"/>
      <w:bookmarkStart w:id="21" w:name="_Toc407001866"/>
      <w:bookmarkStart w:id="22" w:name="_Toc409073403"/>
      <w:bookmarkStart w:id="23" w:name="_Toc469493188"/>
      <w:bookmarkStart w:id="24" w:name="_Toc470085038"/>
      <w:bookmarkStart w:id="25" w:name="_Toc470859119"/>
      <w:bookmarkStart w:id="26" w:name="_Toc470859363"/>
      <w:bookmarkStart w:id="27" w:name="_Toc470859740"/>
      <w:bookmarkStart w:id="28" w:name="_Toc472681501"/>
      <w:bookmarkStart w:id="29" w:name="_Toc472689030"/>
      <w:bookmarkEnd w:id="0"/>
      <w:bookmarkEnd w:id="1"/>
      <w:bookmarkEnd w:id="2"/>
      <w:bookmarkEnd w:id="3"/>
      <w:bookmarkEnd w:id="4"/>
      <w:bookmarkEnd w:id="5"/>
      <w:bookmarkEnd w:id="6"/>
      <w:bookmarkEnd w:id="7"/>
      <w:bookmarkEnd w:id="8"/>
      <w:bookmarkEnd w:id="9"/>
      <w:bookmarkEnd w:id="10"/>
      <w:bookmarkEnd w:id="11"/>
      <w:bookmarkEnd w:id="12"/>
      <w:r w:rsidRPr="004F3B3C">
        <w:t xml:space="preserve">Consultation on new </w:t>
      </w:r>
      <w:r w:rsidR="000203D7" w:rsidRPr="004F3B3C">
        <w:t>and</w:t>
      </w:r>
      <w:r w:rsidRPr="004F3B3C">
        <w:t xml:space="preserve"> updated NICE indicators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6E74D7">
        <w:t>: GID-IND103</w:t>
      </w:r>
      <w:r w:rsidR="00AC0F98">
        <w:t>30</w:t>
      </w:r>
      <w:r w:rsidR="006E74D7">
        <w:t xml:space="preserve"> to GID-IND1033</w:t>
      </w:r>
      <w:r w:rsidR="00C501A8">
        <w:t>5 &amp; GID-IND10337 to GID-IND10338</w:t>
      </w:r>
    </w:p>
    <w:p w14:paraId="3BE75B9D" w14:textId="77777777" w:rsidR="001B4B1B" w:rsidRDefault="00EC1F45" w:rsidP="006239EC">
      <w:pPr>
        <w:pStyle w:val="Guidanceissuedate"/>
      </w:pPr>
      <w:r>
        <w:t>3 July 2025</w:t>
      </w:r>
    </w:p>
    <w:p w14:paraId="6A87E905" w14:textId="77777777" w:rsidR="004A287F" w:rsidRPr="00EC14EC" w:rsidRDefault="004A287F" w:rsidP="006A5BB3">
      <w:pPr>
        <w:pStyle w:val="Heading1"/>
      </w:pPr>
      <w:bookmarkStart w:id="30" w:name="_Toc510769194"/>
      <w:bookmarkStart w:id="31" w:name="_Toc517187775"/>
      <w:bookmarkStart w:id="32" w:name="_Toc517190336"/>
      <w:bookmarkStart w:id="33" w:name="_Toc288638567"/>
      <w:bookmarkStart w:id="34" w:name="_Toc201916045"/>
      <w:r w:rsidRPr="00EC14EC">
        <w:t>Introduction</w:t>
      </w:r>
      <w:bookmarkEnd w:id="30"/>
      <w:bookmarkEnd w:id="31"/>
      <w:bookmarkEnd w:id="32"/>
      <w:bookmarkEnd w:id="33"/>
      <w:bookmarkEnd w:id="34"/>
    </w:p>
    <w:p w14:paraId="7B034D7D" w14:textId="6909542B" w:rsidR="004A287F" w:rsidRDefault="004A287F" w:rsidP="00732FEC">
      <w:pPr>
        <w:pStyle w:val="Paragraph"/>
      </w:pPr>
      <w:bookmarkStart w:id="35" w:name="_Toc469493193"/>
      <w:bookmarkStart w:id="36" w:name="_Toc472681506"/>
      <w:bookmarkStart w:id="37" w:name="_Toc472689035"/>
      <w:bookmarkStart w:id="38" w:name="_Toc469493194"/>
      <w:bookmarkStart w:id="39" w:name="_Toc472681507"/>
      <w:bookmarkStart w:id="40" w:name="_Toc472689036"/>
      <w:r>
        <w:t>This consultation paper includes</w:t>
      </w:r>
      <w:r w:rsidR="00502680">
        <w:t xml:space="preserve"> p</w:t>
      </w:r>
      <w:r w:rsidR="00502680" w:rsidRPr="00502680">
        <w:t xml:space="preserve">roposals for general practice level indicators </w:t>
      </w:r>
      <w:r w:rsidR="00E67231">
        <w:t xml:space="preserve">suitable for use in QOF </w:t>
      </w:r>
      <w:r w:rsidR="00502680" w:rsidRPr="00502680">
        <w:t>on</w:t>
      </w:r>
      <w:r>
        <w:t xml:space="preserve">: </w:t>
      </w:r>
    </w:p>
    <w:p w14:paraId="47926139" w14:textId="30832DA8" w:rsidR="00502680" w:rsidRDefault="00E5128E" w:rsidP="007E2CAA">
      <w:pPr>
        <w:pStyle w:val="Bullets"/>
      </w:pPr>
      <w:r>
        <w:t xml:space="preserve">Annual review and </w:t>
      </w:r>
      <w:r w:rsidR="337975A5">
        <w:t>maintenance and reliever therapy (</w:t>
      </w:r>
      <w:r>
        <w:t>MART</w:t>
      </w:r>
      <w:r w:rsidR="398E2597">
        <w:t>)</w:t>
      </w:r>
      <w:r>
        <w:t xml:space="preserve"> for people with a</w:t>
      </w:r>
      <w:r w:rsidR="00E67231">
        <w:t>s</w:t>
      </w:r>
      <w:r w:rsidR="00502680">
        <w:t>thma</w:t>
      </w:r>
      <w:r>
        <w:t xml:space="preserve"> at risk of poor outcomes</w:t>
      </w:r>
      <w:r w:rsidR="004A287F" w:rsidRPr="00502680">
        <w:t>.</w:t>
      </w:r>
    </w:p>
    <w:p w14:paraId="6434729C" w14:textId="0A6032D3" w:rsidR="00822A3A" w:rsidRDefault="008810CE" w:rsidP="007E2CAA">
      <w:pPr>
        <w:pStyle w:val="Bullets"/>
      </w:pPr>
      <w:r>
        <w:t xml:space="preserve">Supporting </w:t>
      </w:r>
      <w:r w:rsidRPr="00E966A4">
        <w:t>antimicrobial</w:t>
      </w:r>
      <w:r>
        <w:t xml:space="preserve"> stewardship in people with common i</w:t>
      </w:r>
      <w:r w:rsidR="00E67231">
        <w:t>nfections</w:t>
      </w:r>
      <w:r w:rsidR="005246E5">
        <w:t>.</w:t>
      </w:r>
      <w:r w:rsidR="00822A3A">
        <w:t xml:space="preserve"> </w:t>
      </w:r>
    </w:p>
    <w:p w14:paraId="44721699" w14:textId="19152770" w:rsidR="00822A3A" w:rsidRDefault="5C6833DD" w:rsidP="0438B5AA">
      <w:pPr>
        <w:pStyle w:val="Bullets"/>
        <w:tabs>
          <w:tab w:val="clear" w:pos="993"/>
        </w:tabs>
        <w:spacing w:after="120" w:line="276" w:lineRule="auto"/>
      </w:pPr>
      <w:r>
        <w:t xml:space="preserve">Recording of </w:t>
      </w:r>
      <w:r w:rsidR="0088631B">
        <w:t>ejection fraction category</w:t>
      </w:r>
      <w:r>
        <w:t xml:space="preserve"> for people newly diagnosed with chronic heart failure</w:t>
      </w:r>
      <w:r w:rsidR="007238B0">
        <w:t xml:space="preserve"> and four pillars of treatment</w:t>
      </w:r>
    </w:p>
    <w:p w14:paraId="2FB56D14" w14:textId="1E8F93DD" w:rsidR="00502680" w:rsidRPr="00E966A4" w:rsidRDefault="00B218AC" w:rsidP="0088631B">
      <w:pPr>
        <w:pStyle w:val="Bullets"/>
      </w:pPr>
      <w:r>
        <w:t xml:space="preserve">Annual BMI recording in </w:t>
      </w:r>
      <w:r w:rsidRPr="00E966A4">
        <w:t>people with long term conditions</w:t>
      </w:r>
      <w:r w:rsidR="005246E5" w:rsidRPr="00E966A4">
        <w:t xml:space="preserve">. </w:t>
      </w:r>
      <w:r w:rsidR="004A287F" w:rsidRPr="00E966A4">
        <w:t xml:space="preserve"> </w:t>
      </w:r>
    </w:p>
    <w:p w14:paraId="2A553B48" w14:textId="54A624AB" w:rsidR="003B3000" w:rsidRPr="00502680" w:rsidRDefault="0090455B" w:rsidP="0088631B">
      <w:pPr>
        <w:pStyle w:val="Bullets"/>
      </w:pPr>
      <w:r w:rsidRPr="00E966A4">
        <w:t>C</w:t>
      </w:r>
      <w:r w:rsidR="00E755AC" w:rsidRPr="00E966A4">
        <w:t>ervical screening</w:t>
      </w:r>
      <w:r w:rsidRPr="00E966A4">
        <w:t xml:space="preserve"> frequency</w:t>
      </w:r>
      <w:r w:rsidR="00A35EEC">
        <w:t>.</w:t>
      </w:r>
    </w:p>
    <w:p w14:paraId="6596A0EA" w14:textId="54E9FDAB" w:rsidR="004A287F" w:rsidRDefault="004A287F" w:rsidP="00502680">
      <w:pPr>
        <w:pStyle w:val="Paragraph"/>
      </w:pPr>
      <w:r>
        <w:t>Stakeholders are asked to consider the following questions when commenting on the proposed indicators:</w:t>
      </w:r>
    </w:p>
    <w:p w14:paraId="5EA81602" w14:textId="77777777" w:rsidR="004A287F" w:rsidRDefault="004A287F" w:rsidP="00B36476">
      <w:pPr>
        <w:pStyle w:val="ParagraphNumbered"/>
      </w:pPr>
      <w:r>
        <w:t>1.</w:t>
      </w:r>
      <w:r>
        <w:tab/>
        <w:t>Do you think there are any barriers to implementing the care described by these indicators?</w:t>
      </w:r>
    </w:p>
    <w:p w14:paraId="7161453B" w14:textId="77777777" w:rsidR="004A287F" w:rsidRDefault="004A287F" w:rsidP="00B36476">
      <w:pPr>
        <w:pStyle w:val="ParagraphNumbered"/>
      </w:pPr>
      <w:r>
        <w:t>2.</w:t>
      </w:r>
      <w:r>
        <w:tab/>
        <w:t>Do you think there are potential unintended consequences to implementing/ using any of these indicators?</w:t>
      </w:r>
    </w:p>
    <w:p w14:paraId="3BA9E7F6" w14:textId="77777777" w:rsidR="004A287F" w:rsidRDefault="004A287F" w:rsidP="00B36476">
      <w:pPr>
        <w:pStyle w:val="ParagraphNumbered"/>
      </w:pPr>
      <w:r>
        <w:t>3.</w:t>
      </w:r>
      <w:r>
        <w:tab/>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0034A834" w14:textId="77777777" w:rsidR="004A287F" w:rsidRDefault="004A287F" w:rsidP="00B36476">
      <w:pPr>
        <w:pStyle w:val="ParagraphNumbered"/>
      </w:pPr>
      <w:r>
        <w:lastRenderedPageBreak/>
        <w:t>4.</w:t>
      </w:r>
      <w:r>
        <w:tab/>
        <w:t>If you think any of these indicators may have an adverse impact in different groups in the community, can you suggest how the indicator might be delivered differently to different groups to reduce health inequalities?</w:t>
      </w:r>
    </w:p>
    <w:bookmarkEnd w:id="35"/>
    <w:bookmarkEnd w:id="36"/>
    <w:bookmarkEnd w:id="37"/>
    <w:p w14:paraId="7F259293" w14:textId="77777777" w:rsidR="004A287F" w:rsidRPr="00FE4AEE" w:rsidRDefault="004A287F">
      <w:pPr>
        <w:rPr>
          <w:rFonts w:ascii="Arial" w:hAnsi="Arial"/>
          <w:lang w:val="en-US"/>
        </w:rPr>
      </w:pPr>
      <w:r w:rsidRPr="00FE4AEE">
        <w:rPr>
          <w:rFonts w:ascii="Arial" w:hAnsi="Arial"/>
          <w:lang w:val="en-US"/>
        </w:rPr>
        <w:br w:type="page"/>
      </w:r>
    </w:p>
    <w:p w14:paraId="5F7520BD" w14:textId="3A5272B4" w:rsidR="004A287F" w:rsidRDefault="005E7228" w:rsidP="006A5BB3">
      <w:pPr>
        <w:pStyle w:val="Heading1"/>
      </w:pPr>
      <w:bookmarkStart w:id="41" w:name="_Toc890802029"/>
      <w:bookmarkStart w:id="42" w:name="_Toc201916046"/>
      <w:bookmarkStart w:id="43" w:name="_Hlk200031206"/>
      <w:bookmarkStart w:id="44" w:name="_Toc517187781"/>
      <w:bookmarkStart w:id="45" w:name="_Toc517190342"/>
      <w:bookmarkStart w:id="46" w:name="_Hlk3557960"/>
      <w:bookmarkEnd w:id="38"/>
      <w:bookmarkEnd w:id="39"/>
      <w:bookmarkEnd w:id="40"/>
      <w:r>
        <w:lastRenderedPageBreak/>
        <w:t>Asthma: annual review (high risk patients)</w:t>
      </w:r>
      <w:bookmarkEnd w:id="41"/>
      <w:bookmarkEnd w:id="42"/>
    </w:p>
    <w:p w14:paraId="2B75ED52" w14:textId="0C57CE1A" w:rsidR="004A287F" w:rsidRDefault="0081014B" w:rsidP="00732FEC">
      <w:pPr>
        <w:pStyle w:val="Paragraph"/>
      </w:pPr>
      <w:r>
        <w:t>GID-IND10319</w:t>
      </w:r>
      <w:r w:rsidR="004A287F">
        <w:t xml:space="preserve">: </w:t>
      </w:r>
      <w:r w:rsidR="00F266B8" w:rsidRPr="00F266B8">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p>
    <w:p w14:paraId="661E2386" w14:textId="77777777" w:rsidR="004A287F" w:rsidRDefault="004A287F" w:rsidP="006A5BB3">
      <w:pPr>
        <w:pStyle w:val="Heading2"/>
      </w:pPr>
      <w:r>
        <w:t>Indicator type</w:t>
      </w:r>
    </w:p>
    <w:p w14:paraId="694F72E9" w14:textId="77777777" w:rsidR="004A287F" w:rsidRPr="00F266B8" w:rsidRDefault="004A287F" w:rsidP="00732FEC">
      <w:pPr>
        <w:pStyle w:val="Paragraph"/>
      </w:pPr>
      <w:r w:rsidRPr="00F266B8">
        <w:t>General practice indicator suitable for use in the QOF</w:t>
      </w:r>
    </w:p>
    <w:p w14:paraId="7187504C" w14:textId="77777777" w:rsidR="004A287F" w:rsidRDefault="004A287F" w:rsidP="006A5BB3">
      <w:pPr>
        <w:pStyle w:val="Heading2"/>
      </w:pPr>
      <w:r>
        <w:t>Rationale</w:t>
      </w:r>
    </w:p>
    <w:p w14:paraId="72254CAA" w14:textId="3F6FB94F" w:rsidR="00611D8A" w:rsidRDefault="007F5AB1" w:rsidP="008E7C9D">
      <w:pPr>
        <w:pStyle w:val="Paragraph"/>
      </w:pPr>
      <w:r w:rsidRPr="007F5AB1">
        <w:t xml:space="preserve">NICE guidance recommends all people with asthma are reviewed at least annually, and this is reflected in existing NICE indicator </w:t>
      </w:r>
      <w:hyperlink r:id="rId11" w:history="1">
        <w:r w:rsidRPr="007F5AB1">
          <w:rPr>
            <w:rStyle w:val="Hyperlink"/>
          </w:rPr>
          <w:t>IND273</w:t>
        </w:r>
      </w:hyperlink>
      <w:r w:rsidRPr="007F5AB1">
        <w:t xml:space="preserve"> (QOF AST007). </w:t>
      </w:r>
      <w:r w:rsidR="00F77B11">
        <w:t>This draft indicator</w:t>
      </w:r>
      <w:r w:rsidRPr="007F5AB1">
        <w:t xml:space="preserve"> has been developed as a complementary to IND273 and focuses on those most at risk of poor outcomes (including death, hospital admission, and the need for out-of-hours contacts or visits to an emergency department for asthma exacerbations).</w:t>
      </w:r>
      <w:r w:rsidR="002472F4">
        <w:t xml:space="preserve"> </w:t>
      </w:r>
      <w:r w:rsidR="008E7C9D">
        <w:t>A risk factor for poor outcomes is defined as</w:t>
      </w:r>
      <w:r w:rsidR="00611D8A">
        <w:t xml:space="preserve"> any of the following in the year preceding the current reporting period: </w:t>
      </w:r>
    </w:p>
    <w:p w14:paraId="01BC9DD9" w14:textId="77777777" w:rsidR="00611D8A" w:rsidRDefault="008E7C9D" w:rsidP="00B36476">
      <w:pPr>
        <w:pStyle w:val="Bullets"/>
      </w:pPr>
      <w:r>
        <w:t xml:space="preserve">6 or more short-acting beta2 agonist (SABA) inhalers </w:t>
      </w:r>
    </w:p>
    <w:p w14:paraId="4D063BD5" w14:textId="1CD6517A" w:rsidR="008E7C9D" w:rsidRDefault="008E7C9D" w:rsidP="00B36476">
      <w:pPr>
        <w:pStyle w:val="Bullets"/>
      </w:pPr>
      <w:r>
        <w:t>2 or more oral corticosteroids</w:t>
      </w:r>
    </w:p>
    <w:p w14:paraId="1FC50388" w14:textId="128CDCCA" w:rsidR="00611D8A" w:rsidRDefault="00611D8A" w:rsidP="00B36476">
      <w:pPr>
        <w:pStyle w:val="Bullets"/>
      </w:pPr>
      <w:r>
        <w:t>2</w:t>
      </w:r>
      <w:r w:rsidR="008E7C9D">
        <w:t xml:space="preserve"> or more visits to an emergency department </w:t>
      </w:r>
      <w:r w:rsidRPr="00611D8A">
        <w:t>for asthma</w:t>
      </w:r>
    </w:p>
    <w:p w14:paraId="03323D83" w14:textId="4F5D3E9E" w:rsidR="008E7C9D" w:rsidRDefault="00611D8A" w:rsidP="00B36476">
      <w:pPr>
        <w:pStyle w:val="Bullets"/>
      </w:pPr>
      <w:r>
        <w:t>A</w:t>
      </w:r>
      <w:r w:rsidR="008E7C9D">
        <w:t>ny hospital admission for asthma.</w:t>
      </w:r>
    </w:p>
    <w:p w14:paraId="6A8993E8" w14:textId="38F41D6A" w:rsidR="0438B5AA" w:rsidRDefault="0438B5AA" w:rsidP="0438B5AA">
      <w:pPr>
        <w:pStyle w:val="Paragraph"/>
      </w:pPr>
    </w:p>
    <w:p w14:paraId="0E9D89F1" w14:textId="19766A8D" w:rsidR="007F5AB1" w:rsidRPr="007F5AB1" w:rsidRDefault="00895231" w:rsidP="007F5AB1">
      <w:pPr>
        <w:pStyle w:val="Paragraph"/>
      </w:pPr>
      <w:r w:rsidRPr="00895231">
        <w:t>Testing</w:t>
      </w:r>
      <w:r w:rsidR="00BC4803">
        <w:t xml:space="preserve"> by NICE in </w:t>
      </w:r>
      <w:r w:rsidR="007971E8">
        <w:t>June 2025 of</w:t>
      </w:r>
      <w:r w:rsidRPr="00895231">
        <w:t xml:space="preserve"> </w:t>
      </w:r>
      <w:r w:rsidR="00B36476" w:rsidRPr="00B36476">
        <w:t xml:space="preserve">Clinical Practice Research Datalink </w:t>
      </w:r>
      <w:r w:rsidR="00B36476">
        <w:t xml:space="preserve">(CPRD) </w:t>
      </w:r>
      <w:proofErr w:type="spellStart"/>
      <w:r w:rsidRPr="00895231">
        <w:t>Aurum</w:t>
      </w:r>
      <w:proofErr w:type="spellEnd"/>
      <w:r w:rsidRPr="00895231">
        <w:t xml:space="preserve"> found that using this definition of risk factors for poor outcomes equates to around 28% of all people aged 6 years or over with asthma.</w:t>
      </w:r>
      <w:r w:rsidR="00DA6F1A">
        <w:t xml:space="preserve"> </w:t>
      </w:r>
      <w:r w:rsidR="00DA6F1A" w:rsidRPr="00DA6F1A">
        <w:t xml:space="preserve">CPRD </w:t>
      </w:r>
      <w:proofErr w:type="spellStart"/>
      <w:r w:rsidR="00DA6F1A" w:rsidRPr="00DA6F1A">
        <w:t>Aurum</w:t>
      </w:r>
      <w:proofErr w:type="spellEnd"/>
      <w:r w:rsidR="00DA6F1A" w:rsidRPr="00DA6F1A">
        <w:t xml:space="preserve"> March 2025 (Version 2025.03.001) [Data set]. Clinical Practice Research Datalink. </w:t>
      </w:r>
      <w:hyperlink r:id="rId12" w:history="1">
        <w:r w:rsidR="00DA6F1A" w:rsidRPr="00576B89">
          <w:rPr>
            <w:rStyle w:val="Hyperlink"/>
          </w:rPr>
          <w:t>https://doi.org/10.48329/6570-ge08</w:t>
        </w:r>
      </w:hyperlink>
      <w:r w:rsidR="00DA6F1A">
        <w:t xml:space="preserve">. </w:t>
      </w:r>
    </w:p>
    <w:p w14:paraId="17FAE12F" w14:textId="4CC18910" w:rsidR="007F5AB1" w:rsidRDefault="007F5AB1" w:rsidP="007F5AB1">
      <w:pPr>
        <w:pStyle w:val="Paragraph"/>
      </w:pPr>
      <w:r w:rsidRPr="007F5AB1">
        <w:t>Following stakeholder feedback on the availability of fractional exhaled nitric oxide (</w:t>
      </w:r>
      <w:proofErr w:type="spellStart"/>
      <w:r w:rsidRPr="007F5AB1">
        <w:t>FeNO</w:t>
      </w:r>
      <w:proofErr w:type="spellEnd"/>
      <w:r w:rsidRPr="007F5AB1">
        <w:t xml:space="preserve">), this has not been included as a means of assessing asthma </w:t>
      </w:r>
      <w:r w:rsidRPr="007F5AB1">
        <w:lastRenderedPageBreak/>
        <w:t xml:space="preserve">control within an asthma review. If progressed, the indicator will be reviewed as access to </w:t>
      </w:r>
      <w:proofErr w:type="spellStart"/>
      <w:r w:rsidRPr="007F5AB1">
        <w:t>FeNO</w:t>
      </w:r>
      <w:proofErr w:type="spellEnd"/>
      <w:r w:rsidRPr="007F5AB1">
        <w:t xml:space="preserve"> increases.</w:t>
      </w:r>
    </w:p>
    <w:p w14:paraId="49E8513E" w14:textId="77777777" w:rsidR="004A287F" w:rsidRDefault="004A287F" w:rsidP="006A5BB3">
      <w:pPr>
        <w:pStyle w:val="Heading2"/>
      </w:pPr>
      <w:r>
        <w:t xml:space="preserve">Source guidance  </w:t>
      </w:r>
    </w:p>
    <w:p w14:paraId="150C3326" w14:textId="6DCBD935" w:rsidR="00A77437" w:rsidRPr="00A77437" w:rsidRDefault="008B5641" w:rsidP="00732FEC">
      <w:pPr>
        <w:pStyle w:val="Paragraph"/>
      </w:pPr>
      <w:hyperlink r:id="rId13" w:history="1">
        <w:r>
          <w:rPr>
            <w:rStyle w:val="Hyperlink"/>
          </w:rPr>
          <w:t>BTS / NICE / SIGN guideline on asthma: diagnosis, monitoring and chronic asthma management</w:t>
        </w:r>
      </w:hyperlink>
      <w:r w:rsidR="00A77437" w:rsidRPr="00A77437">
        <w:t xml:space="preserve"> (2024) recommendations 1.5.1, 1.5.2, 1.14.1, 1.14.2, 1.15.1 and 1.16.1.</w:t>
      </w:r>
    </w:p>
    <w:p w14:paraId="3533F426" w14:textId="77777777" w:rsidR="004A287F" w:rsidRDefault="004A287F" w:rsidP="006A5BB3">
      <w:pPr>
        <w:pStyle w:val="Heading2"/>
      </w:pPr>
      <w:r>
        <w:t>Specification</w:t>
      </w:r>
    </w:p>
    <w:p w14:paraId="252A24DB" w14:textId="731F164B" w:rsidR="004A287F" w:rsidRDefault="004A287F" w:rsidP="00732FEC">
      <w:pPr>
        <w:pStyle w:val="Paragraph"/>
      </w:pPr>
      <w:r>
        <w:t xml:space="preserve">Numerator: </w:t>
      </w:r>
      <w:r w:rsidR="00EB42A8" w:rsidRPr="00EB42A8">
        <w:t>The number of patients in the denominator who have had an asthma review in the preceding 12 months that included an assessment of asthma control, a recording of the number of exacerbations, an assessment of inhaler technique and a written personalised action plan.</w:t>
      </w:r>
    </w:p>
    <w:p w14:paraId="5CD4B13C" w14:textId="573D5A6F" w:rsidR="004A287F" w:rsidRPr="00867CDA" w:rsidRDefault="004A287F" w:rsidP="00732FEC">
      <w:pPr>
        <w:pStyle w:val="Paragraph"/>
      </w:pPr>
      <w:r>
        <w:t xml:space="preserve">Denominator: </w:t>
      </w:r>
      <w:r w:rsidR="007808A6" w:rsidRPr="007808A6">
        <w:t xml:space="preserve">The number of patients on the asthma register (see the </w:t>
      </w:r>
      <w:hyperlink r:id="rId14" w:history="1">
        <w:r w:rsidR="007808A6" w:rsidRPr="007808A6">
          <w:rPr>
            <w:rStyle w:val="Hyperlink"/>
          </w:rPr>
          <w:t>NICE indicator IND186</w:t>
        </w:r>
      </w:hyperlink>
      <w:r w:rsidR="007808A6" w:rsidRPr="007808A6">
        <w:t>) with a risk factor for poor outcomes.</w:t>
      </w:r>
    </w:p>
    <w:p w14:paraId="6793A658" w14:textId="4338D026" w:rsidR="00895231" w:rsidRDefault="0088658B" w:rsidP="00895231">
      <w:pPr>
        <w:pStyle w:val="Paragraph"/>
      </w:pPr>
      <w:r w:rsidRPr="0088658B">
        <w:t>Definition:</w:t>
      </w:r>
      <w:r w:rsidR="007A777D" w:rsidRPr="007A777D">
        <w:t xml:space="preserve"> </w:t>
      </w:r>
      <w:r w:rsidR="00895231">
        <w:t xml:space="preserve">A risk factor for poor outcomes is defined as any of the following in the year preceding the current reporting period: </w:t>
      </w:r>
    </w:p>
    <w:p w14:paraId="26616586" w14:textId="77777777" w:rsidR="00895231" w:rsidRDefault="00895231" w:rsidP="00B36476">
      <w:pPr>
        <w:pStyle w:val="Bullets"/>
      </w:pPr>
      <w:r>
        <w:t xml:space="preserve">6 or more short-acting beta2 agonist (SABA) inhalers </w:t>
      </w:r>
    </w:p>
    <w:p w14:paraId="01807A35" w14:textId="77777777" w:rsidR="00895231" w:rsidRDefault="00895231" w:rsidP="00B36476">
      <w:pPr>
        <w:pStyle w:val="Bullets"/>
      </w:pPr>
      <w:r>
        <w:t>2 or more oral corticosteroids</w:t>
      </w:r>
    </w:p>
    <w:p w14:paraId="38DD0365" w14:textId="77777777" w:rsidR="00895231" w:rsidRDefault="00895231" w:rsidP="00B36476">
      <w:pPr>
        <w:pStyle w:val="Bullets"/>
      </w:pPr>
      <w:r>
        <w:t>2 or more visits to an emergency department for asthma</w:t>
      </w:r>
    </w:p>
    <w:p w14:paraId="11D7FFC1" w14:textId="77777777" w:rsidR="00895231" w:rsidRDefault="00895231" w:rsidP="00B36476">
      <w:pPr>
        <w:pStyle w:val="Bullets"/>
      </w:pPr>
      <w:r>
        <w:t>Any hospital admission for asthma.</w:t>
      </w:r>
    </w:p>
    <w:p w14:paraId="2B4AF4A0" w14:textId="31C1C6E9" w:rsidR="004A287F" w:rsidRDefault="004A287F" w:rsidP="00B36476">
      <w:pPr>
        <w:pStyle w:val="Paragraph"/>
      </w:pPr>
      <w:r>
        <w:t xml:space="preserve">Exclusions: </w:t>
      </w:r>
      <w:r w:rsidR="00ED48A6" w:rsidRPr="00ED48A6">
        <w:t>Children aged 5 years and under.</w:t>
      </w:r>
    </w:p>
    <w:p w14:paraId="75977244" w14:textId="0A3D5E5C" w:rsidR="004A287F" w:rsidRDefault="004A287F" w:rsidP="00732FEC">
      <w:pPr>
        <w:pStyle w:val="Paragraph"/>
      </w:pPr>
      <w:r w:rsidRPr="00606C2B">
        <w:t>Personalised care adjustments or exception reporting should be considered to account for situations where the patient declines</w:t>
      </w:r>
      <w:r w:rsidR="00377B3F">
        <w:t xml:space="preserve"> or</w:t>
      </w:r>
      <w:r w:rsidRPr="00606C2B">
        <w:t xml:space="preserve"> does not attend</w:t>
      </w:r>
      <w:r w:rsidR="00377B3F">
        <w:rPr>
          <w:highlight w:val="lightGray"/>
        </w:rPr>
        <w:t>.</w:t>
      </w:r>
    </w:p>
    <w:p w14:paraId="4E079A3B" w14:textId="3EBF9597" w:rsidR="004A287F" w:rsidRDefault="004A287F" w:rsidP="006A5BB3">
      <w:pPr>
        <w:pStyle w:val="Heading2"/>
      </w:pPr>
      <w:r>
        <w:t>Question</w:t>
      </w:r>
      <w:r w:rsidR="003059EE">
        <w:t>s</w:t>
      </w:r>
      <w:r>
        <w:t xml:space="preserve"> for consultation:</w:t>
      </w:r>
    </w:p>
    <w:p w14:paraId="71CE7BC1" w14:textId="401181CA" w:rsidR="004A287F" w:rsidRDefault="004A287F" w:rsidP="00EC7967">
      <w:pPr>
        <w:pStyle w:val="Paragraph"/>
      </w:pPr>
      <w:r>
        <w:t xml:space="preserve">5. </w:t>
      </w:r>
      <w:r>
        <w:tab/>
      </w:r>
      <w:r w:rsidR="00CC24F4" w:rsidRPr="00CC24F4">
        <w:t xml:space="preserve">The definition of </w:t>
      </w:r>
      <w:r w:rsidR="00C92029">
        <w:t>‘</w:t>
      </w:r>
      <w:r w:rsidR="00CC24F4" w:rsidRPr="00CC24F4">
        <w:t xml:space="preserve">risk </w:t>
      </w:r>
      <w:r w:rsidR="00640653">
        <w:t>factors for</w:t>
      </w:r>
      <w:r w:rsidR="00CC24F4" w:rsidRPr="00CC24F4">
        <w:t xml:space="preserve"> poor outcomes</w:t>
      </w:r>
      <w:r w:rsidR="00C92029">
        <w:t>’</w:t>
      </w:r>
      <w:r w:rsidR="00CC24F4" w:rsidRPr="00CC24F4">
        <w:t xml:space="preserve"> originates from BTS/ NICE/SIGN guideline NG245 Asthma, </w:t>
      </w:r>
      <w:hyperlink r:id="rId15" w:anchor="risk-stratified-care">
        <w:r w:rsidR="00CC24F4" w:rsidRPr="0438B5AA">
          <w:rPr>
            <w:rStyle w:val="Hyperlink"/>
          </w:rPr>
          <w:t>recommendation 1.15.1</w:t>
        </w:r>
      </w:hyperlink>
      <w:r w:rsidR="00CC24F4">
        <w:t>.</w:t>
      </w:r>
      <w:r w:rsidR="00CC24F4" w:rsidRPr="00CC24F4">
        <w:t xml:space="preserve"> The risk factor in the recommendation relating to SABA inhalers uses a threshold of more than 2 per year. </w:t>
      </w:r>
      <w:r w:rsidR="0021688A" w:rsidRPr="00CC24F4">
        <w:t>However,</w:t>
      </w:r>
      <w:r w:rsidR="00CC24F4" w:rsidRPr="00CC24F4">
        <w:t xml:space="preserve"> the </w:t>
      </w:r>
      <w:r w:rsidR="00122D89">
        <w:t>NICE</w:t>
      </w:r>
      <w:r w:rsidR="00CC24F4">
        <w:t xml:space="preserve"> </w:t>
      </w:r>
      <w:r w:rsidR="00CC24F4" w:rsidRPr="00CC24F4">
        <w:t xml:space="preserve">Indicator Advisory Committee suggested that this would identify too many people as high risk (this concern was </w:t>
      </w:r>
      <w:r w:rsidR="00CC24F4" w:rsidRPr="00CC24F4">
        <w:lastRenderedPageBreak/>
        <w:t xml:space="preserve">validated by testing in CPRD </w:t>
      </w:r>
      <w:proofErr w:type="spellStart"/>
      <w:r w:rsidR="00CC24F4" w:rsidRPr="00CC24F4">
        <w:t>Aurum</w:t>
      </w:r>
      <w:proofErr w:type="spellEnd"/>
      <w:r w:rsidR="00CC24F4" w:rsidRPr="00CC24F4">
        <w:t xml:space="preserve"> which found 45% of people with asthma were prescribed 3+ SABAs per year). Additionally, feedback from NHS England noted that for data extraction purposes, a </w:t>
      </w:r>
      <w:r w:rsidR="001D5785">
        <w:t xml:space="preserve">high </w:t>
      </w:r>
      <w:r w:rsidR="00CC24F4" w:rsidRPr="00CC24F4">
        <w:t xml:space="preserve">prescription count could cause issues for </w:t>
      </w:r>
      <w:r w:rsidR="00D2429B">
        <w:t xml:space="preserve">IT system </w:t>
      </w:r>
      <w:r w:rsidR="00CC24F4" w:rsidRPr="00CC24F4">
        <w:t xml:space="preserve">suppliers. </w:t>
      </w:r>
      <w:r w:rsidR="0021688A" w:rsidRPr="00CC24F4">
        <w:t>Therefore,</w:t>
      </w:r>
      <w:r w:rsidR="00CC24F4" w:rsidRPr="00CC24F4">
        <w:t xml:space="preserve"> a pragmatic cutoff of 6 or more SABA inhalers has been included in the indicator definition. Is this a suitable value to identify patients at risk of poor outcomes?</w:t>
      </w:r>
    </w:p>
    <w:bookmarkEnd w:id="43"/>
    <w:p w14:paraId="15358ACE" w14:textId="3C1A2C5B" w:rsidR="00C44FF4" w:rsidRDefault="0021688A" w:rsidP="00EC7967">
      <w:pPr>
        <w:pStyle w:val="Paragraph"/>
      </w:pPr>
      <w:r>
        <w:t>6.</w:t>
      </w:r>
      <w:r>
        <w:tab/>
      </w:r>
      <w:r w:rsidR="00E2313E" w:rsidRPr="00E2313E">
        <w:t xml:space="preserve">For the risk factors based on visits to an emergency department or hospital admission, it </w:t>
      </w:r>
      <w:r w:rsidR="00A17336">
        <w:t>would</w:t>
      </w:r>
      <w:r w:rsidR="00A17336" w:rsidRPr="00E2313E">
        <w:t xml:space="preserve"> </w:t>
      </w:r>
      <w:r w:rsidR="00E2313E" w:rsidRPr="00E2313E">
        <w:t xml:space="preserve">not </w:t>
      </w:r>
      <w:r w:rsidR="002A1153">
        <w:t xml:space="preserve">be </w:t>
      </w:r>
      <w:r w:rsidR="00E2313E" w:rsidRPr="00E2313E">
        <w:t xml:space="preserve">possible to </w:t>
      </w:r>
      <w:r w:rsidR="00A17336">
        <w:t>link</w:t>
      </w:r>
      <w:r w:rsidR="00C44FF4">
        <w:t xml:space="preserve"> to</w:t>
      </w:r>
      <w:r w:rsidR="00A17336" w:rsidRPr="00E2313E">
        <w:t xml:space="preserve"> </w:t>
      </w:r>
      <w:r w:rsidR="00E2313E" w:rsidRPr="00E2313E">
        <w:t xml:space="preserve">Hospital Episode Statistics (HES) data </w:t>
      </w:r>
      <w:r w:rsidR="00C44FF4">
        <w:t xml:space="preserve">if extracting data </w:t>
      </w:r>
      <w:r w:rsidR="00B46BD1">
        <w:t xml:space="preserve">via the General Practice Extraction Service </w:t>
      </w:r>
      <w:r w:rsidR="00C44FF4">
        <w:t>for</w:t>
      </w:r>
      <w:r w:rsidR="00C44FF4" w:rsidRPr="00E2313E">
        <w:t xml:space="preserve"> </w:t>
      </w:r>
      <w:r w:rsidR="00E2313E" w:rsidRPr="00E2313E">
        <w:t>QOF</w:t>
      </w:r>
      <w:r w:rsidR="00D36202">
        <w:t xml:space="preserve">. Therefore, </w:t>
      </w:r>
      <w:r w:rsidR="00C44FF4">
        <w:t xml:space="preserve">the proposal is for </w:t>
      </w:r>
      <w:r w:rsidR="00E2313E" w:rsidRPr="00E2313E">
        <w:t xml:space="preserve">patients with these risk factors </w:t>
      </w:r>
      <w:r w:rsidR="00C44FF4">
        <w:t>to</w:t>
      </w:r>
      <w:r w:rsidR="00C44FF4" w:rsidRPr="00E2313E">
        <w:t xml:space="preserve"> </w:t>
      </w:r>
      <w:r w:rsidR="00E2313E" w:rsidRPr="00E2313E">
        <w:t>be identified by SNOMED codes</w:t>
      </w:r>
      <w:r w:rsidR="00C44FF4">
        <w:t xml:space="preserve"> in general practice </w:t>
      </w:r>
      <w:r w:rsidR="00D36202">
        <w:t>records only</w:t>
      </w:r>
      <w:r w:rsidR="00E2313E" w:rsidRPr="00E2313E">
        <w:t xml:space="preserve">. It is proposed that 2 means of identifying relevant patients are used: </w:t>
      </w:r>
    </w:p>
    <w:p w14:paraId="2E32BBDF" w14:textId="77777777" w:rsidR="00C44FF4" w:rsidRDefault="00E2313E" w:rsidP="00FE0077">
      <w:pPr>
        <w:pStyle w:val="NICEnormal"/>
        <w:spacing w:after="120"/>
      </w:pPr>
      <w:r w:rsidRPr="00E2313E">
        <w:t xml:space="preserve">(i) presence of a code for an asthma-specific emergency attendance/hospital admission; or </w:t>
      </w:r>
    </w:p>
    <w:p w14:paraId="2C524856" w14:textId="77777777" w:rsidR="00C44FF4" w:rsidRDefault="00E2313E" w:rsidP="00FE0077">
      <w:pPr>
        <w:pStyle w:val="NICEnormal"/>
        <w:spacing w:after="120"/>
      </w:pPr>
      <w:r w:rsidRPr="00E2313E">
        <w:t xml:space="preserve">(ii) presence of a generic code for emergency attendance/hospital admission plus coding of a same-day asthma/lower-respiratory tract infection diagnosis. </w:t>
      </w:r>
    </w:p>
    <w:p w14:paraId="43D2EB6E" w14:textId="3ABF5380" w:rsidR="005E7228" w:rsidRDefault="00E2313E" w:rsidP="00B36476">
      <w:pPr>
        <w:pStyle w:val="NICEnormal"/>
        <w:rPr>
          <w:rFonts w:cs="Arial"/>
          <w:b/>
          <w:bCs/>
          <w:kern w:val="32"/>
          <w:sz w:val="32"/>
          <w:szCs w:val="32"/>
        </w:rPr>
      </w:pPr>
      <w:r w:rsidRPr="00E2313E">
        <w:t xml:space="preserve">Testing this approach in CPRD </w:t>
      </w:r>
      <w:proofErr w:type="spellStart"/>
      <w:r w:rsidRPr="00E2313E">
        <w:t>Aurum</w:t>
      </w:r>
      <w:proofErr w:type="spellEnd"/>
      <w:r w:rsidRPr="00E2313E">
        <w:t xml:space="preserve"> found that compared to HES data, CPRD data for hospital admissions for asthma may be comparable, however emergency attendance for asthma may be underestimated. The</w:t>
      </w:r>
      <w:r w:rsidR="00122D89">
        <w:t xml:space="preserve"> NICE</w:t>
      </w:r>
      <w:r w:rsidRPr="00E2313E">
        <w:t xml:space="preserve"> </w:t>
      </w:r>
      <w:r w:rsidR="008F01CC" w:rsidRPr="008F01CC">
        <w:t xml:space="preserve">Indicator Advisory Committee </w:t>
      </w:r>
      <w:r w:rsidR="008F01CC">
        <w:t>agreed</w:t>
      </w:r>
      <w:r w:rsidRPr="00E2313E">
        <w:t xml:space="preserve"> that it would be preferable to include the identified patients even though some patients with these risk factors may be omitted. Do you agree with this approach?</w:t>
      </w:r>
      <w:r w:rsidR="00EC54FD">
        <w:tab/>
      </w:r>
      <w:r w:rsidR="005E7228">
        <w:br w:type="page"/>
      </w:r>
    </w:p>
    <w:p w14:paraId="2496C17F" w14:textId="1DAB3C99" w:rsidR="005E7228" w:rsidRDefault="005E7228" w:rsidP="005E7228">
      <w:pPr>
        <w:pStyle w:val="Heading1"/>
      </w:pPr>
      <w:bookmarkStart w:id="47" w:name="_Toc351402426"/>
      <w:bookmarkStart w:id="48" w:name="_Toc201916047"/>
      <w:r>
        <w:lastRenderedPageBreak/>
        <w:t>Asthma: MART (high risk patients)</w:t>
      </w:r>
      <w:bookmarkEnd w:id="47"/>
      <w:bookmarkEnd w:id="48"/>
    </w:p>
    <w:p w14:paraId="4689E593" w14:textId="47DD7581" w:rsidR="005E7228" w:rsidRDefault="00C83E8C" w:rsidP="005E7228">
      <w:pPr>
        <w:pStyle w:val="Paragraph"/>
      </w:pPr>
      <w:r>
        <w:t>GID-IND10320</w:t>
      </w:r>
      <w:r w:rsidR="005E7228">
        <w:t xml:space="preserve">: </w:t>
      </w:r>
      <w:r w:rsidR="00571EA2" w:rsidRPr="00571EA2">
        <w:t>The percentage of patients with asthma aged 12 years or over with a risk factor for poor outcomes who are receiving maintenance and reliever therapy (MART).</w:t>
      </w:r>
    </w:p>
    <w:p w14:paraId="33391A56" w14:textId="77777777" w:rsidR="005E7228" w:rsidRDefault="005E7228" w:rsidP="005E7228">
      <w:pPr>
        <w:pStyle w:val="Heading2"/>
      </w:pPr>
      <w:r>
        <w:t>Indicator type</w:t>
      </w:r>
    </w:p>
    <w:p w14:paraId="081251C0" w14:textId="77777777" w:rsidR="005E7228" w:rsidRPr="00571EA2" w:rsidRDefault="005E7228" w:rsidP="005E7228">
      <w:pPr>
        <w:pStyle w:val="Paragraph"/>
      </w:pPr>
      <w:r w:rsidRPr="00571EA2">
        <w:t>General practice indicator suitable for use in the QOF</w:t>
      </w:r>
    </w:p>
    <w:p w14:paraId="5A2F4121" w14:textId="77777777" w:rsidR="005E7228" w:rsidRDefault="005E7228" w:rsidP="005E7228">
      <w:pPr>
        <w:pStyle w:val="Heading2"/>
      </w:pPr>
      <w:r>
        <w:t>Rationale</w:t>
      </w:r>
    </w:p>
    <w:p w14:paraId="2D05FE99" w14:textId="77777777" w:rsidR="00294097" w:rsidRDefault="00294097" w:rsidP="00294097">
      <w:pPr>
        <w:pStyle w:val="Paragraph"/>
      </w:pPr>
      <w:r>
        <w:t>This indicator aims to improve asthma control and prevent future events such as exacerbations, hospitalisations and deaths.</w:t>
      </w:r>
    </w:p>
    <w:p w14:paraId="7ACBD9C1" w14:textId="3514578A" w:rsidR="00571EA2" w:rsidRDefault="00294097" w:rsidP="00294097">
      <w:pPr>
        <w:pStyle w:val="Paragraph"/>
      </w:pPr>
      <w:r>
        <w:t xml:space="preserve">People with medication over-use or previous </w:t>
      </w:r>
      <w:r w:rsidR="005379C5">
        <w:t xml:space="preserve">emergency </w:t>
      </w:r>
      <w:r w:rsidR="00310942">
        <w:t xml:space="preserve">attendance at hospital for an exacerbation </w:t>
      </w:r>
      <w:r>
        <w:t>are more likely to be at greater risk of poor outcomes (including death, hospital admission, and the need for out-of-hours contacts or visits to an emergency department for asthma exacerbations). A focus on improved medicines optimisation in this population aims to support better asthma control through individualised, patient-centred care.</w:t>
      </w:r>
    </w:p>
    <w:p w14:paraId="7A5DD485" w14:textId="77777777" w:rsidR="00BE07AC" w:rsidRDefault="00BE07AC" w:rsidP="00BE07AC">
      <w:pPr>
        <w:pStyle w:val="Paragraph"/>
      </w:pPr>
      <w:r>
        <w:t xml:space="preserve">A risk factor for poor outcomes is defined as any of the following in the year preceding the current reporting period: </w:t>
      </w:r>
    </w:p>
    <w:p w14:paraId="7CAEF390" w14:textId="77777777" w:rsidR="00BE07AC" w:rsidRDefault="00BE07AC" w:rsidP="00BE07AC">
      <w:pPr>
        <w:pStyle w:val="Bullets"/>
      </w:pPr>
      <w:r>
        <w:t xml:space="preserve">6 or more short-acting beta2 agonist (SABA) inhalers </w:t>
      </w:r>
    </w:p>
    <w:p w14:paraId="5EC2E840" w14:textId="77777777" w:rsidR="00BE07AC" w:rsidRDefault="00BE07AC" w:rsidP="00BE07AC">
      <w:pPr>
        <w:pStyle w:val="Bullets"/>
      </w:pPr>
      <w:r>
        <w:t>2 or more oral corticosteroids</w:t>
      </w:r>
    </w:p>
    <w:p w14:paraId="7654D2B6" w14:textId="77777777" w:rsidR="00BE07AC" w:rsidRDefault="00BE07AC" w:rsidP="00BE07AC">
      <w:pPr>
        <w:pStyle w:val="Bullets"/>
      </w:pPr>
      <w:r>
        <w:t>2 or more visits to an emergency department for asthma</w:t>
      </w:r>
    </w:p>
    <w:p w14:paraId="2F248CCD" w14:textId="77777777" w:rsidR="00BE07AC" w:rsidRDefault="00BE07AC" w:rsidP="00BE07AC">
      <w:pPr>
        <w:pStyle w:val="Bullets"/>
      </w:pPr>
      <w:r>
        <w:t>Any hospital admission for asthma.</w:t>
      </w:r>
    </w:p>
    <w:p w14:paraId="3802B53C" w14:textId="0DEDE4D8" w:rsidR="0438B5AA" w:rsidRDefault="0438B5AA" w:rsidP="0438B5AA">
      <w:pPr>
        <w:pStyle w:val="Bullets"/>
        <w:numPr>
          <w:ilvl w:val="0"/>
          <w:numId w:val="0"/>
        </w:numPr>
        <w:ind w:left="993"/>
      </w:pPr>
    </w:p>
    <w:p w14:paraId="385877AF" w14:textId="3436395A" w:rsidR="00BE07AC" w:rsidRDefault="00BE07AC" w:rsidP="00B36476">
      <w:pPr>
        <w:pStyle w:val="Paragraph"/>
      </w:pPr>
      <w:r>
        <w:t>T</w:t>
      </w:r>
      <w:r w:rsidRPr="00263E42">
        <w:t xml:space="preserve">esting </w:t>
      </w:r>
      <w:r w:rsidR="00540FEF" w:rsidRPr="00540FEF">
        <w:t xml:space="preserve">by NICE in June 2025 of </w:t>
      </w:r>
      <w:r w:rsidR="00ED63B1" w:rsidRPr="00ED63B1">
        <w:t xml:space="preserve">Clinical Practice Research Datalink </w:t>
      </w:r>
      <w:r w:rsidR="00ED63B1">
        <w:t xml:space="preserve">(CPRD) </w:t>
      </w:r>
      <w:proofErr w:type="spellStart"/>
      <w:r w:rsidRPr="00263E42">
        <w:t>Aurum</w:t>
      </w:r>
      <w:proofErr w:type="spellEnd"/>
      <w:r w:rsidRPr="00263E42">
        <w:t xml:space="preserve"> </w:t>
      </w:r>
      <w:r w:rsidRPr="00D14D99">
        <w:t>found that using this definition of risk factors for poor outcomes equates to around</w:t>
      </w:r>
      <w:r w:rsidRPr="00263E42">
        <w:t xml:space="preserve"> </w:t>
      </w:r>
      <w:r>
        <w:t xml:space="preserve">29% </w:t>
      </w:r>
      <w:r w:rsidRPr="00263E42">
        <w:t>of all people aged 12 years or over with asthma.</w:t>
      </w:r>
      <w:r>
        <w:t xml:space="preserve"> </w:t>
      </w:r>
      <w:r w:rsidRPr="00BE07AC">
        <w:t xml:space="preserve">CPRD </w:t>
      </w:r>
      <w:proofErr w:type="spellStart"/>
      <w:r w:rsidRPr="00BE07AC">
        <w:t>Aurum</w:t>
      </w:r>
      <w:proofErr w:type="spellEnd"/>
      <w:r w:rsidRPr="00BE07AC">
        <w:t xml:space="preserve"> March 2025 (Version 2025.03.001) [Data set]. Clinical Practice Research Datalink. </w:t>
      </w:r>
      <w:hyperlink r:id="rId16" w:history="1">
        <w:r w:rsidR="00ED63B1" w:rsidRPr="00576B89">
          <w:rPr>
            <w:rStyle w:val="Hyperlink"/>
          </w:rPr>
          <w:t>https://doi.org/10.48329/6570-ge08</w:t>
        </w:r>
      </w:hyperlink>
      <w:r w:rsidRPr="00BE07AC">
        <w:t>.</w:t>
      </w:r>
    </w:p>
    <w:p w14:paraId="499F535D" w14:textId="77777777" w:rsidR="005E7228" w:rsidRDefault="005E7228" w:rsidP="005E7228">
      <w:pPr>
        <w:pStyle w:val="Heading2"/>
      </w:pPr>
      <w:r>
        <w:lastRenderedPageBreak/>
        <w:t xml:space="preserve">Source guidance  </w:t>
      </w:r>
    </w:p>
    <w:p w14:paraId="33653248" w14:textId="3A40C94B" w:rsidR="00752329" w:rsidRDefault="007A01DE" w:rsidP="005E7228">
      <w:pPr>
        <w:pStyle w:val="Paragraph"/>
        <w:rPr>
          <w:b/>
          <w:bCs/>
        </w:rPr>
      </w:pPr>
      <w:hyperlink r:id="rId17" w:history="1">
        <w:r>
          <w:rPr>
            <w:rStyle w:val="Hyperlink"/>
          </w:rPr>
          <w:t>BTS / NICE / SIGN</w:t>
        </w:r>
        <w:r w:rsidR="00752329" w:rsidRPr="00752329">
          <w:rPr>
            <w:rStyle w:val="Hyperlink"/>
          </w:rPr>
          <w:t xml:space="preserve"> guideline on asthma: diagnosis, monitoring and chronic asthma management</w:t>
        </w:r>
      </w:hyperlink>
      <w:r w:rsidR="00752329" w:rsidRPr="00752329">
        <w:t xml:space="preserve"> (2024) recommendations 1.7.3, 1.7.4, 1.7.8, 1.7.9 and 1.15.1.</w:t>
      </w:r>
    </w:p>
    <w:p w14:paraId="4917DBAB" w14:textId="77777777" w:rsidR="005E7228" w:rsidRDefault="005E7228" w:rsidP="005E7228">
      <w:pPr>
        <w:pStyle w:val="Heading2"/>
      </w:pPr>
      <w:r>
        <w:t>Specification</w:t>
      </w:r>
    </w:p>
    <w:p w14:paraId="33530464" w14:textId="4A727E03" w:rsidR="005E7228" w:rsidRDefault="005E7228" w:rsidP="005E7228">
      <w:pPr>
        <w:pStyle w:val="Paragraph"/>
      </w:pPr>
      <w:r>
        <w:t xml:space="preserve">Numerator: </w:t>
      </w:r>
      <w:r w:rsidR="00604128" w:rsidRPr="00604128">
        <w:t>The number of patients in the denominator who are receiving maintenance and reliever therapy (MART).</w:t>
      </w:r>
    </w:p>
    <w:p w14:paraId="12DC4D51" w14:textId="419C7BCB" w:rsidR="005E7228" w:rsidRPr="00867CDA" w:rsidRDefault="005E7228" w:rsidP="005E7228">
      <w:pPr>
        <w:pStyle w:val="Paragraph"/>
      </w:pPr>
      <w:r>
        <w:t xml:space="preserve">Denominator: </w:t>
      </w:r>
      <w:r w:rsidR="003E7C61" w:rsidRPr="003E7C61">
        <w:t>The number of patients with asthma aged 12 years or over with a risk factor for poor outcomes</w:t>
      </w:r>
      <w:r w:rsidR="003E7C61">
        <w:t>.</w:t>
      </w:r>
    </w:p>
    <w:p w14:paraId="288EDFDD" w14:textId="1E47091F" w:rsidR="005E7228" w:rsidRDefault="005E7228" w:rsidP="005E7228">
      <w:pPr>
        <w:pStyle w:val="Paragraph"/>
      </w:pPr>
      <w:r w:rsidRPr="0088658B">
        <w:t>Definition:</w:t>
      </w:r>
      <w:r w:rsidR="003E7C61">
        <w:t xml:space="preserve"> </w:t>
      </w:r>
      <w:r w:rsidR="001271BA" w:rsidRPr="001271BA">
        <w:t>Risk factors for poor outcomes include any of the following</w:t>
      </w:r>
      <w:r w:rsidR="001271BA">
        <w:t>:</w:t>
      </w:r>
    </w:p>
    <w:p w14:paraId="3FD0E982" w14:textId="77777777" w:rsidR="005279E8" w:rsidRDefault="005279E8" w:rsidP="005279E8">
      <w:pPr>
        <w:pStyle w:val="Bullets"/>
      </w:pPr>
      <w:r>
        <w:t>Prescription of 6 or more short-acting beta</w:t>
      </w:r>
      <w:r w:rsidRPr="00E61F9B">
        <w:rPr>
          <w:vertAlign w:val="subscript"/>
        </w:rPr>
        <w:t>2</w:t>
      </w:r>
      <w:r>
        <w:t xml:space="preserve"> agonist (SABA) inhalers or 2 or more oral corticosteroids in the year preceding the reporting period.</w:t>
      </w:r>
    </w:p>
    <w:p w14:paraId="71953178" w14:textId="4C9AE4A3" w:rsidR="001271BA" w:rsidRDefault="005279E8" w:rsidP="00B36476">
      <w:pPr>
        <w:pStyle w:val="Bullets"/>
        <w:spacing w:after="120"/>
        <w:ind w:left="992" w:hanging="425"/>
      </w:pPr>
      <w:r>
        <w:t>Two or more visits to an emergency department or any hospital admission for asthma in the year preceding the reporting period.</w:t>
      </w:r>
    </w:p>
    <w:p w14:paraId="21477E4E" w14:textId="10EF54CD" w:rsidR="005E7228" w:rsidRDefault="005E7228" w:rsidP="005E7228">
      <w:pPr>
        <w:pStyle w:val="Paragraph"/>
      </w:pPr>
      <w:r w:rsidRPr="00606C2B">
        <w:t>Personalised care adjustments or exception reporting should be considered to account for situations where the patient declines</w:t>
      </w:r>
      <w:r w:rsidR="0073649E">
        <w:t xml:space="preserve"> or</w:t>
      </w:r>
      <w:r w:rsidRPr="00606C2B">
        <w:t xml:space="preserve"> does not attend.</w:t>
      </w:r>
    </w:p>
    <w:p w14:paraId="4EC52CF5" w14:textId="7EAF9055" w:rsidR="005E7228" w:rsidRDefault="005E7228" w:rsidP="005E7228">
      <w:pPr>
        <w:pStyle w:val="Heading2"/>
      </w:pPr>
      <w:r>
        <w:t>Question</w:t>
      </w:r>
      <w:r w:rsidR="0030176A">
        <w:t>s</w:t>
      </w:r>
      <w:r>
        <w:t xml:space="preserve"> for consultation: </w:t>
      </w:r>
    </w:p>
    <w:p w14:paraId="7D49DABC" w14:textId="6CE62C12" w:rsidR="00E91F61" w:rsidRDefault="00EC7967" w:rsidP="00EC7967">
      <w:pPr>
        <w:pStyle w:val="Paragraph"/>
      </w:pPr>
      <w:r>
        <w:t>7</w:t>
      </w:r>
      <w:r w:rsidR="005E7228">
        <w:t xml:space="preserve">. </w:t>
      </w:r>
      <w:r w:rsidR="005E7228">
        <w:tab/>
      </w:r>
      <w:r w:rsidR="00B20D30" w:rsidRPr="00B20D30">
        <w:t xml:space="preserve">Questions </w:t>
      </w:r>
      <w:r w:rsidR="003A711D">
        <w:t>5</w:t>
      </w:r>
      <w:r w:rsidR="00B20D30" w:rsidRPr="00B20D30">
        <w:t xml:space="preserve"> </w:t>
      </w:r>
      <w:r>
        <w:t>and 6</w:t>
      </w:r>
      <w:r w:rsidR="00B20D30" w:rsidRPr="00B20D30">
        <w:t xml:space="preserve"> </w:t>
      </w:r>
      <w:r w:rsidR="00AA330C">
        <w:t>for</w:t>
      </w:r>
      <w:r w:rsidR="00AA330C" w:rsidRPr="00B20D30">
        <w:t xml:space="preserve"> </w:t>
      </w:r>
      <w:r w:rsidR="003A711D">
        <w:t>indicator 2025-1</w:t>
      </w:r>
      <w:r w:rsidR="00B20D30" w:rsidRPr="00B20D30">
        <w:t xml:space="preserve"> </w:t>
      </w:r>
      <w:r w:rsidR="00AA330C">
        <w:t>(</w:t>
      </w:r>
      <w:r w:rsidR="008C45B3" w:rsidRPr="008C45B3">
        <w:t xml:space="preserve">annual review </w:t>
      </w:r>
      <w:r w:rsidR="00B77AC2">
        <w:t>in</w:t>
      </w:r>
      <w:r w:rsidR="008C45B3" w:rsidRPr="008C45B3">
        <w:t xml:space="preserve"> high risk patients)</w:t>
      </w:r>
      <w:r w:rsidR="008C45B3">
        <w:t xml:space="preserve"> </w:t>
      </w:r>
      <w:r>
        <w:t>related to</w:t>
      </w:r>
      <w:r w:rsidR="00B20D30" w:rsidRPr="00B20D30">
        <w:t xml:space="preserve"> the definition of ‘risk </w:t>
      </w:r>
      <w:r w:rsidR="00404A99">
        <w:t>factors for</w:t>
      </w:r>
      <w:r w:rsidR="00B20D30" w:rsidRPr="00B20D30">
        <w:t xml:space="preserve"> poor outcomes’ are also relevant to this indicator. Do you have any additional comments on risk factors that specifically relate to this indicator</w:t>
      </w:r>
      <w:r w:rsidR="00E0473A">
        <w:t>?</w:t>
      </w:r>
    </w:p>
    <w:p w14:paraId="7D3AEE84" w14:textId="77777777" w:rsidR="005E7228" w:rsidRDefault="005E7228">
      <w:pPr>
        <w:rPr>
          <w:rFonts w:ascii="Arial" w:hAnsi="Arial" w:cs="Arial"/>
          <w:b/>
          <w:bCs/>
          <w:kern w:val="32"/>
          <w:sz w:val="32"/>
          <w:szCs w:val="32"/>
        </w:rPr>
      </w:pPr>
      <w:r>
        <w:br w:type="page"/>
      </w:r>
    </w:p>
    <w:p w14:paraId="0159CF3E" w14:textId="1DFC25C8" w:rsidR="005E7228" w:rsidRDefault="00FF7746" w:rsidP="005E7228">
      <w:pPr>
        <w:pStyle w:val="Heading1"/>
      </w:pPr>
      <w:bookmarkStart w:id="49" w:name="_Toc544493081"/>
      <w:bookmarkStart w:id="50" w:name="_Toc201916048"/>
      <w:r>
        <w:lastRenderedPageBreak/>
        <w:t>Infections: delayed antibiotic prescribing</w:t>
      </w:r>
      <w:bookmarkEnd w:id="49"/>
      <w:bookmarkEnd w:id="50"/>
    </w:p>
    <w:p w14:paraId="6D702036" w14:textId="7FF81F4F" w:rsidR="005E7228" w:rsidRDefault="00C83E8C" w:rsidP="005E7228">
      <w:pPr>
        <w:pStyle w:val="Paragraph"/>
      </w:pPr>
      <w:r>
        <w:t>GID-IND10323</w:t>
      </w:r>
      <w:r w:rsidR="005E7228">
        <w:t xml:space="preserve">: </w:t>
      </w:r>
      <w:r w:rsidR="00EB22A0" w:rsidRPr="00EB22A0">
        <w:t>The percentage of recorded sore throat, otitis media, sinusitis</w:t>
      </w:r>
      <w:r w:rsidR="007865C3">
        <w:t xml:space="preserve"> or</w:t>
      </w:r>
      <w:r w:rsidR="00EB22A0" w:rsidRPr="00EB22A0">
        <w:t xml:space="preserve"> cough in the preceding 12 months resulting in the provision of self-care advice only or back up delayed prescription for antibiotics.</w:t>
      </w:r>
    </w:p>
    <w:p w14:paraId="0190BBA5" w14:textId="77777777" w:rsidR="005E7228" w:rsidRDefault="005E7228" w:rsidP="005E7228">
      <w:pPr>
        <w:pStyle w:val="Heading2"/>
      </w:pPr>
      <w:r>
        <w:t>Indicator type</w:t>
      </w:r>
    </w:p>
    <w:p w14:paraId="219AAF45" w14:textId="028714CE" w:rsidR="005E7228" w:rsidRPr="00B36476" w:rsidRDefault="005E7228" w:rsidP="005E7228">
      <w:pPr>
        <w:pStyle w:val="Paragraph"/>
      </w:pPr>
      <w:r w:rsidRPr="00B36476">
        <w:t>General practice indicator suitable for use in the QOF</w:t>
      </w:r>
    </w:p>
    <w:p w14:paraId="0D50CA6A" w14:textId="77777777" w:rsidR="005E7228" w:rsidRDefault="005E7228" w:rsidP="005E7228">
      <w:pPr>
        <w:pStyle w:val="Heading2"/>
      </w:pPr>
      <w:r>
        <w:t>Rationale</w:t>
      </w:r>
    </w:p>
    <w:p w14:paraId="117DE5C0" w14:textId="63B02EF1" w:rsidR="006E1FA6" w:rsidRDefault="006E1FA6" w:rsidP="006E1FA6">
      <w:pPr>
        <w:pStyle w:val="ParagraphNumbered"/>
      </w:pPr>
      <w:r>
        <w:t>Providing ‘self-care advice only’ or ‘back-up (delayed)’ prescriptions can help to prevent overuse of antibiotics, reduce antibiotic resistance and result in fewer side effects for patients from antibiotics. S</w:t>
      </w:r>
      <w:r w:rsidRPr="00F47913">
        <w:t>ore throat, otitis media, sinusitis</w:t>
      </w:r>
      <w:r w:rsidR="007865C3">
        <w:t xml:space="preserve"> or</w:t>
      </w:r>
      <w:r w:rsidRPr="00F47913">
        <w:t xml:space="preserve"> cough </w:t>
      </w:r>
      <w:r>
        <w:t xml:space="preserve">are all conditions in which most people would not benefit from provision of an antibiotic. </w:t>
      </w:r>
    </w:p>
    <w:p w14:paraId="04C45362" w14:textId="77777777" w:rsidR="005E7228" w:rsidRDefault="005E7228" w:rsidP="005E7228">
      <w:pPr>
        <w:pStyle w:val="Heading2"/>
      </w:pPr>
      <w:r>
        <w:t xml:space="preserve">Source guidance  </w:t>
      </w:r>
    </w:p>
    <w:p w14:paraId="7ABF8B6C" w14:textId="0E5AE70D" w:rsidR="005E7228" w:rsidRDefault="005E7228" w:rsidP="005E7228">
      <w:pPr>
        <w:pStyle w:val="Paragraph"/>
      </w:pPr>
      <w:hyperlink r:id="rId18" w:history="1">
        <w:r w:rsidRPr="00ED7978">
          <w:rPr>
            <w:rStyle w:val="Hyperlink"/>
          </w:rPr>
          <w:t xml:space="preserve">NICE’s guideline on </w:t>
        </w:r>
        <w:r w:rsidR="00365F82" w:rsidRPr="00ED7978">
          <w:rPr>
            <w:rStyle w:val="Hyperlink"/>
          </w:rPr>
          <w:t>sore throat</w:t>
        </w:r>
      </w:hyperlink>
      <w:r w:rsidR="0057639C">
        <w:t xml:space="preserve"> </w:t>
      </w:r>
      <w:r>
        <w:t>(</w:t>
      </w:r>
      <w:r w:rsidR="0057639C">
        <w:t>2018</w:t>
      </w:r>
      <w:r>
        <w:t>)</w:t>
      </w:r>
      <w:r w:rsidRPr="00A63C8A">
        <w:t xml:space="preserve"> recommendation</w:t>
      </w:r>
      <w:r w:rsidR="001419DA">
        <w:t>s 1.1.1 and 1.1.12</w:t>
      </w:r>
      <w:r w:rsidRPr="00A63C8A">
        <w:t xml:space="preserve">. </w:t>
      </w:r>
    </w:p>
    <w:p w14:paraId="18B2CEB7" w14:textId="6E8C1409" w:rsidR="00B542C5" w:rsidRDefault="00B542C5" w:rsidP="005E7228">
      <w:pPr>
        <w:pStyle w:val="Paragraph"/>
      </w:pPr>
      <w:hyperlink r:id="rId19" w:history="1">
        <w:r w:rsidRPr="00AB7AF3">
          <w:rPr>
            <w:rStyle w:val="Hyperlink"/>
          </w:rPr>
          <w:t xml:space="preserve">NICE’s guideline on </w:t>
        </w:r>
        <w:r w:rsidR="00365F82" w:rsidRPr="00AB7AF3">
          <w:rPr>
            <w:rStyle w:val="Hyperlink"/>
          </w:rPr>
          <w:t>otitis media</w:t>
        </w:r>
      </w:hyperlink>
      <w:r w:rsidR="00223AD9">
        <w:t xml:space="preserve"> (2018) recommendations</w:t>
      </w:r>
      <w:r w:rsidR="00AB7AF3">
        <w:t xml:space="preserve"> 1.1.1 and 1.1.13.</w:t>
      </w:r>
    </w:p>
    <w:p w14:paraId="08342E85" w14:textId="40B49854" w:rsidR="00B542C5" w:rsidRDefault="00B542C5" w:rsidP="005E7228">
      <w:pPr>
        <w:pStyle w:val="Paragraph"/>
      </w:pPr>
      <w:hyperlink r:id="rId20" w:history="1">
        <w:r w:rsidRPr="00E80619">
          <w:rPr>
            <w:rStyle w:val="Hyperlink"/>
          </w:rPr>
          <w:t xml:space="preserve">NICE’s guideline on </w:t>
        </w:r>
        <w:r w:rsidR="00365F82" w:rsidRPr="00E80619">
          <w:rPr>
            <w:rStyle w:val="Hyperlink"/>
          </w:rPr>
          <w:t>sinusitis</w:t>
        </w:r>
      </w:hyperlink>
      <w:r w:rsidR="00EA7A30">
        <w:t xml:space="preserve"> (2017) recommendations</w:t>
      </w:r>
      <w:r w:rsidR="00E80619">
        <w:t xml:space="preserve"> 1.1.1 and 1.1.8.</w:t>
      </w:r>
    </w:p>
    <w:p w14:paraId="6DE187CE" w14:textId="4C01967C" w:rsidR="00E6045C" w:rsidRDefault="00B542C5" w:rsidP="00B36476">
      <w:pPr>
        <w:pStyle w:val="Paragraph"/>
      </w:pPr>
      <w:hyperlink r:id="rId21" w:history="1">
        <w:r w:rsidRPr="004025C7">
          <w:rPr>
            <w:rStyle w:val="Hyperlink"/>
          </w:rPr>
          <w:t xml:space="preserve">NICE’s guideline on </w:t>
        </w:r>
        <w:r w:rsidR="00365F82" w:rsidRPr="004025C7">
          <w:rPr>
            <w:rStyle w:val="Hyperlink"/>
          </w:rPr>
          <w:t>cough</w:t>
        </w:r>
      </w:hyperlink>
      <w:r w:rsidR="00365F82">
        <w:t xml:space="preserve"> </w:t>
      </w:r>
      <w:r w:rsidR="004025C7">
        <w:t>(2019) recommendations 1.1.8 and 1.1.14.</w:t>
      </w:r>
    </w:p>
    <w:p w14:paraId="2154B09D" w14:textId="77777777" w:rsidR="005E7228" w:rsidRDefault="005E7228" w:rsidP="005E7228">
      <w:pPr>
        <w:pStyle w:val="Heading2"/>
      </w:pPr>
      <w:r>
        <w:t>Specification</w:t>
      </w:r>
    </w:p>
    <w:p w14:paraId="49082C9C" w14:textId="4185CB15" w:rsidR="005E7228" w:rsidRDefault="005E7228" w:rsidP="000753B2">
      <w:pPr>
        <w:pStyle w:val="Paragraph"/>
        <w:spacing w:before="120" w:after="120"/>
      </w:pPr>
      <w:r>
        <w:t xml:space="preserve">Numerator: </w:t>
      </w:r>
      <w:r w:rsidR="00155C15" w:rsidRPr="006A4151">
        <w:t>The number in the denominator resulting in the provision of self-care advice only or back up delayed prescription for antibiotics.</w:t>
      </w:r>
    </w:p>
    <w:p w14:paraId="59A431A4" w14:textId="52271AA1" w:rsidR="005E7228" w:rsidRPr="00867CDA" w:rsidRDefault="005E7228" w:rsidP="005E7228">
      <w:pPr>
        <w:pStyle w:val="Paragraph"/>
      </w:pPr>
      <w:r>
        <w:t xml:space="preserve">Denominator: </w:t>
      </w:r>
      <w:r w:rsidR="007B4AAB" w:rsidRPr="006A4151">
        <w:t>The number of recorded sore throat, otitis media, sinusitis</w:t>
      </w:r>
      <w:r w:rsidR="007865C3">
        <w:t xml:space="preserve"> or</w:t>
      </w:r>
      <w:r w:rsidR="007B4AAB" w:rsidRPr="006A4151">
        <w:t xml:space="preserve"> cough in the preceding 12 months.</w:t>
      </w:r>
    </w:p>
    <w:p w14:paraId="4F5266C3" w14:textId="5C3EF988" w:rsidR="00CF2F1B" w:rsidRDefault="005E7228" w:rsidP="00CF2F1B">
      <w:pPr>
        <w:pStyle w:val="ParagraphNumbered"/>
        <w:ind w:left="425" w:hanging="425"/>
      </w:pPr>
      <w:r w:rsidRPr="0088658B">
        <w:t>Definition</w:t>
      </w:r>
      <w:r w:rsidR="00CF2F1B">
        <w:t>s</w:t>
      </w:r>
      <w:r w:rsidRPr="0088658B">
        <w:t>:</w:t>
      </w:r>
      <w:r w:rsidR="00CF2F1B">
        <w:t xml:space="preserve"> </w:t>
      </w:r>
    </w:p>
    <w:p w14:paraId="4D91F563" w14:textId="64F5BA99" w:rsidR="00CF2F1B" w:rsidRDefault="2B4AD0F4" w:rsidP="00CF2F1B">
      <w:pPr>
        <w:pStyle w:val="ParagraphNumbered"/>
      </w:pPr>
      <w:r>
        <w:t xml:space="preserve">Provision of ‘self-care advice only’ </w:t>
      </w:r>
      <w:r w:rsidR="00FE1E0E">
        <w:t xml:space="preserve">will </w:t>
      </w:r>
      <w:r>
        <w:t xml:space="preserve">be inferred from the use of appropriate self-care advice codes and no antibiotic prescription within 3 days. </w:t>
      </w:r>
    </w:p>
    <w:p w14:paraId="0B1139AC" w14:textId="08E4FFEA" w:rsidR="005E7228" w:rsidRDefault="00CF2F1B" w:rsidP="00CF2F1B">
      <w:pPr>
        <w:pStyle w:val="ParagraphNumbered"/>
      </w:pPr>
      <w:r>
        <w:lastRenderedPageBreak/>
        <w:t>Back-up (delayed) prescriptions are</w:t>
      </w:r>
      <w:r w:rsidRPr="00801EE4">
        <w:t xml:space="preserve"> a prescribing strategy where a healthcare provider issues a prescription for antibiotics but advises the patient to wait before filling it</w:t>
      </w:r>
      <w:r>
        <w:t xml:space="preserve"> and</w:t>
      </w:r>
      <w:r w:rsidRPr="00801EE4">
        <w:t xml:space="preserve"> to only fill it if certain conditions worsen or persist after a set period, usually 48 to 72 hours.</w:t>
      </w:r>
    </w:p>
    <w:p w14:paraId="2EDE2DD6" w14:textId="23D4788E" w:rsidR="005E7228" w:rsidRDefault="005E7228" w:rsidP="005E7228">
      <w:pPr>
        <w:pStyle w:val="Paragraph"/>
      </w:pPr>
      <w:r>
        <w:t xml:space="preserve">Exclusions: </w:t>
      </w:r>
    </w:p>
    <w:p w14:paraId="1C9146FB" w14:textId="51DC054A" w:rsidR="005E7228" w:rsidRDefault="004A107C" w:rsidP="00EC1F45">
      <w:pPr>
        <w:pStyle w:val="Bullets"/>
        <w:numPr>
          <w:ilvl w:val="0"/>
          <w:numId w:val="1"/>
        </w:numPr>
        <w:tabs>
          <w:tab w:val="clear" w:pos="993"/>
        </w:tabs>
        <w:spacing w:after="120" w:line="276" w:lineRule="auto"/>
      </w:pPr>
      <w:r>
        <w:t>People who are immunosuppressed</w:t>
      </w:r>
      <w:r w:rsidR="00FB086E">
        <w:t xml:space="preserve"> (all ages)</w:t>
      </w:r>
    </w:p>
    <w:p w14:paraId="1E05A752" w14:textId="77777777" w:rsidR="008D0956" w:rsidRDefault="008D0956" w:rsidP="008D0956">
      <w:pPr>
        <w:pStyle w:val="Bullets"/>
        <w:numPr>
          <w:ilvl w:val="0"/>
          <w:numId w:val="0"/>
        </w:numPr>
        <w:tabs>
          <w:tab w:val="clear" w:pos="993"/>
        </w:tabs>
        <w:spacing w:after="120" w:line="276" w:lineRule="auto"/>
        <w:ind w:left="1134"/>
      </w:pPr>
    </w:p>
    <w:p w14:paraId="7EB0D2B9" w14:textId="72A2225D" w:rsidR="005E7228" w:rsidRDefault="005E7228" w:rsidP="2A35A6D9">
      <w:pPr>
        <w:pStyle w:val="Heading2"/>
        <w:spacing w:after="120"/>
      </w:pPr>
      <w:r>
        <w:t xml:space="preserve">Question for consultation: </w:t>
      </w:r>
    </w:p>
    <w:p w14:paraId="26CDED05" w14:textId="0D983BF1" w:rsidR="008D0956" w:rsidRPr="008D0956" w:rsidRDefault="00EC7967" w:rsidP="00EC7967">
      <w:pPr>
        <w:pStyle w:val="Paragraph"/>
        <w:rPr>
          <w:rFonts w:eastAsia="Arial"/>
        </w:rPr>
      </w:pPr>
      <w:r>
        <w:rPr>
          <w:rFonts w:eastAsia="Arial"/>
        </w:rPr>
        <w:t>8</w:t>
      </w:r>
      <w:r w:rsidR="4C7BFAFE" w:rsidRPr="2A35A6D9">
        <w:rPr>
          <w:rFonts w:eastAsia="Arial"/>
        </w:rPr>
        <w:t xml:space="preserve">. </w:t>
      </w:r>
      <w:r>
        <w:rPr>
          <w:rFonts w:eastAsia="Arial"/>
        </w:rPr>
        <w:tab/>
      </w:r>
      <w:r w:rsidR="008D0956" w:rsidRPr="008D0956">
        <w:rPr>
          <w:rFonts w:eastAsia="Arial"/>
        </w:rPr>
        <w:t>Are there concerns about unintended consequences, such as increased follow-up visits or complications?</w:t>
      </w:r>
    </w:p>
    <w:p w14:paraId="423BD954" w14:textId="244053F6" w:rsidR="008D0956" w:rsidRPr="008D0956" w:rsidRDefault="00EC7967" w:rsidP="00EC7967">
      <w:pPr>
        <w:pStyle w:val="Paragraph"/>
        <w:rPr>
          <w:rFonts w:eastAsia="Arial"/>
        </w:rPr>
      </w:pPr>
      <w:r>
        <w:rPr>
          <w:rFonts w:eastAsia="Arial"/>
        </w:rPr>
        <w:t>9</w:t>
      </w:r>
      <w:r w:rsidR="008D0956">
        <w:rPr>
          <w:rFonts w:eastAsia="Arial"/>
        </w:rPr>
        <w:t xml:space="preserve">. </w:t>
      </w:r>
      <w:r>
        <w:rPr>
          <w:rFonts w:eastAsia="Arial"/>
        </w:rPr>
        <w:tab/>
      </w:r>
      <w:r w:rsidR="008D0956" w:rsidRPr="008D0956">
        <w:rPr>
          <w:rFonts w:eastAsia="Arial"/>
        </w:rPr>
        <w:t xml:space="preserve">What practical challenges might </w:t>
      </w:r>
      <w:r w:rsidR="008D0956" w:rsidRPr="00EC7967">
        <w:rPr>
          <w:rFonts w:eastAsia="Arial"/>
        </w:rPr>
        <w:t>clinicians</w:t>
      </w:r>
      <w:r w:rsidR="008D0956" w:rsidRPr="008D0956">
        <w:rPr>
          <w:rFonts w:eastAsia="Arial"/>
        </w:rPr>
        <w:t xml:space="preserve"> face in integrating this indicator into routine practice?</w:t>
      </w:r>
    </w:p>
    <w:p w14:paraId="6F202458" w14:textId="77777777" w:rsidR="005E7228" w:rsidRDefault="005E7228">
      <w:pPr>
        <w:rPr>
          <w:rFonts w:ascii="Arial" w:hAnsi="Arial" w:cs="Arial"/>
          <w:b/>
          <w:bCs/>
          <w:kern w:val="32"/>
          <w:sz w:val="32"/>
          <w:szCs w:val="32"/>
        </w:rPr>
      </w:pPr>
      <w:r>
        <w:br w:type="page"/>
      </w:r>
    </w:p>
    <w:p w14:paraId="65B13788" w14:textId="5AD10540" w:rsidR="005E7228" w:rsidRDefault="006C734A" w:rsidP="005E7228">
      <w:pPr>
        <w:pStyle w:val="Heading1"/>
      </w:pPr>
      <w:bookmarkStart w:id="51" w:name="_Toc1146290237"/>
      <w:bookmarkStart w:id="52" w:name="_Toc201916049"/>
      <w:r>
        <w:lastRenderedPageBreak/>
        <w:t>Infections: scoring tools for sore throat</w:t>
      </w:r>
      <w:bookmarkEnd w:id="51"/>
      <w:bookmarkEnd w:id="52"/>
    </w:p>
    <w:p w14:paraId="5AAC4288" w14:textId="3ADB4D03" w:rsidR="005E7228" w:rsidRDefault="00C83E8C" w:rsidP="000753B2">
      <w:pPr>
        <w:pStyle w:val="Paragraph"/>
        <w:spacing w:before="120" w:after="120"/>
      </w:pPr>
      <w:r>
        <w:t>GID-IND</w:t>
      </w:r>
      <w:r w:rsidR="002D69D4">
        <w:t>10324</w:t>
      </w:r>
      <w:r w:rsidR="005E7228">
        <w:t xml:space="preserve">: </w:t>
      </w:r>
      <w:r w:rsidR="007F56B8" w:rsidRPr="004402EF">
        <w:t xml:space="preserve">The percentage of diagnoses of sore throat in the preceding 12 months with a recorded </w:t>
      </w:r>
      <w:proofErr w:type="spellStart"/>
      <w:r w:rsidR="007F56B8" w:rsidRPr="004402EF">
        <w:t>FeverPain</w:t>
      </w:r>
      <w:proofErr w:type="spellEnd"/>
      <w:r w:rsidR="007F56B8" w:rsidRPr="004402EF">
        <w:t xml:space="preserve"> or </w:t>
      </w:r>
      <w:proofErr w:type="spellStart"/>
      <w:r w:rsidR="007F56B8" w:rsidRPr="004402EF">
        <w:t>Centor</w:t>
      </w:r>
      <w:proofErr w:type="spellEnd"/>
      <w:r w:rsidR="007F56B8" w:rsidRPr="004402EF">
        <w:t xml:space="preserve"> score.</w:t>
      </w:r>
    </w:p>
    <w:p w14:paraId="1D814B5A" w14:textId="77777777" w:rsidR="005E7228" w:rsidRDefault="005E7228" w:rsidP="005E7228">
      <w:pPr>
        <w:pStyle w:val="Heading2"/>
      </w:pPr>
      <w:r>
        <w:t>Indicator type</w:t>
      </w:r>
    </w:p>
    <w:p w14:paraId="6CBBE415" w14:textId="77777777" w:rsidR="005E7228" w:rsidRPr="00B36476" w:rsidRDefault="005E7228" w:rsidP="005E7228">
      <w:pPr>
        <w:pStyle w:val="Paragraph"/>
      </w:pPr>
      <w:r w:rsidRPr="00B36476">
        <w:t>General practice indicator suitable for use in the QOF</w:t>
      </w:r>
    </w:p>
    <w:p w14:paraId="29A222BA" w14:textId="77777777" w:rsidR="005E7228" w:rsidRDefault="005E7228" w:rsidP="005E7228">
      <w:pPr>
        <w:pStyle w:val="Heading2"/>
      </w:pPr>
      <w:r>
        <w:t>Rationale</w:t>
      </w:r>
    </w:p>
    <w:p w14:paraId="4ABA6394" w14:textId="77777777" w:rsidR="00A75DBA" w:rsidRDefault="00A75DBA" w:rsidP="00A75DBA">
      <w:pPr>
        <w:pStyle w:val="ParagraphNumbered"/>
      </w:pPr>
      <w:r>
        <w:t xml:space="preserve">People with a sore throat caused by streptococcal bacteria are more likely to benefit from </w:t>
      </w:r>
      <w:r w:rsidRPr="007B2FD4">
        <w:rPr>
          <w:rFonts w:cs="Arial"/>
        </w:rPr>
        <w:t>antibiotics</w:t>
      </w:r>
      <w:r>
        <w:rPr>
          <w:rFonts w:cs="Arial"/>
        </w:rPr>
        <w:t xml:space="preserve">. </w:t>
      </w:r>
      <w:proofErr w:type="spellStart"/>
      <w:r w:rsidRPr="007B2FD4">
        <w:rPr>
          <w:rFonts w:cs="Arial"/>
        </w:rPr>
        <w:t>FeverPAIN</w:t>
      </w:r>
      <w:proofErr w:type="spellEnd"/>
      <w:r w:rsidRPr="007B2FD4">
        <w:rPr>
          <w:rFonts w:cs="Arial"/>
        </w:rPr>
        <w:t> or </w:t>
      </w:r>
      <w:proofErr w:type="spellStart"/>
      <w:r w:rsidRPr="007B2FD4">
        <w:rPr>
          <w:rFonts w:cs="Arial"/>
        </w:rPr>
        <w:t>Centor</w:t>
      </w:r>
      <w:proofErr w:type="spellEnd"/>
      <w:r w:rsidRPr="007B2FD4">
        <w:rPr>
          <w:rFonts w:cs="Arial"/>
        </w:rPr>
        <w:t xml:space="preserve"> criteria</w:t>
      </w:r>
      <w:r>
        <w:t> are clinical scoring tools that can help to identify who might benefit from antibiotic treatment. This can help to prevent overuse of antibiotics, reduce antibiotic resistance and result in fewer side effects from antibiotics.</w:t>
      </w:r>
    </w:p>
    <w:p w14:paraId="421B5EFA" w14:textId="77777777" w:rsidR="005E7228" w:rsidRDefault="005E7228" w:rsidP="005E7228">
      <w:pPr>
        <w:pStyle w:val="Heading2"/>
      </w:pPr>
      <w:r>
        <w:t xml:space="preserve">Source guidance  </w:t>
      </w:r>
    </w:p>
    <w:p w14:paraId="088A7AE5" w14:textId="18DCCDA8" w:rsidR="00C63D63" w:rsidRDefault="00C63D63" w:rsidP="00C63D63">
      <w:pPr>
        <w:pStyle w:val="Paragraph"/>
      </w:pPr>
      <w:hyperlink r:id="rId22" w:history="1">
        <w:r w:rsidRPr="00ED7978">
          <w:rPr>
            <w:rStyle w:val="Hyperlink"/>
          </w:rPr>
          <w:t>NICE’s guideline on sore throat</w:t>
        </w:r>
      </w:hyperlink>
      <w:r>
        <w:t xml:space="preserve"> (2018)</w:t>
      </w:r>
      <w:r w:rsidRPr="00A63C8A">
        <w:t xml:space="preserve"> recommendation</w:t>
      </w:r>
      <w:r>
        <w:t xml:space="preserve"> 1.1.3</w:t>
      </w:r>
      <w:r w:rsidRPr="00A63C8A">
        <w:t xml:space="preserve">. </w:t>
      </w:r>
    </w:p>
    <w:p w14:paraId="323B828D" w14:textId="77777777" w:rsidR="005E7228" w:rsidRDefault="005E7228" w:rsidP="005E7228">
      <w:pPr>
        <w:pStyle w:val="Heading2"/>
      </w:pPr>
      <w:r>
        <w:t>Specification</w:t>
      </w:r>
    </w:p>
    <w:p w14:paraId="48D5083A" w14:textId="16C019F2" w:rsidR="002F5127" w:rsidRPr="006A4151" w:rsidRDefault="005E7228" w:rsidP="000753B2">
      <w:pPr>
        <w:pStyle w:val="Paragraph"/>
        <w:spacing w:before="120" w:after="120"/>
      </w:pPr>
      <w:r>
        <w:t xml:space="preserve">Numerator: </w:t>
      </w:r>
      <w:r w:rsidR="002F5127" w:rsidRPr="004402EF">
        <w:t xml:space="preserve">The number in the denominator with a recorded </w:t>
      </w:r>
      <w:proofErr w:type="spellStart"/>
      <w:r w:rsidR="002F5127" w:rsidRPr="004402EF">
        <w:t>FeverPain</w:t>
      </w:r>
      <w:proofErr w:type="spellEnd"/>
      <w:r w:rsidR="002F5127" w:rsidRPr="004402EF">
        <w:t xml:space="preserve"> or </w:t>
      </w:r>
      <w:proofErr w:type="spellStart"/>
      <w:r w:rsidR="002F5127" w:rsidRPr="004402EF">
        <w:t>Centor</w:t>
      </w:r>
      <w:proofErr w:type="spellEnd"/>
      <w:r w:rsidR="002F5127" w:rsidRPr="004402EF">
        <w:t xml:space="preserve"> score.</w:t>
      </w:r>
    </w:p>
    <w:p w14:paraId="5CD2D5B6" w14:textId="45EEBBA5" w:rsidR="005E7228" w:rsidRPr="00867CDA" w:rsidRDefault="005E7228" w:rsidP="005E7228">
      <w:pPr>
        <w:pStyle w:val="Paragraph"/>
      </w:pPr>
      <w:r>
        <w:t xml:space="preserve">Denominator: </w:t>
      </w:r>
      <w:r w:rsidR="000753B2" w:rsidRPr="000753B2">
        <w:t>The number of recorded diagnoses of sore throat in the preceding 12 months.</w:t>
      </w:r>
    </w:p>
    <w:p w14:paraId="13A6EF5F" w14:textId="17DCBFA6" w:rsidR="005E7228" w:rsidRDefault="005E7228" w:rsidP="00B36476">
      <w:pPr>
        <w:pStyle w:val="Paragraph"/>
      </w:pPr>
      <w:r>
        <w:t xml:space="preserve">Exclusion: </w:t>
      </w:r>
      <w:r w:rsidR="00FB086E">
        <w:t>People who are immunosuppressed (all ages)</w:t>
      </w:r>
    </w:p>
    <w:p w14:paraId="711F93E6" w14:textId="77777777" w:rsidR="005E7228" w:rsidRDefault="005E7228" w:rsidP="005E7228">
      <w:pPr>
        <w:pStyle w:val="Heading2"/>
      </w:pPr>
      <w:r>
        <w:t xml:space="preserve">Question for consultation: </w:t>
      </w:r>
    </w:p>
    <w:p w14:paraId="7A87A875" w14:textId="0625C85C" w:rsidR="00166107" w:rsidRPr="00AB3E57" w:rsidRDefault="008D0956" w:rsidP="00EC7967">
      <w:pPr>
        <w:pStyle w:val="Paragraph"/>
      </w:pPr>
      <w:r>
        <w:t>1</w:t>
      </w:r>
      <w:r w:rsidR="00EC7967">
        <w:t>0</w:t>
      </w:r>
      <w:r>
        <w:t xml:space="preserve">. </w:t>
      </w:r>
      <w:r w:rsidR="00EC7967">
        <w:tab/>
      </w:r>
      <w:r w:rsidR="00AB3E57" w:rsidRPr="00AB3E57">
        <w:t>Are there barriers to recording these scores consistently in primary care?</w:t>
      </w:r>
    </w:p>
    <w:p w14:paraId="3C7DC18B" w14:textId="64309AF4" w:rsidR="0438B5AA" w:rsidRDefault="4C3105A5" w:rsidP="7BFDC7C1">
      <w:pPr>
        <w:pStyle w:val="Paragraph"/>
        <w:spacing w:before="240"/>
      </w:pPr>
      <w:r>
        <w:t xml:space="preserve">11. </w:t>
      </w:r>
      <w:r w:rsidR="00B44EA2">
        <w:tab/>
      </w:r>
      <w:r w:rsidR="00D64657">
        <w:t>Is</w:t>
      </w:r>
      <w:r w:rsidR="00FC1085">
        <w:t xml:space="preserve"> a reduction in the coding of sore throat a</w:t>
      </w:r>
      <w:r w:rsidRPr="7BFDC7C1">
        <w:t xml:space="preserve"> </w:t>
      </w:r>
      <w:r w:rsidR="00EC522E">
        <w:t>potential unintended consequence</w:t>
      </w:r>
      <w:r w:rsidRPr="7BFDC7C1">
        <w:t>?</w:t>
      </w:r>
    </w:p>
    <w:p w14:paraId="085EFCC5" w14:textId="77777777" w:rsidR="005E7228" w:rsidRDefault="005E7228">
      <w:pPr>
        <w:rPr>
          <w:rFonts w:ascii="Arial" w:hAnsi="Arial" w:cs="Arial"/>
          <w:b/>
          <w:bCs/>
          <w:kern w:val="32"/>
          <w:sz w:val="32"/>
          <w:szCs w:val="32"/>
        </w:rPr>
      </w:pPr>
      <w:r>
        <w:br w:type="page"/>
      </w:r>
    </w:p>
    <w:p w14:paraId="1066B5E7" w14:textId="00AE1B7A" w:rsidR="005E7228" w:rsidRDefault="006C734A" w:rsidP="005E7228">
      <w:pPr>
        <w:pStyle w:val="Heading1"/>
      </w:pPr>
      <w:bookmarkStart w:id="53" w:name="_Toc830288804"/>
      <w:bookmarkStart w:id="54" w:name="_Toc201916050"/>
      <w:r>
        <w:lastRenderedPageBreak/>
        <w:t>Heart failure: 4 pillars</w:t>
      </w:r>
      <w:r w:rsidR="00A0601A">
        <w:t xml:space="preserve"> (</w:t>
      </w:r>
      <w:r w:rsidR="1FD1E11A">
        <w:t>heart failure with reduced ejection fraction</w:t>
      </w:r>
      <w:r w:rsidR="00A0601A">
        <w:t>)</w:t>
      </w:r>
      <w:bookmarkEnd w:id="53"/>
      <w:bookmarkEnd w:id="54"/>
    </w:p>
    <w:p w14:paraId="2307F8C0" w14:textId="4E75D460" w:rsidR="009633A9" w:rsidRDefault="002D69D4" w:rsidP="005E7228">
      <w:pPr>
        <w:pStyle w:val="Paragraph"/>
      </w:pPr>
      <w:r>
        <w:t>GID-IND10325</w:t>
      </w:r>
      <w:r w:rsidR="005E7228">
        <w:t xml:space="preserve">: </w:t>
      </w:r>
      <w:r w:rsidR="00434EF6" w:rsidRPr="00434EF6">
        <w:t xml:space="preserve">The percentage of patients with a current diagnosis of heart failure </w:t>
      </w:r>
      <w:r w:rsidR="005D2B5B">
        <w:t>with</w:t>
      </w:r>
      <w:r w:rsidR="00434EF6" w:rsidRPr="00434EF6">
        <w:t xml:space="preserve"> </w:t>
      </w:r>
      <w:r w:rsidR="0067211E">
        <w:t>reduced ejection fract</w:t>
      </w:r>
      <w:r w:rsidR="005D2B5B">
        <w:t>ion</w:t>
      </w:r>
      <w:r w:rsidR="00434EF6" w:rsidRPr="00434EF6">
        <w:t>, who are currently treated with</w:t>
      </w:r>
      <w:r w:rsidR="009633A9">
        <w:t>:</w:t>
      </w:r>
      <w:r w:rsidR="00434EF6" w:rsidRPr="00434EF6">
        <w:t xml:space="preserve"> </w:t>
      </w:r>
    </w:p>
    <w:p w14:paraId="16C27E54" w14:textId="77777777" w:rsidR="005431FD" w:rsidRDefault="005431FD" w:rsidP="00B36476">
      <w:pPr>
        <w:pStyle w:val="Bullets"/>
      </w:pPr>
      <w:r>
        <w:t>an angiotensin-converting enzyme inhibitor or angiotensin receptor-neprilysin inhibitor or angiotensin II receptor blocker</w:t>
      </w:r>
    </w:p>
    <w:p w14:paraId="3E7518E9" w14:textId="77777777" w:rsidR="005431FD" w:rsidRDefault="005431FD" w:rsidP="00B36476">
      <w:pPr>
        <w:pStyle w:val="Bullets"/>
      </w:pPr>
      <w:r>
        <w:t xml:space="preserve">a beta blocker </w:t>
      </w:r>
    </w:p>
    <w:p w14:paraId="2D49658F" w14:textId="77777777" w:rsidR="005431FD" w:rsidRDefault="005431FD" w:rsidP="00B36476">
      <w:pPr>
        <w:pStyle w:val="Bullets"/>
      </w:pPr>
      <w:r>
        <w:t xml:space="preserve">a mineralocorticoid receptor antagonist </w:t>
      </w:r>
    </w:p>
    <w:p w14:paraId="4F5D0EB9" w14:textId="1C8E353B" w:rsidR="005E7228" w:rsidRDefault="005431FD" w:rsidP="00B36476">
      <w:pPr>
        <w:pStyle w:val="Bullets"/>
      </w:pPr>
      <w:r>
        <w:t>a sodium glucose co-transporter-2 inhibitor</w:t>
      </w:r>
      <w:r w:rsidR="00434EF6" w:rsidRPr="00434EF6">
        <w:t>.</w:t>
      </w:r>
    </w:p>
    <w:p w14:paraId="400AA4B3" w14:textId="77777777" w:rsidR="005E7228" w:rsidRDefault="005E7228" w:rsidP="005E7228">
      <w:pPr>
        <w:pStyle w:val="Heading2"/>
      </w:pPr>
      <w:r>
        <w:t>Indicator type</w:t>
      </w:r>
    </w:p>
    <w:p w14:paraId="5D0125A3" w14:textId="77777777" w:rsidR="005E7228" w:rsidRPr="00B36476" w:rsidRDefault="005E7228" w:rsidP="005E7228">
      <w:pPr>
        <w:pStyle w:val="Paragraph"/>
      </w:pPr>
      <w:r w:rsidRPr="00B36476">
        <w:t>General practice indicator suitable for use in the QOF</w:t>
      </w:r>
    </w:p>
    <w:p w14:paraId="1A0C11BD" w14:textId="77777777" w:rsidR="005E7228" w:rsidRDefault="005E7228" w:rsidP="005E7228">
      <w:pPr>
        <w:pStyle w:val="Heading2"/>
      </w:pPr>
      <w:r>
        <w:t>Rationale</w:t>
      </w:r>
    </w:p>
    <w:p w14:paraId="5C11492A" w14:textId="1B595C8F" w:rsidR="005E7228" w:rsidRDefault="008552F9" w:rsidP="00EE345D">
      <w:pPr>
        <w:pStyle w:val="ParagraphNumbered"/>
      </w:pPr>
      <w:r>
        <w:t xml:space="preserve">The updated </w:t>
      </w:r>
      <w:r w:rsidR="3BC8E5DB">
        <w:t>draft</w:t>
      </w:r>
      <w:r>
        <w:t xml:space="preserve"> NICE guideline for chronic heart failure</w:t>
      </w:r>
      <w:r w:rsidR="00497A81">
        <w:t xml:space="preserve"> </w:t>
      </w:r>
      <w:r w:rsidR="00346266">
        <w:t>promotes the</w:t>
      </w:r>
      <w:r w:rsidR="00CD78AE">
        <w:t xml:space="preserve"> four</w:t>
      </w:r>
      <w:r w:rsidR="0CED29B1">
        <w:t>-</w:t>
      </w:r>
      <w:r w:rsidR="00CD78AE">
        <w:t>pillar medication</w:t>
      </w:r>
      <w:r w:rsidR="00C86306">
        <w:t xml:space="preserve"> approach (ACE inhibitors</w:t>
      </w:r>
      <w:r w:rsidR="00E56965">
        <w:t xml:space="preserve">, </w:t>
      </w:r>
      <w:r w:rsidR="00C86306">
        <w:t>beta-blockers</w:t>
      </w:r>
      <w:r w:rsidR="00E56965">
        <w:t>, SGLT2 inhibitors</w:t>
      </w:r>
      <w:r w:rsidR="009321EA">
        <w:t>,</w:t>
      </w:r>
      <w:r w:rsidR="00E56965">
        <w:t xml:space="preserve"> and MRAs)</w:t>
      </w:r>
      <w:r w:rsidR="00FB71BF">
        <w:t xml:space="preserve"> as first-line treatment</w:t>
      </w:r>
      <w:r w:rsidR="006F0CB5">
        <w:t xml:space="preserve"> </w:t>
      </w:r>
      <w:r w:rsidR="00BE1C8C">
        <w:t>for heart failure with reduced ejection fracti</w:t>
      </w:r>
      <w:r w:rsidR="003E0C51">
        <w:t>on</w:t>
      </w:r>
      <w:r w:rsidR="63A61A05">
        <w:t>.</w:t>
      </w:r>
      <w:r w:rsidR="00EE345D">
        <w:t xml:space="preserve"> </w:t>
      </w:r>
      <w:r w:rsidR="62E73158">
        <w:t>T</w:t>
      </w:r>
      <w:r w:rsidR="083E2484">
        <w:t xml:space="preserve">his approach to care </w:t>
      </w:r>
      <w:r w:rsidR="00DE22CD">
        <w:t xml:space="preserve">is cost-effective and </w:t>
      </w:r>
      <w:r w:rsidR="00EE345D">
        <w:t xml:space="preserve">leads </w:t>
      </w:r>
      <w:r w:rsidR="00DE22CD">
        <w:t>to a reduction in cardiovascular-related mortality and hospital admissions</w:t>
      </w:r>
      <w:r w:rsidR="00EE345D">
        <w:t>.</w:t>
      </w:r>
    </w:p>
    <w:p w14:paraId="1F448433" w14:textId="1F487405" w:rsidR="006C737A" w:rsidRPr="00881430" w:rsidRDefault="006C737A" w:rsidP="006C737A">
      <w:pPr>
        <w:pStyle w:val="ParagraphNumbered"/>
      </w:pPr>
      <w:r w:rsidRPr="00881430">
        <w:t xml:space="preserve">The existing QOF </w:t>
      </w:r>
      <w:r w:rsidR="1357F545">
        <w:t xml:space="preserve">prescribing </w:t>
      </w:r>
      <w:r>
        <w:t xml:space="preserve">indicators </w:t>
      </w:r>
      <w:r w:rsidR="1F2AB286">
        <w:t>(HF003 and HF006)</w:t>
      </w:r>
      <w:r w:rsidRPr="00881430">
        <w:t xml:space="preserve"> include people with LVSD or reduced ejection fraction. </w:t>
      </w:r>
      <w:r>
        <w:t>This draft indicator focuses only on people with reduced ejection fraction, but i</w:t>
      </w:r>
      <w:r w:rsidRPr="00881430">
        <w:t xml:space="preserve">t is likely that ejection fraction </w:t>
      </w:r>
      <w:r>
        <w:t xml:space="preserve">category is under-recorded </w:t>
      </w:r>
      <w:r w:rsidRPr="00881430">
        <w:t>for the prevalent population</w:t>
      </w:r>
      <w:r>
        <w:t xml:space="preserve">. </w:t>
      </w:r>
      <w:r w:rsidR="003D58CF">
        <w:t xml:space="preserve">Studies by </w:t>
      </w:r>
      <w:hyperlink r:id="rId23">
        <w:r w:rsidRPr="0438B5AA">
          <w:rPr>
            <w:rStyle w:val="Hyperlink"/>
          </w:rPr>
          <w:t>Bellanca et al</w:t>
        </w:r>
      </w:hyperlink>
      <w:r>
        <w:t xml:space="preserve"> (2023), </w:t>
      </w:r>
      <w:hyperlink r:id="rId24">
        <w:r w:rsidRPr="0438B5AA">
          <w:rPr>
            <w:rStyle w:val="Hyperlink"/>
          </w:rPr>
          <w:t>Nakao et al</w:t>
        </w:r>
      </w:hyperlink>
      <w:r>
        <w:t xml:space="preserve"> (2023) and </w:t>
      </w:r>
      <w:hyperlink r:id="rId25">
        <w:r w:rsidRPr="0438B5AA">
          <w:rPr>
            <w:rStyle w:val="Hyperlink"/>
          </w:rPr>
          <w:t>Sundaram et al</w:t>
        </w:r>
      </w:hyperlink>
      <w:r>
        <w:t xml:space="preserve"> (2022) report a recording of heart failure subtype in general practice between 13% and 26%. </w:t>
      </w:r>
    </w:p>
    <w:p w14:paraId="3B96AAFE" w14:textId="1B597AEC" w:rsidR="006C737A" w:rsidRPr="00881430" w:rsidRDefault="006C737A" w:rsidP="006C737A">
      <w:pPr>
        <w:pStyle w:val="ParagraphNumbered"/>
      </w:pPr>
      <w:r>
        <w:t xml:space="preserve">Testing by NICE in June 2025 of </w:t>
      </w:r>
      <w:r w:rsidRPr="00881430">
        <w:t xml:space="preserve">CPRD </w:t>
      </w:r>
      <w:proofErr w:type="spellStart"/>
      <w:r>
        <w:t>Aurum</w:t>
      </w:r>
      <w:proofErr w:type="spellEnd"/>
      <w:r>
        <w:t xml:space="preserve"> </w:t>
      </w:r>
      <w:r w:rsidRPr="00881430">
        <w:t>suggests:</w:t>
      </w:r>
    </w:p>
    <w:p w14:paraId="1E2AABE4" w14:textId="77777777" w:rsidR="006C737A" w:rsidRDefault="006C737A" w:rsidP="006C737A">
      <w:pPr>
        <w:pStyle w:val="Bullets"/>
      </w:pPr>
      <w:r w:rsidRPr="00881430">
        <w:t>48% of people with heart failure have LVSD recorded</w:t>
      </w:r>
    </w:p>
    <w:p w14:paraId="66110698" w14:textId="77777777" w:rsidR="006C737A" w:rsidRPr="00881430" w:rsidRDefault="006C737A" w:rsidP="006C737A">
      <w:pPr>
        <w:pStyle w:val="Bullets"/>
      </w:pPr>
      <w:r w:rsidRPr="00A31F01">
        <w:t>42% of people with heart failure have an ejection fraction category recorded</w:t>
      </w:r>
    </w:p>
    <w:p w14:paraId="3636DAF9" w14:textId="77777777" w:rsidR="006C737A" w:rsidRPr="00881430" w:rsidRDefault="006C737A" w:rsidP="006C737A">
      <w:pPr>
        <w:pStyle w:val="Bullets"/>
      </w:pPr>
      <w:r w:rsidRPr="00881430">
        <w:lastRenderedPageBreak/>
        <w:t xml:space="preserve">13% of people with heart failure have reduced ejection fraction recorded. </w:t>
      </w:r>
    </w:p>
    <w:p w14:paraId="3766018E" w14:textId="2C6F74FC" w:rsidR="0438B5AA" w:rsidRDefault="0438B5AA" w:rsidP="0438B5AA">
      <w:pPr>
        <w:pStyle w:val="Bullets"/>
        <w:numPr>
          <w:ilvl w:val="0"/>
          <w:numId w:val="0"/>
        </w:numPr>
        <w:ind w:left="993"/>
      </w:pPr>
    </w:p>
    <w:p w14:paraId="717B4F8E" w14:textId="6EE26023" w:rsidR="006C737A" w:rsidRDefault="006C737A" w:rsidP="006C737A">
      <w:pPr>
        <w:pStyle w:val="NICEnormal"/>
        <w:spacing w:after="120"/>
      </w:pPr>
      <w:r w:rsidRPr="003320EB">
        <w:t xml:space="preserve">CPRD </w:t>
      </w:r>
      <w:proofErr w:type="spellStart"/>
      <w:r w:rsidRPr="003320EB">
        <w:t>Aurum</w:t>
      </w:r>
      <w:proofErr w:type="spellEnd"/>
      <w:r w:rsidRPr="003320EB">
        <w:t xml:space="preserve"> March 2025 (Version 2025.03.001) [Data set]. Clinical Practice Research Datalink. </w:t>
      </w:r>
      <w:hyperlink r:id="rId26" w:history="1">
        <w:r w:rsidRPr="00576B89">
          <w:rPr>
            <w:rStyle w:val="Hyperlink"/>
          </w:rPr>
          <w:t>https://doi.org/10.48329/6570-ge08</w:t>
        </w:r>
      </w:hyperlink>
      <w:r>
        <w:t xml:space="preserve">. </w:t>
      </w:r>
    </w:p>
    <w:p w14:paraId="1E30B15E" w14:textId="0B50EFF8" w:rsidR="005E7228" w:rsidRDefault="005E7228" w:rsidP="005E7228">
      <w:pPr>
        <w:pStyle w:val="Heading2"/>
      </w:pPr>
      <w:r>
        <w:t xml:space="preserve">Source guidance  </w:t>
      </w:r>
    </w:p>
    <w:p w14:paraId="4D112635" w14:textId="2F4B5898" w:rsidR="005E7228" w:rsidRDefault="00D93BFC" w:rsidP="005E7228">
      <w:pPr>
        <w:pStyle w:val="Paragraph"/>
        <w:rPr>
          <w:b/>
          <w:bCs/>
        </w:rPr>
      </w:pPr>
      <w:hyperlink r:id="rId27" w:history="1">
        <w:hyperlink r:id="rId28" w:history="1">
          <w:r>
            <w:rPr>
              <w:rStyle w:val="Hyperlink"/>
            </w:rPr>
            <w:t>NICE’s draft guideline on chronic heart failure in adults: diagnosis and management</w:t>
          </w:r>
        </w:hyperlink>
        <w:r w:rsidR="005224E9">
          <w:t xml:space="preserve"> (2018, updated 2025) recommendations 1.4.1 and 1.4.7</w:t>
        </w:r>
      </w:hyperlink>
      <w:r w:rsidR="005E7228" w:rsidRPr="00A63C8A">
        <w:t xml:space="preserve">. </w:t>
      </w:r>
    </w:p>
    <w:p w14:paraId="25F3AEE6" w14:textId="77777777" w:rsidR="005E7228" w:rsidRDefault="005E7228" w:rsidP="005E7228">
      <w:pPr>
        <w:pStyle w:val="Heading2"/>
      </w:pPr>
      <w:r>
        <w:t>Specification</w:t>
      </w:r>
    </w:p>
    <w:p w14:paraId="29F140A5" w14:textId="78928BDE" w:rsidR="005623E1" w:rsidRDefault="005E7228" w:rsidP="00B36476">
      <w:pPr>
        <w:pStyle w:val="Paragraph"/>
      </w:pPr>
      <w:r>
        <w:t xml:space="preserve">Numerator: </w:t>
      </w:r>
      <w:r w:rsidR="00A10AFE" w:rsidRPr="00A10AFE">
        <w:t>The number of patients in the denominator who are currently treated with</w:t>
      </w:r>
      <w:r w:rsidR="005623E1">
        <w:t>:</w:t>
      </w:r>
    </w:p>
    <w:p w14:paraId="167484F5" w14:textId="77777777" w:rsidR="005623E1" w:rsidRDefault="005623E1" w:rsidP="005623E1">
      <w:pPr>
        <w:pStyle w:val="Bullets"/>
      </w:pPr>
      <w:r>
        <w:t>an angiotensin-converting enzyme inhibitor or angiotensin receptor-neprilysin inhibitor or angiotensin II receptor blocker</w:t>
      </w:r>
    </w:p>
    <w:p w14:paraId="0F1D6F44" w14:textId="77777777" w:rsidR="005623E1" w:rsidRDefault="005623E1" w:rsidP="005623E1">
      <w:pPr>
        <w:pStyle w:val="Bullets"/>
      </w:pPr>
      <w:r>
        <w:t xml:space="preserve">a beta blocker </w:t>
      </w:r>
    </w:p>
    <w:p w14:paraId="77424962" w14:textId="77777777" w:rsidR="005623E1" w:rsidRDefault="005623E1" w:rsidP="005623E1">
      <w:pPr>
        <w:pStyle w:val="Bullets"/>
      </w:pPr>
      <w:r>
        <w:t xml:space="preserve">a mineralocorticoid receptor antagonist </w:t>
      </w:r>
    </w:p>
    <w:p w14:paraId="450631F5" w14:textId="77777777" w:rsidR="005623E1" w:rsidRDefault="005623E1" w:rsidP="005623E1">
      <w:pPr>
        <w:pStyle w:val="Bullets"/>
      </w:pPr>
      <w:r>
        <w:t>a sodium glucose co-transporter-2 inhibitor</w:t>
      </w:r>
      <w:r w:rsidRPr="00434EF6">
        <w:t>.</w:t>
      </w:r>
    </w:p>
    <w:p w14:paraId="108979C3" w14:textId="6AF10FC8" w:rsidR="005E7228" w:rsidRDefault="00A10AFE" w:rsidP="005E7228">
      <w:pPr>
        <w:pStyle w:val="Paragraph"/>
      </w:pPr>
      <w:r w:rsidRPr="00A10AFE">
        <w:t>.</w:t>
      </w:r>
    </w:p>
    <w:p w14:paraId="0510D6E8" w14:textId="6B3C2CEE" w:rsidR="005E7228" w:rsidRPr="00867CDA" w:rsidRDefault="005E7228" w:rsidP="005E7228">
      <w:pPr>
        <w:pStyle w:val="Paragraph"/>
      </w:pPr>
      <w:r>
        <w:t xml:space="preserve">Denominator: </w:t>
      </w:r>
      <w:r w:rsidR="000F1F66" w:rsidRPr="000F1F66">
        <w:t>The number of patients with a current diagnosis heart failure</w:t>
      </w:r>
      <w:r w:rsidR="000F1F66">
        <w:t xml:space="preserve"> </w:t>
      </w:r>
      <w:r w:rsidR="000F1F66" w:rsidRPr="000F1F66">
        <w:t>with reduced ejection fraction.</w:t>
      </w:r>
    </w:p>
    <w:p w14:paraId="72112412" w14:textId="249591B3" w:rsidR="005E7228" w:rsidRDefault="005E7228" w:rsidP="005E7228">
      <w:pPr>
        <w:pStyle w:val="Paragraph"/>
      </w:pPr>
      <w:r w:rsidRPr="0088658B">
        <w:t>Definition:</w:t>
      </w:r>
      <w:r w:rsidR="00CA2638">
        <w:t xml:space="preserve"> </w:t>
      </w:r>
      <w:r w:rsidR="00CA2638" w:rsidRPr="00CA2638">
        <w:t>Heart failure with reduced ejection fraction (</w:t>
      </w:r>
      <w:proofErr w:type="spellStart"/>
      <w:r w:rsidR="00CA2638" w:rsidRPr="00CA2638">
        <w:t>HFrEF</w:t>
      </w:r>
      <w:proofErr w:type="spellEnd"/>
      <w:r w:rsidR="00CA2638" w:rsidRPr="00CA2638">
        <w:t>) is a clinical syndrome characteri</w:t>
      </w:r>
      <w:r w:rsidR="00CA2638">
        <w:t>s</w:t>
      </w:r>
      <w:r w:rsidR="00CA2638" w:rsidRPr="00CA2638">
        <w:t>ed by a weakened left ventricle, resulting in an ejection fraction of 40% or les</w:t>
      </w:r>
      <w:r w:rsidR="00CA2638">
        <w:t>s.</w:t>
      </w:r>
    </w:p>
    <w:p w14:paraId="5F14A847" w14:textId="13BA3896" w:rsidR="005E7228" w:rsidRDefault="005E7228" w:rsidP="005E7228">
      <w:pPr>
        <w:pStyle w:val="Paragraph"/>
      </w:pPr>
      <w:r w:rsidRPr="00606C2B">
        <w:t xml:space="preserve">Personalised care adjustments or exception reporting should be considered to account for situations where the patient declines, does not attend </w:t>
      </w:r>
      <w:r w:rsidRPr="00B36476">
        <w:t xml:space="preserve">or </w:t>
      </w:r>
      <w:r w:rsidR="0061074E" w:rsidRPr="00B36476">
        <w:t>has moderate to severe frailty</w:t>
      </w:r>
      <w:r w:rsidR="0032511D" w:rsidRPr="00B36476">
        <w:t xml:space="preserve"> and </w:t>
      </w:r>
      <w:r w:rsidR="00C1310A" w:rsidRPr="00B36476">
        <w:t xml:space="preserve">treatment </w:t>
      </w:r>
      <w:r w:rsidR="00C12A4C" w:rsidRPr="00B36476">
        <w:t>is inappropriate</w:t>
      </w:r>
      <w:r w:rsidRPr="00606C2B">
        <w:t>.</w:t>
      </w:r>
    </w:p>
    <w:p w14:paraId="368888C8" w14:textId="77777777" w:rsidR="005E7228" w:rsidRDefault="005E7228" w:rsidP="005E7228">
      <w:pPr>
        <w:pStyle w:val="Heading2"/>
      </w:pPr>
      <w:r>
        <w:t xml:space="preserve">Question for consultation: </w:t>
      </w:r>
    </w:p>
    <w:p w14:paraId="62D3E547" w14:textId="48FBFE6D" w:rsidR="00612954" w:rsidRDefault="00612954" w:rsidP="00EC7967">
      <w:pPr>
        <w:pStyle w:val="Paragraph"/>
      </w:pPr>
      <w:r>
        <w:t>1</w:t>
      </w:r>
      <w:r w:rsidR="65B4155E">
        <w:t>2</w:t>
      </w:r>
      <w:r>
        <w:t xml:space="preserve">. </w:t>
      </w:r>
      <w:r w:rsidR="00EC7967">
        <w:tab/>
      </w:r>
      <w:r w:rsidRPr="00612954">
        <w:t>Are there</w:t>
      </w:r>
      <w:r w:rsidR="00D03F35">
        <w:t xml:space="preserve"> any</w:t>
      </w:r>
      <w:r w:rsidRPr="00612954">
        <w:t xml:space="preserve"> barriers to prescribing all four recommended drug classes in routine care?</w:t>
      </w:r>
    </w:p>
    <w:p w14:paraId="1695F0CA" w14:textId="33C77C1A" w:rsidR="00881430" w:rsidRDefault="00D449E5" w:rsidP="00EC7967">
      <w:pPr>
        <w:pStyle w:val="Paragraph"/>
      </w:pPr>
      <w:r>
        <w:lastRenderedPageBreak/>
        <w:t>1</w:t>
      </w:r>
      <w:r w:rsidR="4A53F1F5">
        <w:t>3</w:t>
      </w:r>
      <w:r>
        <w:t xml:space="preserve">. </w:t>
      </w:r>
      <w:r w:rsidR="00EC7967">
        <w:tab/>
      </w:r>
      <w:r w:rsidR="00E87396">
        <w:t>D</w:t>
      </w:r>
      <w:r w:rsidR="00881430" w:rsidRPr="2AA23088">
        <w:t xml:space="preserve">o </w:t>
      </w:r>
      <w:r w:rsidR="08197E90" w:rsidRPr="2AA23088">
        <w:t>stakeholders</w:t>
      </w:r>
      <w:r w:rsidR="00881430" w:rsidRPr="00881430">
        <w:t xml:space="preserve"> agree </w:t>
      </w:r>
      <w:r w:rsidR="00E87396">
        <w:t>with the</w:t>
      </w:r>
      <w:r w:rsidR="00881430" w:rsidRPr="00881430">
        <w:t xml:space="preserve"> focus on people with heart failure and recorded reduced ejection fraction</w:t>
      </w:r>
      <w:r w:rsidR="00E87396" w:rsidRPr="00E87396">
        <w:t xml:space="preserve"> </w:t>
      </w:r>
      <w:r w:rsidR="00E87396">
        <w:t>given likely under-</w:t>
      </w:r>
      <w:r w:rsidR="00AF539E">
        <w:t>recording</w:t>
      </w:r>
      <w:r w:rsidR="00881430">
        <w:t xml:space="preserve">? </w:t>
      </w:r>
    </w:p>
    <w:p w14:paraId="457F7E4D" w14:textId="6A445598" w:rsidR="00D02C88" w:rsidRDefault="03625D26" w:rsidP="00D02C88">
      <w:pPr>
        <w:pStyle w:val="Heading1"/>
      </w:pPr>
      <w:bookmarkStart w:id="55" w:name="_Toc962946326"/>
      <w:r>
        <w:br w:type="page"/>
      </w:r>
      <w:bookmarkStart w:id="56" w:name="_Toc201916051"/>
      <w:r w:rsidR="00D02C88">
        <w:lastRenderedPageBreak/>
        <w:t xml:space="preserve">Heart failure: </w:t>
      </w:r>
      <w:r w:rsidR="351912AD">
        <w:t xml:space="preserve">ejection fraction category </w:t>
      </w:r>
      <w:r w:rsidR="330175B9">
        <w:t>(</w:t>
      </w:r>
      <w:r w:rsidR="635A8E18">
        <w:t>new</w:t>
      </w:r>
      <w:r w:rsidR="4451C2F1">
        <w:t>ly</w:t>
      </w:r>
      <w:r w:rsidR="00762ED8">
        <w:t xml:space="preserve"> </w:t>
      </w:r>
      <w:r w:rsidR="635A8E18">
        <w:t>diagnose</w:t>
      </w:r>
      <w:r w:rsidR="5F52AC92">
        <w:t>d)</w:t>
      </w:r>
      <w:bookmarkEnd w:id="55"/>
      <w:bookmarkEnd w:id="56"/>
    </w:p>
    <w:p w14:paraId="113C49FC" w14:textId="29E5B76B" w:rsidR="4F4A7C74" w:rsidRPr="00B36476" w:rsidRDefault="001C63B8" w:rsidP="00A8060E">
      <w:pPr>
        <w:spacing w:line="360" w:lineRule="auto"/>
        <w:rPr>
          <w:rFonts w:ascii="Arial" w:eastAsia="Arial" w:hAnsi="Arial" w:cs="Arial"/>
        </w:rPr>
      </w:pPr>
      <w:r>
        <w:rPr>
          <w:rFonts w:ascii="Arial" w:eastAsia="Arial" w:hAnsi="Arial" w:cs="Arial"/>
        </w:rPr>
        <w:t>GID-IND10327</w:t>
      </w:r>
      <w:r w:rsidR="4F4A7C74" w:rsidRPr="03625D26">
        <w:rPr>
          <w:rFonts w:ascii="Arial" w:eastAsia="Arial" w:hAnsi="Arial" w:cs="Arial"/>
        </w:rPr>
        <w:t xml:space="preserve">: The percentage of patients with a diagnosis </w:t>
      </w:r>
      <w:r w:rsidR="4F4A7C74" w:rsidRPr="003113E2">
        <w:rPr>
          <w:rFonts w:ascii="Arial" w:eastAsia="Arial" w:hAnsi="Arial" w:cs="Arial"/>
        </w:rPr>
        <w:t xml:space="preserve">of </w:t>
      </w:r>
      <w:r w:rsidR="003113E2" w:rsidRPr="03625D26">
        <w:rPr>
          <w:rFonts w:ascii="Arial" w:eastAsia="Arial" w:hAnsi="Arial" w:cs="Arial"/>
        </w:rPr>
        <w:t>heart failure</w:t>
      </w:r>
      <w:r w:rsidR="003113E2">
        <w:rPr>
          <w:rFonts w:ascii="Arial" w:eastAsia="Arial" w:hAnsi="Arial" w:cs="Arial"/>
        </w:rPr>
        <w:t xml:space="preserve"> </w:t>
      </w:r>
      <w:r w:rsidR="00AB0A21">
        <w:rPr>
          <w:rFonts w:ascii="Arial" w:eastAsia="Arial" w:hAnsi="Arial" w:cs="Arial"/>
        </w:rPr>
        <w:t>on or after 1</w:t>
      </w:r>
      <w:r w:rsidR="00AB0A21" w:rsidRPr="00B36476">
        <w:rPr>
          <w:rFonts w:ascii="Arial" w:eastAsia="Arial" w:hAnsi="Arial" w:cs="Arial"/>
          <w:vertAlign w:val="superscript"/>
        </w:rPr>
        <w:t>st</w:t>
      </w:r>
      <w:r w:rsidR="00AB0A21">
        <w:rPr>
          <w:rFonts w:ascii="Arial" w:eastAsia="Arial" w:hAnsi="Arial" w:cs="Arial"/>
        </w:rPr>
        <w:t xml:space="preserve"> April 2026</w:t>
      </w:r>
      <w:r w:rsidR="003113E2">
        <w:t xml:space="preserve"> </w:t>
      </w:r>
      <w:r w:rsidR="00AB0A21" w:rsidRPr="1E894A76">
        <w:rPr>
          <w:rFonts w:ascii="Arial" w:eastAsia="Arial" w:hAnsi="Arial" w:cs="Arial"/>
        </w:rPr>
        <w:t>who</w:t>
      </w:r>
      <w:r w:rsidR="4F4A7C74" w:rsidRPr="03625D26">
        <w:rPr>
          <w:rFonts w:ascii="Arial" w:eastAsia="Arial" w:hAnsi="Arial" w:cs="Arial"/>
        </w:rPr>
        <w:t xml:space="preserve"> </w:t>
      </w:r>
      <w:r w:rsidR="00AB0A21">
        <w:rPr>
          <w:rFonts w:ascii="Arial" w:eastAsia="Arial" w:hAnsi="Arial" w:cs="Arial"/>
        </w:rPr>
        <w:t>have a</w:t>
      </w:r>
      <w:r w:rsidR="00AC0490" w:rsidRPr="03625D26">
        <w:rPr>
          <w:rFonts w:ascii="Arial" w:eastAsia="Arial" w:hAnsi="Arial" w:cs="Arial"/>
        </w:rPr>
        <w:t xml:space="preserve"> recorded ejection fraction </w:t>
      </w:r>
      <w:r w:rsidR="00AB0A21">
        <w:rPr>
          <w:rFonts w:ascii="Arial" w:eastAsia="Arial" w:hAnsi="Arial" w:cs="Arial"/>
        </w:rPr>
        <w:t>category (reduced, mildly reduced, or preserved)</w:t>
      </w:r>
      <w:r w:rsidR="4F4A7C74" w:rsidRPr="03625D26">
        <w:rPr>
          <w:rFonts w:ascii="Arial" w:eastAsia="Arial" w:hAnsi="Arial" w:cs="Arial"/>
        </w:rPr>
        <w:t xml:space="preserve">. </w:t>
      </w:r>
    </w:p>
    <w:p w14:paraId="4D32750C" w14:textId="4B8F43A6" w:rsidR="4F4A7C74" w:rsidRDefault="4F4A7C74" w:rsidP="03625D26">
      <w:pPr>
        <w:pStyle w:val="Heading2"/>
      </w:pPr>
      <w:r w:rsidRPr="03625D26">
        <w:rPr>
          <w:rFonts w:eastAsia="Arial"/>
          <w:color w:val="228096" w:themeColor="accent1"/>
        </w:rPr>
        <w:t>Indicator type</w:t>
      </w:r>
    </w:p>
    <w:p w14:paraId="7AFCAFFC" w14:textId="0F33FD42" w:rsidR="4F4A7C74" w:rsidRPr="00B36476" w:rsidRDefault="4F4A7C74" w:rsidP="03625D26">
      <w:pPr>
        <w:spacing w:after="240" w:line="360" w:lineRule="auto"/>
        <w:rPr>
          <w:rFonts w:ascii="Arial" w:eastAsia="Arial" w:hAnsi="Arial" w:cs="Arial"/>
        </w:rPr>
      </w:pPr>
      <w:r w:rsidRPr="00B36476">
        <w:rPr>
          <w:rFonts w:ascii="Arial" w:eastAsia="Arial" w:hAnsi="Arial" w:cs="Arial"/>
        </w:rPr>
        <w:t>General practice indicator suitable for use in the QOF.</w:t>
      </w:r>
    </w:p>
    <w:p w14:paraId="530D5CFF" w14:textId="267E0021" w:rsidR="4F4A7C74" w:rsidRDefault="4F4A7C74" w:rsidP="03625D26">
      <w:pPr>
        <w:pStyle w:val="Heading2"/>
      </w:pPr>
      <w:r w:rsidRPr="03625D26">
        <w:rPr>
          <w:rFonts w:eastAsia="Arial"/>
          <w:color w:val="228096" w:themeColor="accent1"/>
        </w:rPr>
        <w:t xml:space="preserve">Rationale </w:t>
      </w:r>
    </w:p>
    <w:p w14:paraId="5EE312D9" w14:textId="5CFCBD5F" w:rsidR="4F4A7C74" w:rsidRDefault="4F4A7C74" w:rsidP="00762ED8">
      <w:pPr>
        <w:pStyle w:val="ParagraphNumbered"/>
        <w:rPr>
          <w:rFonts w:eastAsia="Arial"/>
        </w:rPr>
      </w:pPr>
      <w:r w:rsidRPr="03625D26">
        <w:rPr>
          <w:rFonts w:eastAsia="Arial"/>
        </w:rPr>
        <w:t xml:space="preserve">The recording of heart failure (HF) </w:t>
      </w:r>
      <w:r w:rsidR="00476011">
        <w:rPr>
          <w:rFonts w:eastAsia="Arial"/>
        </w:rPr>
        <w:t>ejection fraction category</w:t>
      </w:r>
      <w:r w:rsidRPr="03625D26">
        <w:rPr>
          <w:rFonts w:eastAsia="Arial"/>
        </w:rPr>
        <w:t xml:space="preserve"> </w:t>
      </w:r>
      <w:r w:rsidR="00E677C9">
        <w:rPr>
          <w:rFonts w:eastAsia="Arial" w:cs="Arial"/>
        </w:rPr>
        <w:t>(reduced, mildly reduced, or preserved)</w:t>
      </w:r>
      <w:r w:rsidRPr="03625D26">
        <w:rPr>
          <w:rFonts w:eastAsia="Arial"/>
        </w:rPr>
        <w:t xml:space="preserve"> </w:t>
      </w:r>
      <w:r w:rsidR="002D7086">
        <w:rPr>
          <w:rFonts w:eastAsia="Arial"/>
        </w:rPr>
        <w:t xml:space="preserve">appears to be </w:t>
      </w:r>
      <w:r w:rsidR="38446B97" w:rsidRPr="3CFFB97F">
        <w:rPr>
          <w:rFonts w:eastAsia="Arial"/>
        </w:rPr>
        <w:t>suboptimal</w:t>
      </w:r>
      <w:r w:rsidR="02107C70" w:rsidRPr="3CFFB97F">
        <w:rPr>
          <w:rFonts w:eastAsia="Arial"/>
        </w:rPr>
        <w:t xml:space="preserve"> </w:t>
      </w:r>
      <w:r w:rsidRPr="03625D26">
        <w:rPr>
          <w:rFonts w:eastAsia="Arial"/>
        </w:rPr>
        <w:t>in primary care records, contributing to disparities in treatment and poorer patient outcomes. The lack of precise phenotype classification can result in inconsistent and suboptimal care</w:t>
      </w:r>
      <w:r w:rsidR="520E44BC" w:rsidRPr="3CFFB97F">
        <w:rPr>
          <w:rFonts w:eastAsia="Arial"/>
        </w:rPr>
        <w:t>, through both under and overtreatment</w:t>
      </w:r>
      <w:r w:rsidRPr="3CFFB97F">
        <w:rPr>
          <w:rFonts w:eastAsia="Arial"/>
        </w:rPr>
        <w:t xml:space="preserve">. </w:t>
      </w:r>
      <w:r w:rsidR="00EF499A">
        <w:rPr>
          <w:rFonts w:eastAsia="Arial"/>
        </w:rPr>
        <w:t>Improving</w:t>
      </w:r>
      <w:r w:rsidRPr="03625D26">
        <w:rPr>
          <w:rFonts w:eastAsia="Arial"/>
        </w:rPr>
        <w:t xml:space="preserve"> the </w:t>
      </w:r>
      <w:r w:rsidR="009A5081">
        <w:rPr>
          <w:rFonts w:eastAsia="Arial"/>
        </w:rPr>
        <w:t>routine coding of heart failure type</w:t>
      </w:r>
      <w:r w:rsidRPr="03625D26">
        <w:rPr>
          <w:rFonts w:eastAsia="Arial"/>
        </w:rPr>
        <w:t xml:space="preserve"> in </w:t>
      </w:r>
      <w:r w:rsidR="009A5081">
        <w:rPr>
          <w:rFonts w:eastAsia="Arial"/>
        </w:rPr>
        <w:t xml:space="preserve">general practice </w:t>
      </w:r>
      <w:r w:rsidRPr="03625D26">
        <w:rPr>
          <w:rFonts w:eastAsia="Arial"/>
        </w:rPr>
        <w:t xml:space="preserve">electronic </w:t>
      </w:r>
      <w:r w:rsidR="009A5081">
        <w:rPr>
          <w:rFonts w:eastAsia="Arial"/>
        </w:rPr>
        <w:t>medical</w:t>
      </w:r>
      <w:r w:rsidRPr="03625D26">
        <w:rPr>
          <w:rFonts w:eastAsia="Arial"/>
        </w:rPr>
        <w:t xml:space="preserve"> records (</w:t>
      </w:r>
      <w:r w:rsidRPr="3CFFB97F">
        <w:rPr>
          <w:rFonts w:eastAsia="Arial"/>
        </w:rPr>
        <w:t>E</w:t>
      </w:r>
      <w:r w:rsidR="005D04BB">
        <w:rPr>
          <w:rFonts w:eastAsia="Arial"/>
        </w:rPr>
        <w:t>M</w:t>
      </w:r>
      <w:r w:rsidRPr="3CFFB97F">
        <w:rPr>
          <w:rFonts w:eastAsia="Arial"/>
        </w:rPr>
        <w:t>Rs</w:t>
      </w:r>
      <w:r w:rsidRPr="03625D26">
        <w:rPr>
          <w:rFonts w:eastAsia="Arial"/>
        </w:rPr>
        <w:t xml:space="preserve">) presents an opportunity to refine care pathways and improve </w:t>
      </w:r>
      <w:r w:rsidR="005D04BB">
        <w:rPr>
          <w:rFonts w:eastAsia="Arial"/>
        </w:rPr>
        <w:t>care outcomes</w:t>
      </w:r>
      <w:r w:rsidRPr="03625D26">
        <w:rPr>
          <w:rFonts w:eastAsia="Arial"/>
        </w:rPr>
        <w:t xml:space="preserve">. </w:t>
      </w:r>
    </w:p>
    <w:p w14:paraId="5B9AC2E0" w14:textId="4500D73D" w:rsidR="00FA044F" w:rsidRDefault="268E86E1" w:rsidP="00B36476">
      <w:pPr>
        <w:pStyle w:val="Paragraph"/>
        <w:rPr>
          <w:rFonts w:eastAsia="Arial"/>
        </w:rPr>
      </w:pPr>
      <w:r w:rsidRPr="51DAAACD">
        <w:rPr>
          <w:rFonts w:eastAsia="Arial"/>
        </w:rPr>
        <w:t xml:space="preserve">Studies by </w:t>
      </w:r>
      <w:hyperlink r:id="rId29">
        <w:r w:rsidR="6E46B525" w:rsidRPr="51DAAACD">
          <w:rPr>
            <w:rStyle w:val="Hyperlink"/>
            <w:rFonts w:eastAsia="Arial"/>
          </w:rPr>
          <w:t>B</w:t>
        </w:r>
        <w:r w:rsidR="03DCDA9F" w:rsidRPr="51DAAACD">
          <w:rPr>
            <w:rStyle w:val="Hyperlink"/>
            <w:rFonts w:eastAsia="Arial"/>
          </w:rPr>
          <w:t>el</w:t>
        </w:r>
        <w:r w:rsidR="30212E92" w:rsidRPr="51DAAACD">
          <w:rPr>
            <w:rStyle w:val="Hyperlink"/>
            <w:rFonts w:eastAsia="Arial"/>
          </w:rPr>
          <w:t>lanca et al</w:t>
        </w:r>
      </w:hyperlink>
      <w:r w:rsidR="30212E92" w:rsidRPr="51DAAACD">
        <w:rPr>
          <w:rFonts w:eastAsia="Arial"/>
        </w:rPr>
        <w:t xml:space="preserve"> (2023)</w:t>
      </w:r>
      <w:r w:rsidR="756763B0" w:rsidRPr="51DAAACD">
        <w:rPr>
          <w:rFonts w:eastAsia="Arial"/>
        </w:rPr>
        <w:t xml:space="preserve">, </w:t>
      </w:r>
      <w:hyperlink r:id="rId30">
        <w:r w:rsidR="2A3C95E3" w:rsidRPr="51DAAACD">
          <w:rPr>
            <w:rStyle w:val="Hyperlink"/>
            <w:rFonts w:eastAsia="Arial"/>
          </w:rPr>
          <w:t>Nakao et al</w:t>
        </w:r>
      </w:hyperlink>
      <w:r w:rsidR="2A3C95E3" w:rsidRPr="51DAAACD">
        <w:rPr>
          <w:rFonts w:eastAsia="Arial"/>
        </w:rPr>
        <w:t xml:space="preserve"> (2023) </w:t>
      </w:r>
      <w:r w:rsidR="756763B0" w:rsidRPr="51DAAACD">
        <w:rPr>
          <w:rFonts w:eastAsia="Arial"/>
        </w:rPr>
        <w:t xml:space="preserve">and </w:t>
      </w:r>
      <w:hyperlink r:id="rId31">
        <w:r w:rsidR="756763B0" w:rsidRPr="51DAAACD">
          <w:rPr>
            <w:rStyle w:val="Hyperlink"/>
            <w:rFonts w:eastAsia="Arial"/>
          </w:rPr>
          <w:t>Sundaram et al</w:t>
        </w:r>
      </w:hyperlink>
      <w:r w:rsidR="756763B0" w:rsidRPr="51DAAACD">
        <w:rPr>
          <w:rFonts w:eastAsia="Arial"/>
        </w:rPr>
        <w:t xml:space="preserve"> (2022) </w:t>
      </w:r>
      <w:r w:rsidR="30212E92" w:rsidRPr="51DAAACD">
        <w:rPr>
          <w:rFonts w:eastAsia="Arial"/>
        </w:rPr>
        <w:t>repor</w:t>
      </w:r>
      <w:r w:rsidR="3056F340" w:rsidRPr="51DAAACD">
        <w:rPr>
          <w:rFonts w:eastAsia="Arial"/>
        </w:rPr>
        <w:t>t</w:t>
      </w:r>
      <w:r w:rsidR="30212E92" w:rsidRPr="51DAAACD">
        <w:rPr>
          <w:rFonts w:eastAsia="Arial"/>
        </w:rPr>
        <w:t xml:space="preserve"> </w:t>
      </w:r>
      <w:r w:rsidR="49CC283C" w:rsidRPr="51DAAACD">
        <w:rPr>
          <w:rFonts w:eastAsia="Arial"/>
        </w:rPr>
        <w:t xml:space="preserve">a recording of </w:t>
      </w:r>
      <w:r w:rsidR="471D53A4" w:rsidRPr="51DAAACD">
        <w:rPr>
          <w:rFonts w:eastAsia="Arial"/>
        </w:rPr>
        <w:t xml:space="preserve">heart failure subtype </w:t>
      </w:r>
      <w:r w:rsidR="022B33C8" w:rsidRPr="51DAAACD">
        <w:rPr>
          <w:rFonts w:eastAsia="Arial"/>
        </w:rPr>
        <w:t xml:space="preserve">in general practice </w:t>
      </w:r>
      <w:r w:rsidR="6E7FAC41" w:rsidRPr="51DAAACD">
        <w:rPr>
          <w:rFonts w:eastAsia="Arial"/>
        </w:rPr>
        <w:t>between 13% and 26%</w:t>
      </w:r>
      <w:r w:rsidR="2A3C95E3" w:rsidRPr="51DAAACD">
        <w:rPr>
          <w:rFonts w:eastAsia="Arial"/>
        </w:rPr>
        <w:t xml:space="preserve">. </w:t>
      </w:r>
      <w:r w:rsidR="00BC6365">
        <w:rPr>
          <w:rFonts w:eastAsia="Arial"/>
        </w:rPr>
        <w:t>T</w:t>
      </w:r>
      <w:r w:rsidR="00FA044F" w:rsidRPr="00FA044F">
        <w:rPr>
          <w:rFonts w:eastAsia="Arial"/>
        </w:rPr>
        <w:t xml:space="preserve">esting </w:t>
      </w:r>
      <w:r w:rsidR="009625FA">
        <w:rPr>
          <w:rFonts w:eastAsia="Arial"/>
        </w:rPr>
        <w:t xml:space="preserve">by NICE </w:t>
      </w:r>
      <w:r w:rsidR="00BC6365">
        <w:rPr>
          <w:rFonts w:eastAsia="Arial"/>
        </w:rPr>
        <w:t>in June 2025 of</w:t>
      </w:r>
      <w:r w:rsidR="00FA044F" w:rsidRPr="00FA044F">
        <w:rPr>
          <w:rFonts w:eastAsia="Arial"/>
        </w:rPr>
        <w:t xml:space="preserve"> CPRD </w:t>
      </w:r>
      <w:proofErr w:type="spellStart"/>
      <w:r w:rsidR="00FA044F" w:rsidRPr="00FA044F">
        <w:rPr>
          <w:rFonts w:eastAsia="Arial"/>
        </w:rPr>
        <w:t>Aurum</w:t>
      </w:r>
      <w:proofErr w:type="spellEnd"/>
      <w:r w:rsidR="00FA044F" w:rsidRPr="00FA044F">
        <w:rPr>
          <w:rFonts w:eastAsia="Arial"/>
        </w:rPr>
        <w:t xml:space="preserve"> suggests that 42% of all people with heart failure have </w:t>
      </w:r>
      <w:r w:rsidR="2C2C2A6C" w:rsidRPr="51DAAACD">
        <w:rPr>
          <w:rFonts w:eastAsia="Arial"/>
        </w:rPr>
        <w:t>a</w:t>
      </w:r>
      <w:r w:rsidR="00E91DB9" w:rsidRPr="51DAAACD">
        <w:rPr>
          <w:rFonts w:eastAsia="Arial"/>
        </w:rPr>
        <w:t>n</w:t>
      </w:r>
      <w:r w:rsidR="00FA044F" w:rsidRPr="00FA044F">
        <w:rPr>
          <w:rFonts w:eastAsia="Arial"/>
        </w:rPr>
        <w:t xml:space="preserve"> ejection fraction category </w:t>
      </w:r>
      <w:r w:rsidR="0025485A">
        <w:rPr>
          <w:rFonts w:eastAsia="Arial"/>
        </w:rPr>
        <w:t xml:space="preserve">recorded </w:t>
      </w:r>
      <w:r w:rsidR="00FA044F" w:rsidRPr="00FA044F">
        <w:rPr>
          <w:rFonts w:eastAsia="Arial"/>
        </w:rPr>
        <w:t>(reduced, mildly reduced or preserved)</w:t>
      </w:r>
      <w:r w:rsidR="00B34F5E">
        <w:rPr>
          <w:rFonts w:eastAsia="Arial"/>
        </w:rPr>
        <w:t xml:space="preserve">. </w:t>
      </w:r>
      <w:r w:rsidR="00FA044F" w:rsidRPr="00FA044F">
        <w:rPr>
          <w:rFonts w:eastAsia="Arial"/>
        </w:rPr>
        <w:t xml:space="preserve">CPRD </w:t>
      </w:r>
      <w:proofErr w:type="spellStart"/>
      <w:r w:rsidR="00FA044F" w:rsidRPr="00FA044F">
        <w:rPr>
          <w:rFonts w:eastAsia="Arial"/>
        </w:rPr>
        <w:t>Aurum</w:t>
      </w:r>
      <w:proofErr w:type="spellEnd"/>
      <w:r w:rsidR="00FA044F" w:rsidRPr="00FA044F">
        <w:rPr>
          <w:rFonts w:eastAsia="Arial"/>
        </w:rPr>
        <w:t xml:space="preserve"> March 2025 (Version 2025.03.001) [Data set]. Clinical Practice Research Datalink. </w:t>
      </w:r>
      <w:hyperlink r:id="rId32">
        <w:r w:rsidR="1CCAE456" w:rsidRPr="51DAAACD">
          <w:rPr>
            <w:rStyle w:val="Hyperlink"/>
            <w:rFonts w:eastAsia="Arial"/>
          </w:rPr>
          <w:t>https://doi.org/10.48329/6570-ge08</w:t>
        </w:r>
      </w:hyperlink>
      <w:r w:rsidR="2C2C2A6C" w:rsidRPr="51DAAACD">
        <w:rPr>
          <w:rFonts w:eastAsia="Arial"/>
        </w:rPr>
        <w:t>.</w:t>
      </w:r>
    </w:p>
    <w:p w14:paraId="2E148B48" w14:textId="6AF7E9A6" w:rsidR="4F4A7C74" w:rsidRDefault="4F4A7C74" w:rsidP="03625D26">
      <w:pPr>
        <w:pStyle w:val="Heading2"/>
      </w:pPr>
      <w:r w:rsidRPr="03625D26">
        <w:rPr>
          <w:rFonts w:eastAsia="Arial"/>
          <w:color w:val="228096" w:themeColor="accent1"/>
        </w:rPr>
        <w:t>Source guidance</w:t>
      </w:r>
    </w:p>
    <w:p w14:paraId="1DB05619" w14:textId="69FC56A3" w:rsidR="4F4A7C74" w:rsidRDefault="4F4A7C74" w:rsidP="00762ED8">
      <w:pPr>
        <w:pStyle w:val="ParagraphNumbered"/>
      </w:pPr>
      <w:hyperlink r:id="rId33">
        <w:r w:rsidRPr="03625D26">
          <w:rPr>
            <w:rStyle w:val="Hyperlink"/>
            <w:rFonts w:eastAsia="Arial" w:cs="Arial"/>
            <w:color w:val="0000FF"/>
          </w:rPr>
          <w:t>NICE’s guideline on chronic heart failure in adults: diagnosis and management</w:t>
        </w:r>
      </w:hyperlink>
      <w:r w:rsidRPr="03625D26">
        <w:rPr>
          <w:rFonts w:eastAsia="Arial"/>
        </w:rPr>
        <w:t xml:space="preserve"> (2018, updated 2025) </w:t>
      </w:r>
    </w:p>
    <w:p w14:paraId="1054319D" w14:textId="1D9809F6" w:rsidR="4F4A7C74" w:rsidRDefault="4F4A7C74" w:rsidP="03625D26">
      <w:pPr>
        <w:pStyle w:val="Heading2"/>
      </w:pPr>
      <w:r w:rsidRPr="03625D26">
        <w:rPr>
          <w:rFonts w:eastAsia="Arial"/>
          <w:color w:val="228096" w:themeColor="accent1"/>
        </w:rPr>
        <w:t>Specification</w:t>
      </w:r>
    </w:p>
    <w:p w14:paraId="70720393" w14:textId="31C5C203" w:rsidR="4F4A7C74" w:rsidRDefault="4F4A7C74" w:rsidP="00C94CDA">
      <w:pPr>
        <w:pStyle w:val="ParagraphNumbered"/>
      </w:pPr>
      <w:r w:rsidRPr="03625D26">
        <w:rPr>
          <w:rFonts w:eastAsia="Arial"/>
        </w:rPr>
        <w:t xml:space="preserve">Numerator: The number of patients in the denominator who have a recorded ejection fraction </w:t>
      </w:r>
      <w:r w:rsidR="00892667">
        <w:rPr>
          <w:rFonts w:eastAsia="Arial"/>
        </w:rPr>
        <w:t xml:space="preserve">category </w:t>
      </w:r>
      <w:r w:rsidR="203B10A0" w:rsidRPr="70D8BC15">
        <w:rPr>
          <w:rFonts w:eastAsia="Arial"/>
        </w:rPr>
        <w:t xml:space="preserve">(reduced, </w:t>
      </w:r>
      <w:r w:rsidR="203B10A0" w:rsidRPr="35F1322F">
        <w:rPr>
          <w:rFonts w:eastAsia="Arial"/>
        </w:rPr>
        <w:t xml:space="preserve">mildly reduced, </w:t>
      </w:r>
      <w:r w:rsidR="203B10A0" w:rsidRPr="220A18F4">
        <w:rPr>
          <w:rFonts w:eastAsia="Arial"/>
        </w:rPr>
        <w:t>or</w:t>
      </w:r>
      <w:r w:rsidR="203B10A0" w:rsidRPr="4389014D">
        <w:rPr>
          <w:rFonts w:eastAsia="Arial"/>
        </w:rPr>
        <w:t xml:space="preserve"> </w:t>
      </w:r>
      <w:r w:rsidR="203B10A0" w:rsidRPr="3983974D">
        <w:rPr>
          <w:rFonts w:eastAsia="Arial"/>
        </w:rPr>
        <w:t>preserved)</w:t>
      </w:r>
      <w:r w:rsidRPr="03625D26">
        <w:rPr>
          <w:rFonts w:eastAsia="Arial"/>
        </w:rPr>
        <w:t>.</w:t>
      </w:r>
    </w:p>
    <w:p w14:paraId="24B2EF62" w14:textId="74D684A9" w:rsidR="4F4A7C74" w:rsidRDefault="4F4A7C74" w:rsidP="00C94CDA">
      <w:pPr>
        <w:pStyle w:val="ParagraphNumbered"/>
      </w:pPr>
      <w:r w:rsidRPr="03625D26">
        <w:rPr>
          <w:rFonts w:eastAsia="Arial"/>
        </w:rPr>
        <w:lastRenderedPageBreak/>
        <w:t xml:space="preserve">Denominator: The number of patients newly diagnosed with heart failure </w:t>
      </w:r>
      <w:r w:rsidR="00897FAA">
        <w:rPr>
          <w:rFonts w:eastAsia="Arial"/>
        </w:rPr>
        <w:t xml:space="preserve">on or after </w:t>
      </w:r>
      <w:r w:rsidR="001443FB" w:rsidRPr="001443FB">
        <w:rPr>
          <w:rFonts w:eastAsia="Arial"/>
        </w:rPr>
        <w:t>1st April 2026</w:t>
      </w:r>
      <w:r w:rsidRPr="03625D26">
        <w:rPr>
          <w:rFonts w:eastAsia="Arial"/>
        </w:rPr>
        <w:t>.</w:t>
      </w:r>
    </w:p>
    <w:p w14:paraId="6538682C" w14:textId="12C562C6" w:rsidR="4F4A7C74" w:rsidRDefault="4F4A7C74" w:rsidP="03625D26">
      <w:pPr>
        <w:pStyle w:val="Heading2"/>
      </w:pPr>
      <w:r w:rsidRPr="03625D26">
        <w:rPr>
          <w:rFonts w:eastAsia="Arial"/>
          <w:color w:val="228096" w:themeColor="accent1"/>
        </w:rPr>
        <w:t xml:space="preserve">Questions for consultation: </w:t>
      </w:r>
    </w:p>
    <w:p w14:paraId="49142016" w14:textId="3852C87F" w:rsidR="005D6485" w:rsidRPr="005D6485" w:rsidRDefault="005D6485" w:rsidP="00EC7967">
      <w:pPr>
        <w:pStyle w:val="Paragraph"/>
        <w:rPr>
          <w:rFonts w:eastAsia="Arial"/>
        </w:rPr>
      </w:pPr>
      <w:r>
        <w:rPr>
          <w:rFonts w:eastAsia="Arial"/>
        </w:rPr>
        <w:t>1</w:t>
      </w:r>
      <w:r w:rsidR="36AF715A" w:rsidRPr="7BFDC7C1">
        <w:rPr>
          <w:rFonts w:eastAsia="Arial"/>
        </w:rPr>
        <w:t>4</w:t>
      </w:r>
      <w:r>
        <w:rPr>
          <w:rFonts w:eastAsia="Arial"/>
        </w:rPr>
        <w:t xml:space="preserve">. </w:t>
      </w:r>
      <w:r w:rsidR="00EC7967">
        <w:rPr>
          <w:rFonts w:eastAsia="Arial"/>
        </w:rPr>
        <w:tab/>
      </w:r>
      <w:r w:rsidR="00111D1C">
        <w:rPr>
          <w:rFonts w:eastAsia="Arial"/>
        </w:rPr>
        <w:t xml:space="preserve">Given </w:t>
      </w:r>
      <w:r w:rsidR="003C28B7">
        <w:rPr>
          <w:rFonts w:eastAsia="Arial"/>
        </w:rPr>
        <w:t>the likely</w:t>
      </w:r>
      <w:r w:rsidR="00111D1C">
        <w:rPr>
          <w:rFonts w:eastAsia="Arial"/>
        </w:rPr>
        <w:t xml:space="preserve"> under-</w:t>
      </w:r>
      <w:r w:rsidR="004857DD">
        <w:rPr>
          <w:rFonts w:eastAsia="Arial"/>
        </w:rPr>
        <w:t xml:space="preserve">recording </w:t>
      </w:r>
      <w:r w:rsidR="00111D1C">
        <w:rPr>
          <w:rFonts w:eastAsia="Arial"/>
        </w:rPr>
        <w:t xml:space="preserve">of ejection fraction category for patients with long-standing </w:t>
      </w:r>
      <w:r w:rsidR="00D52461">
        <w:rPr>
          <w:rFonts w:eastAsia="Arial"/>
        </w:rPr>
        <w:t xml:space="preserve">diagnosed heart failure, </w:t>
      </w:r>
      <w:r w:rsidR="00D52461">
        <w:t>i</w:t>
      </w:r>
      <w:r w:rsidR="002A5483">
        <w:rPr>
          <w:rFonts w:eastAsia="Arial"/>
        </w:rPr>
        <w:t>s focusing on new diagnos</w:t>
      </w:r>
      <w:r w:rsidR="005443FF">
        <w:rPr>
          <w:rFonts w:eastAsia="Arial"/>
        </w:rPr>
        <w:t xml:space="preserve">es </w:t>
      </w:r>
      <w:r w:rsidR="00251783">
        <w:rPr>
          <w:rFonts w:eastAsia="Arial"/>
        </w:rPr>
        <w:t>a</w:t>
      </w:r>
      <w:r w:rsidR="00082F3F">
        <w:rPr>
          <w:rFonts w:eastAsia="Arial"/>
        </w:rPr>
        <w:t xml:space="preserve"> </w:t>
      </w:r>
      <w:r w:rsidR="00AB7C8D">
        <w:rPr>
          <w:rFonts w:eastAsia="Arial"/>
        </w:rPr>
        <w:t>pragmatic</w:t>
      </w:r>
      <w:r w:rsidR="00082F3F">
        <w:rPr>
          <w:rFonts w:eastAsia="Arial"/>
        </w:rPr>
        <w:t xml:space="preserve"> approach</w:t>
      </w:r>
      <w:r w:rsidR="00D52461">
        <w:rPr>
          <w:rFonts w:eastAsia="Arial"/>
        </w:rPr>
        <w:t xml:space="preserve"> for quality improvement</w:t>
      </w:r>
      <w:r w:rsidR="00E70271">
        <w:rPr>
          <w:rFonts w:eastAsia="Arial"/>
        </w:rPr>
        <w:t>?</w:t>
      </w:r>
    </w:p>
    <w:p w14:paraId="1B80E109" w14:textId="2392AD91" w:rsidR="4F4A7C74" w:rsidRDefault="008D0956" w:rsidP="00EC7967">
      <w:pPr>
        <w:pStyle w:val="Paragraph"/>
        <w:rPr>
          <w:rFonts w:eastAsia="Arial"/>
        </w:rPr>
      </w:pPr>
      <w:r>
        <w:rPr>
          <w:rFonts w:eastAsia="Arial"/>
        </w:rPr>
        <w:t>1</w:t>
      </w:r>
      <w:r w:rsidR="62A45A59" w:rsidRPr="7BFDC7C1">
        <w:rPr>
          <w:rFonts w:eastAsia="Arial"/>
        </w:rPr>
        <w:t>5</w:t>
      </w:r>
      <w:r>
        <w:rPr>
          <w:rFonts w:eastAsia="Arial"/>
        </w:rPr>
        <w:t xml:space="preserve">. </w:t>
      </w:r>
      <w:r w:rsidR="00EC7967">
        <w:rPr>
          <w:rFonts w:eastAsia="Arial"/>
        </w:rPr>
        <w:tab/>
      </w:r>
      <w:r w:rsidR="4F4A7C74" w:rsidRPr="03625D26">
        <w:rPr>
          <w:rFonts w:eastAsia="Arial"/>
        </w:rPr>
        <w:t xml:space="preserve">Are there specific clinical or practical challenges in </w:t>
      </w:r>
      <w:r w:rsidR="1FAA9EC5" w:rsidRPr="7BFDC7C1">
        <w:rPr>
          <w:rFonts w:eastAsia="Arial"/>
        </w:rPr>
        <w:t xml:space="preserve">the routine </w:t>
      </w:r>
      <w:r w:rsidR="4F4A7C74" w:rsidRPr="7BFDC7C1">
        <w:rPr>
          <w:rFonts w:eastAsia="Arial"/>
        </w:rPr>
        <w:t xml:space="preserve">recording </w:t>
      </w:r>
      <w:r w:rsidR="335EF310" w:rsidRPr="7BFDC7C1">
        <w:rPr>
          <w:rFonts w:eastAsia="Arial"/>
        </w:rPr>
        <w:t xml:space="preserve">of </w:t>
      </w:r>
      <w:r w:rsidR="004857DD">
        <w:rPr>
          <w:rFonts w:eastAsia="Arial"/>
        </w:rPr>
        <w:t>ejection fraction category</w:t>
      </w:r>
      <w:r w:rsidR="335EF310" w:rsidRPr="7BFDC7C1">
        <w:rPr>
          <w:rFonts w:eastAsia="Arial"/>
        </w:rPr>
        <w:t xml:space="preserve"> for all patient newly diagnosed with heart failure</w:t>
      </w:r>
      <w:r w:rsidR="4F4A7C74" w:rsidRPr="7BFDC7C1">
        <w:rPr>
          <w:rFonts w:eastAsia="Arial"/>
        </w:rPr>
        <w:t>?</w:t>
      </w:r>
    </w:p>
    <w:p w14:paraId="244629AD" w14:textId="77777777" w:rsidR="00FE5488" w:rsidRDefault="00FE5488">
      <w:pPr>
        <w:rPr>
          <w:rFonts w:ascii="Arial" w:eastAsia="Arial" w:hAnsi="Arial" w:cs="Arial"/>
          <w:b/>
          <w:bCs/>
          <w:kern w:val="32"/>
          <w:sz w:val="32"/>
          <w:szCs w:val="32"/>
        </w:rPr>
      </w:pPr>
      <w:r>
        <w:rPr>
          <w:rFonts w:eastAsia="Arial"/>
        </w:rPr>
        <w:br w:type="page"/>
      </w:r>
    </w:p>
    <w:p w14:paraId="224D3B8E" w14:textId="0BC6DEAB" w:rsidR="005E7228" w:rsidRDefault="007163DF" w:rsidP="005E7228">
      <w:pPr>
        <w:pStyle w:val="Heading1"/>
      </w:pPr>
      <w:bookmarkStart w:id="57" w:name="_Toc1007613633"/>
      <w:bookmarkStart w:id="58" w:name="_Toc201916052"/>
      <w:r>
        <w:lastRenderedPageBreak/>
        <w:t>Weight management: BMI recording (long term conditions)</w:t>
      </w:r>
      <w:bookmarkEnd w:id="57"/>
      <w:bookmarkEnd w:id="58"/>
    </w:p>
    <w:p w14:paraId="07F2808B" w14:textId="40CC0962" w:rsidR="005E7228" w:rsidRDefault="0044639F" w:rsidP="25C696C1">
      <w:pPr>
        <w:pStyle w:val="Paragraph"/>
      </w:pPr>
      <w:r>
        <w:t>GID-IND10326</w:t>
      </w:r>
      <w:r w:rsidR="005E7228">
        <w:t xml:space="preserve">: </w:t>
      </w:r>
      <w:r w:rsidR="6FE8842E">
        <w:t>The percentage of patients with coronary heart disease, stroke or TIA, diabetes,</w:t>
      </w:r>
      <w:r w:rsidR="4F9B6FED">
        <w:t xml:space="preserve"> at high risk of developing type 2 diabetes</w:t>
      </w:r>
      <w:r w:rsidR="2A5F6EB1">
        <w:t>,</w:t>
      </w:r>
      <w:r w:rsidR="6FE8842E">
        <w:t xml:space="preserve"> hypertension, peripheral arterial disease, heart failure, COPD, rheumatoid arthritis</w:t>
      </w:r>
      <w:r w:rsidR="3B3EEFB4">
        <w:t xml:space="preserve">, </w:t>
      </w:r>
      <w:r w:rsidR="3B3EEFB4" w:rsidRPr="462349B6">
        <w:rPr>
          <w:rFonts w:eastAsia="Arial" w:cs="Arial"/>
        </w:rPr>
        <w:t>dyslipidaemia</w:t>
      </w:r>
      <w:r w:rsidR="1AE4557D">
        <w:t>, learning disability, obstructive sleep apnoea, polycystic ovary syndrome, schizophrenia, bipolar disorder or other psychoses</w:t>
      </w:r>
      <w:r w:rsidR="61C9CE60">
        <w:t xml:space="preserve"> </w:t>
      </w:r>
      <w:r w:rsidR="6FE8842E">
        <w:t>who have had a BMI recorded in the preceding 12 months.</w:t>
      </w:r>
    </w:p>
    <w:p w14:paraId="227B465A" w14:textId="77777777" w:rsidR="00BE72C6" w:rsidRDefault="00BE72C6" w:rsidP="00BE72C6">
      <w:pPr>
        <w:pStyle w:val="Paragraph"/>
      </w:pPr>
      <w:r>
        <w:t>Please note that this indicator is</w:t>
      </w:r>
      <w:r w:rsidRPr="00E74924">
        <w:t xml:space="preserve"> a proposed update to existing indicator </w:t>
      </w:r>
      <w:hyperlink r:id="rId34" w:history="1">
        <w:r w:rsidRPr="00E74924">
          <w:rPr>
            <w:rStyle w:val="Hyperlink"/>
          </w:rPr>
          <w:t>IND151</w:t>
        </w:r>
      </w:hyperlink>
      <w:r w:rsidRPr="00E74924">
        <w:t xml:space="preserve"> and includes a wider list of long-term conditions for which patients may benefit from annual BMI monitoring.  </w:t>
      </w:r>
    </w:p>
    <w:p w14:paraId="7D3A12AF" w14:textId="77777777" w:rsidR="005E7228" w:rsidRDefault="005E7228" w:rsidP="005E7228">
      <w:pPr>
        <w:pStyle w:val="Heading2"/>
      </w:pPr>
      <w:r>
        <w:t>Indicator type</w:t>
      </w:r>
    </w:p>
    <w:p w14:paraId="6963CAD1" w14:textId="5003DE9D" w:rsidR="005E7228" w:rsidRDefault="005E7228" w:rsidP="462349B6">
      <w:pPr>
        <w:pStyle w:val="Paragraph"/>
      </w:pPr>
      <w:r>
        <w:t>General practice indicator suitable for use in the QOF</w:t>
      </w:r>
      <w:r w:rsidR="13618444">
        <w:t>.</w:t>
      </w:r>
    </w:p>
    <w:p w14:paraId="648D4D04" w14:textId="77777777" w:rsidR="005E7228" w:rsidRDefault="005E7228" w:rsidP="005E7228">
      <w:pPr>
        <w:pStyle w:val="Heading2"/>
      </w:pPr>
      <w:r>
        <w:t>Rationale</w:t>
      </w:r>
    </w:p>
    <w:p w14:paraId="233B3E29" w14:textId="403C7D91" w:rsidR="005E7228" w:rsidRDefault="24C525A6" w:rsidP="462349B6">
      <w:pPr>
        <w:pStyle w:val="Paragraph"/>
      </w:pPr>
      <w:r w:rsidRPr="462349B6">
        <w:t xml:space="preserve">The purpose of this indicator is to support regular weight </w:t>
      </w:r>
      <w:r w:rsidR="003E11DC">
        <w:t>measur</w:t>
      </w:r>
      <w:r w:rsidR="009C047B">
        <w:t>e</w:t>
      </w:r>
      <w:r w:rsidR="003E11DC">
        <w:t>men</w:t>
      </w:r>
      <w:r w:rsidR="008D2EAD">
        <w:t>t</w:t>
      </w:r>
      <w:r w:rsidR="003E11DC" w:rsidRPr="462349B6">
        <w:t xml:space="preserve"> </w:t>
      </w:r>
      <w:r w:rsidRPr="462349B6">
        <w:t xml:space="preserve">in </w:t>
      </w:r>
      <w:r w:rsidR="00BA1691">
        <w:t>adults</w:t>
      </w:r>
      <w:r w:rsidR="00BA1691" w:rsidRPr="462349B6">
        <w:t xml:space="preserve"> </w:t>
      </w:r>
      <w:r w:rsidRPr="462349B6">
        <w:t xml:space="preserve">with long-term conditions </w:t>
      </w:r>
      <w:r w:rsidR="00580135">
        <w:t xml:space="preserve">enabling </w:t>
      </w:r>
      <w:r w:rsidR="00F3030D">
        <w:t>potential</w:t>
      </w:r>
      <w:r w:rsidR="00C4572D" w:rsidRPr="00C4572D">
        <w:t xml:space="preserve"> definition of overweight, obesity and central adiposit</w:t>
      </w:r>
      <w:r w:rsidR="007522AF">
        <w:t>y</w:t>
      </w:r>
      <w:r w:rsidR="008A38B6">
        <w:t>,</w:t>
      </w:r>
      <w:r w:rsidR="00C4572D" w:rsidRPr="00C4572D">
        <w:t xml:space="preserve"> </w:t>
      </w:r>
      <w:r w:rsidR="00580135">
        <w:t>identification of</w:t>
      </w:r>
      <w:r w:rsidR="00C4572D" w:rsidRPr="00C4572D">
        <w:t xml:space="preserve"> changes in weight and central adiposity</w:t>
      </w:r>
      <w:r w:rsidR="00445D2B">
        <w:t xml:space="preserve">, and </w:t>
      </w:r>
      <w:r w:rsidR="00445D2B" w:rsidRPr="00445D2B">
        <w:t>help in assessment and management of a long-term condition</w:t>
      </w:r>
      <w:r w:rsidRPr="1BE43101">
        <w:t>.</w:t>
      </w:r>
    </w:p>
    <w:p w14:paraId="0C1E997A" w14:textId="4D3DCF2A" w:rsidR="005E7228" w:rsidRDefault="6D214CFA" w:rsidP="462349B6">
      <w:pPr>
        <w:pStyle w:val="Paragraph"/>
      </w:pPr>
      <w:r>
        <w:t>Recording of weight is not current routine activity</w:t>
      </w:r>
      <w:r w:rsidR="38CD03AB">
        <w:t xml:space="preserve"> in UK primary care, it is recorded for around 30% of </w:t>
      </w:r>
      <w:r w:rsidR="00592C42">
        <w:t xml:space="preserve">all </w:t>
      </w:r>
      <w:r w:rsidR="38CD03AB">
        <w:t>patients each year (</w:t>
      </w:r>
      <w:hyperlink r:id="rId35" w:anchor=":~:text=Weight%20recording%20is%20not%20routine,and%20in%20those%20with%20comorbidity." w:history="1">
        <w:r w:rsidR="38CD03AB" w:rsidRPr="51DAAACD">
          <w:rPr>
            <w:rStyle w:val="Hyperlink"/>
          </w:rPr>
          <w:t>Nicholson et al. 2022</w:t>
        </w:r>
      </w:hyperlink>
      <w:r w:rsidR="38CD03AB">
        <w:t>)</w:t>
      </w:r>
      <w:r w:rsidR="00592C42">
        <w:t>. Data for p</w:t>
      </w:r>
      <w:r w:rsidR="00C57FD8">
        <w:t xml:space="preserve">atients with </w:t>
      </w:r>
      <w:r w:rsidR="004E73D0">
        <w:t xml:space="preserve">GP recorded </w:t>
      </w:r>
      <w:r w:rsidR="000D2EA8">
        <w:t>CVD or CVD risk factors,</w:t>
      </w:r>
      <w:r w:rsidR="00671AD6">
        <w:t xml:space="preserve"> indicates that about 63% have a BMI record in </w:t>
      </w:r>
      <w:r w:rsidR="00990ECB">
        <w:t>the last 12 months (</w:t>
      </w:r>
      <w:hyperlink r:id="rId36" w:history="1">
        <w:r w:rsidR="00990ECB" w:rsidRPr="005B33B6">
          <w:rPr>
            <w:rStyle w:val="Hyperlink"/>
          </w:rPr>
          <w:t>CVDPREVENT</w:t>
        </w:r>
      </w:hyperlink>
      <w:r w:rsidR="00990ECB">
        <w:t>, 2025)</w:t>
      </w:r>
    </w:p>
    <w:p w14:paraId="1BD086BF" w14:textId="09F234DC" w:rsidR="005E7228" w:rsidRDefault="00B72C68" w:rsidP="462349B6">
      <w:pPr>
        <w:pStyle w:val="Paragraph"/>
      </w:pPr>
      <w:r>
        <w:t xml:space="preserve">Routine </w:t>
      </w:r>
      <w:r w:rsidR="24C525A6" w:rsidRPr="462349B6">
        <w:t xml:space="preserve">consultations for managing long-term conditions </w:t>
      </w:r>
      <w:r w:rsidR="009F4E3C">
        <w:t>are</w:t>
      </w:r>
      <w:r w:rsidR="009F4E3C" w:rsidRPr="462349B6">
        <w:t xml:space="preserve"> </w:t>
      </w:r>
      <w:r w:rsidR="24C525A6" w:rsidRPr="462349B6">
        <w:t>an opportunity to record a person's BMI</w:t>
      </w:r>
      <w:r w:rsidR="24C525A6">
        <w:t xml:space="preserve">. </w:t>
      </w:r>
    </w:p>
    <w:p w14:paraId="29CE1445" w14:textId="77777777" w:rsidR="005E7228" w:rsidRDefault="005E7228" w:rsidP="005E7228">
      <w:pPr>
        <w:pStyle w:val="Heading2"/>
      </w:pPr>
      <w:r>
        <w:t xml:space="preserve">Source guidance  </w:t>
      </w:r>
    </w:p>
    <w:p w14:paraId="61EC6E76" w14:textId="4575D56D" w:rsidR="005E7228" w:rsidRDefault="005E7228" w:rsidP="005E7228">
      <w:pPr>
        <w:pStyle w:val="Paragraph"/>
        <w:rPr>
          <w:b/>
          <w:bCs/>
        </w:rPr>
      </w:pPr>
      <w:hyperlink r:id="rId37">
        <w:r w:rsidRPr="462349B6">
          <w:rPr>
            <w:rStyle w:val="Hyperlink"/>
          </w:rPr>
          <w:t xml:space="preserve">NICE’s guideline on </w:t>
        </w:r>
        <w:r w:rsidR="38CA1DE0" w:rsidRPr="462349B6">
          <w:rPr>
            <w:rStyle w:val="Hyperlink"/>
          </w:rPr>
          <w:t>overweight and obesity management</w:t>
        </w:r>
      </w:hyperlink>
      <w:r>
        <w:t xml:space="preserve"> (</w:t>
      </w:r>
      <w:r w:rsidR="63038053">
        <w:t>2025</w:t>
      </w:r>
      <w:r>
        <w:t>) recommendation</w:t>
      </w:r>
      <w:r w:rsidR="651B3BC9">
        <w:t xml:space="preserve">s </w:t>
      </w:r>
      <w:r w:rsidR="74ACCF87">
        <w:t>1.9.</w:t>
      </w:r>
      <w:r w:rsidR="1106FE25">
        <w:t xml:space="preserve">3, </w:t>
      </w:r>
      <w:r w:rsidR="74ACCF87">
        <w:t>1.9.7, 1.9.10 and 1.9.11</w:t>
      </w:r>
    </w:p>
    <w:p w14:paraId="46568513" w14:textId="77777777" w:rsidR="005E7228" w:rsidRDefault="005E7228" w:rsidP="005E7228">
      <w:pPr>
        <w:pStyle w:val="Heading2"/>
      </w:pPr>
      <w:r>
        <w:lastRenderedPageBreak/>
        <w:t>Specification</w:t>
      </w:r>
    </w:p>
    <w:p w14:paraId="003C0C70" w14:textId="364A31DD" w:rsidR="005E7228" w:rsidRDefault="005E7228" w:rsidP="462349B6">
      <w:pPr>
        <w:pStyle w:val="Paragraph"/>
        <w:rPr>
          <w:highlight w:val="lightGray"/>
        </w:rPr>
      </w:pPr>
      <w:r>
        <w:t xml:space="preserve">Numerator: </w:t>
      </w:r>
      <w:r w:rsidR="70A40942">
        <w:t>The number of patients in the denominator who have had a BMI recorded in the preceding 12 months.</w:t>
      </w:r>
    </w:p>
    <w:p w14:paraId="1AB5D2B2" w14:textId="661D28A2" w:rsidR="005E7228" w:rsidRDefault="005E7228" w:rsidP="462349B6">
      <w:pPr>
        <w:pStyle w:val="Paragraph"/>
      </w:pPr>
      <w:r>
        <w:t xml:space="preserve">Denominator: </w:t>
      </w:r>
      <w:r w:rsidR="325596D1">
        <w:t>The number of patients with coronary heart disease, stroke or TIA, diabetes, at high risk of developing type 2 diabetes, hypertension, peripheral arterial disease, heart failure, COPD, rheumatoid arthritis, dyslipidaemia, learning disability, obstructive sleep apnoea, polycystic ovary syndrome, schizophrenia, bipolar disorder or other psychoses.</w:t>
      </w:r>
    </w:p>
    <w:p w14:paraId="38AA97FF" w14:textId="18B60707" w:rsidR="009D7C90" w:rsidRPr="00867CDA" w:rsidRDefault="009D7C90" w:rsidP="462349B6">
      <w:pPr>
        <w:pStyle w:val="Paragraph"/>
        <w:rPr>
          <w:highlight w:val="lightGray"/>
        </w:rPr>
      </w:pPr>
      <w:r>
        <w:t xml:space="preserve">Definition: </w:t>
      </w:r>
      <w:r w:rsidR="00C00F0A">
        <w:t>A high risk of developing</w:t>
      </w:r>
      <w:r w:rsidR="00F14B68">
        <w:t xml:space="preserve"> type 2</w:t>
      </w:r>
      <w:r w:rsidR="00C00F0A">
        <w:t xml:space="preserve"> diabetes is </w:t>
      </w:r>
      <w:r w:rsidR="00126E85" w:rsidRPr="00126E85">
        <w:t>a high risk score and a fasting plasma glucose of 5.5 to 6.9 mmol/L, or HbA1c of 42 to 47 mmol/mol</w:t>
      </w:r>
      <w:r w:rsidR="006C1264">
        <w:t>.</w:t>
      </w:r>
    </w:p>
    <w:p w14:paraId="209E4CCA" w14:textId="212E4A87" w:rsidR="005E7228" w:rsidRDefault="005E7228" w:rsidP="00B36476">
      <w:pPr>
        <w:pStyle w:val="Paragraph"/>
      </w:pPr>
      <w:r>
        <w:t xml:space="preserve">Exclusions: </w:t>
      </w:r>
      <w:r w:rsidR="382616F4">
        <w:t>People aged under 18</w:t>
      </w:r>
    </w:p>
    <w:p w14:paraId="73F4B00E" w14:textId="6E0804F5" w:rsidR="005E7228" w:rsidRDefault="005E7228" w:rsidP="005E7228">
      <w:pPr>
        <w:pStyle w:val="Paragraph"/>
      </w:pPr>
      <w:r>
        <w:t>Personalised care adjustments or exception reporting should be considered to account for situations where the patient declines, does not attend</w:t>
      </w:r>
      <w:r w:rsidR="62A0F4B7">
        <w:t xml:space="preserve"> or a BMI measurement is not appropriate.</w:t>
      </w:r>
    </w:p>
    <w:p w14:paraId="0D12FEA7" w14:textId="77777777" w:rsidR="005E7228" w:rsidRDefault="005E7228" w:rsidP="005E7228">
      <w:pPr>
        <w:pStyle w:val="Heading2"/>
      </w:pPr>
      <w:r>
        <w:t xml:space="preserve">Question for consultation: </w:t>
      </w:r>
    </w:p>
    <w:p w14:paraId="5CCC9D5F" w14:textId="2DC8E61C" w:rsidR="005E7228" w:rsidRDefault="005E7228" w:rsidP="00EC7967">
      <w:pPr>
        <w:pStyle w:val="Paragraph"/>
        <w:rPr>
          <w:highlight w:val="cyan"/>
        </w:rPr>
      </w:pPr>
      <w:r>
        <w:t>1</w:t>
      </w:r>
      <w:r w:rsidR="00EC7967">
        <w:t>6</w:t>
      </w:r>
      <w:r>
        <w:t xml:space="preserve">. </w:t>
      </w:r>
      <w:r>
        <w:tab/>
      </w:r>
      <w:r w:rsidR="10113772">
        <w:t>Do</w:t>
      </w:r>
      <w:r w:rsidR="4CA9883B">
        <w:t xml:space="preserve"> </w:t>
      </w:r>
      <w:r w:rsidR="10113772">
        <w:t>you agree with the addition of the following long</w:t>
      </w:r>
      <w:r w:rsidR="41CDBC47">
        <w:t>-</w:t>
      </w:r>
      <w:r w:rsidR="10113772">
        <w:t>term</w:t>
      </w:r>
      <w:r w:rsidR="5A0BFDC9">
        <w:t xml:space="preserve"> </w:t>
      </w:r>
      <w:r w:rsidR="10113772">
        <w:t xml:space="preserve">conditions to the existing indicator </w:t>
      </w:r>
      <w:hyperlink r:id="rId38">
        <w:r w:rsidR="10113772" w:rsidRPr="45C5161F">
          <w:rPr>
            <w:rStyle w:val="Hyperlink"/>
          </w:rPr>
          <w:t>IND</w:t>
        </w:r>
        <w:r w:rsidR="0C543A5A" w:rsidRPr="45C5161F">
          <w:rPr>
            <w:rStyle w:val="Hyperlink"/>
          </w:rPr>
          <w:t>151</w:t>
        </w:r>
      </w:hyperlink>
      <w:r w:rsidR="0C543A5A">
        <w:t>:</w:t>
      </w:r>
    </w:p>
    <w:p w14:paraId="6FF09618" w14:textId="07E2338F" w:rsidR="0A70455C" w:rsidRDefault="0A70455C" w:rsidP="00EC7967">
      <w:pPr>
        <w:pStyle w:val="Bullets"/>
      </w:pPr>
      <w:r w:rsidRPr="462349B6">
        <w:t>high risk of developing type 2 diabetes</w:t>
      </w:r>
    </w:p>
    <w:p w14:paraId="3B9ACFA3" w14:textId="08201665" w:rsidR="0A70455C" w:rsidRDefault="0A70455C" w:rsidP="00EC7967">
      <w:pPr>
        <w:pStyle w:val="Bullets"/>
      </w:pPr>
      <w:r w:rsidRPr="462349B6">
        <w:t>dyslipidaemia</w:t>
      </w:r>
    </w:p>
    <w:p w14:paraId="7DD0C9BD" w14:textId="7DF8BA91" w:rsidR="0A70455C" w:rsidRDefault="0A70455C" w:rsidP="00EC7967">
      <w:pPr>
        <w:pStyle w:val="Bullets"/>
      </w:pPr>
      <w:r w:rsidRPr="462349B6">
        <w:t>learning disability</w:t>
      </w:r>
    </w:p>
    <w:p w14:paraId="57DF5EE3" w14:textId="1E838FB8" w:rsidR="0A70455C" w:rsidRDefault="0A70455C" w:rsidP="00EC7967">
      <w:pPr>
        <w:pStyle w:val="Bullets"/>
      </w:pPr>
      <w:r w:rsidRPr="462349B6">
        <w:t>obstructive sleep apnoea</w:t>
      </w:r>
    </w:p>
    <w:p w14:paraId="7D340D1B" w14:textId="78FAE57B" w:rsidR="0A70455C" w:rsidRDefault="0A70455C" w:rsidP="00EC7967">
      <w:pPr>
        <w:pStyle w:val="Bullets"/>
      </w:pPr>
      <w:r w:rsidRPr="462349B6">
        <w:t>polycystic ovary syndrome</w:t>
      </w:r>
    </w:p>
    <w:p w14:paraId="5A627FB8" w14:textId="235DA37F" w:rsidR="0A70455C" w:rsidRDefault="0A70455C" w:rsidP="00EC7967">
      <w:pPr>
        <w:pStyle w:val="Bullets"/>
      </w:pPr>
      <w:r w:rsidRPr="462349B6">
        <w:t>schizophrenia, bipolar disorder or other psychoses</w:t>
      </w:r>
      <w:r w:rsidR="00EC7967">
        <w:t>.</w:t>
      </w:r>
    </w:p>
    <w:p w14:paraId="151BDC57" w14:textId="4CC7BB90" w:rsidR="462349B6" w:rsidRDefault="462349B6" w:rsidP="462349B6">
      <w:pPr>
        <w:pStyle w:val="NICEnormal"/>
        <w:spacing w:after="120"/>
        <w:rPr>
          <w:highlight w:val="cyan"/>
        </w:rPr>
      </w:pPr>
    </w:p>
    <w:p w14:paraId="0D8BD603" w14:textId="77777777" w:rsidR="005E7228" w:rsidRDefault="005E7228">
      <w:pPr>
        <w:rPr>
          <w:rFonts w:ascii="Arial" w:hAnsi="Arial" w:cs="Arial"/>
          <w:b/>
          <w:bCs/>
          <w:kern w:val="32"/>
          <w:sz w:val="32"/>
          <w:szCs w:val="32"/>
        </w:rPr>
      </w:pPr>
      <w:r>
        <w:br w:type="page"/>
      </w:r>
    </w:p>
    <w:p w14:paraId="30A73A6B" w14:textId="77777777" w:rsidR="00673B56" w:rsidRDefault="00BB2510" w:rsidP="00673B56">
      <w:pPr>
        <w:pStyle w:val="Heading1"/>
      </w:pPr>
      <w:bookmarkStart w:id="59" w:name="_Toc17626159"/>
      <w:bookmarkStart w:id="60" w:name="_Toc201916053"/>
      <w:r w:rsidRPr="00BB2510">
        <w:lastRenderedPageBreak/>
        <w:t>Screening: cervical screening (</w:t>
      </w:r>
      <w:r w:rsidR="00673B56">
        <w:t>25</w:t>
      </w:r>
      <w:r w:rsidRPr="00BB2510">
        <w:t xml:space="preserve"> to 64 years)</w:t>
      </w:r>
      <w:bookmarkEnd w:id="59"/>
      <w:bookmarkEnd w:id="60"/>
    </w:p>
    <w:p w14:paraId="093A1F50" w14:textId="2DE0BDD7" w:rsidR="000E7DC7" w:rsidRDefault="001C63B8" w:rsidP="000E7DC7">
      <w:pPr>
        <w:pStyle w:val="Paragraph"/>
      </w:pPr>
      <w:r>
        <w:t>GID-IND</w:t>
      </w:r>
      <w:r w:rsidR="002C1BF7">
        <w:t>10328</w:t>
      </w:r>
      <w:r w:rsidR="00F96DDF">
        <w:t xml:space="preserve">: </w:t>
      </w:r>
      <w:r w:rsidR="000E7DC7" w:rsidRPr="000E7DC7">
        <w:t xml:space="preserve">The proportion of patients eligible for cervical screening and aged 25 to </w:t>
      </w:r>
      <w:r w:rsidR="00624660">
        <w:t>64</w:t>
      </w:r>
      <w:r w:rsidR="000E7DC7" w:rsidRPr="000E7DC7">
        <w:t xml:space="preserve"> years at end of </w:t>
      </w:r>
      <w:r w:rsidR="00593A49">
        <w:t xml:space="preserve">the </w:t>
      </w:r>
      <w:r w:rsidR="000E7DC7" w:rsidRPr="000E7DC7">
        <w:t xml:space="preserve">period reported whose notes record that an adequate cervical screening test has been performed in the previous </w:t>
      </w:r>
      <w:r w:rsidR="00E6648E">
        <w:t>5</w:t>
      </w:r>
      <w:r w:rsidR="000E7DC7" w:rsidRPr="000E7DC7">
        <w:t>.5 years</w:t>
      </w:r>
      <w:r w:rsidR="009175A9">
        <w:t>.</w:t>
      </w:r>
    </w:p>
    <w:p w14:paraId="77CD7FB4" w14:textId="10EA2198" w:rsidR="00ED2F30" w:rsidRDefault="00ED2F30" w:rsidP="000E7DC7">
      <w:pPr>
        <w:pStyle w:val="Paragraph"/>
      </w:pPr>
      <w:r>
        <w:t xml:space="preserve">Please note that this indicator is a proposed update and replacement of </w:t>
      </w:r>
      <w:r w:rsidRPr="00ED2F30">
        <w:t xml:space="preserve">existing indicators </w:t>
      </w:r>
      <w:hyperlink r:id="rId39" w:history="1">
        <w:r w:rsidRPr="00E03BCF">
          <w:rPr>
            <w:rStyle w:val="Hyperlink"/>
          </w:rPr>
          <w:t>IND176 Screening: cervical screening (25 to 49 years)</w:t>
        </w:r>
      </w:hyperlink>
      <w:r w:rsidRPr="00ED2F30">
        <w:t xml:space="preserve"> and </w:t>
      </w:r>
      <w:hyperlink r:id="rId40" w:history="1">
        <w:r w:rsidRPr="004214BC">
          <w:rPr>
            <w:rStyle w:val="Hyperlink"/>
          </w:rPr>
          <w:t>IND177 Screening: cervical screening (50 to 64 years)</w:t>
        </w:r>
      </w:hyperlink>
      <w:r>
        <w:t>.</w:t>
      </w:r>
    </w:p>
    <w:p w14:paraId="3EF1D49B" w14:textId="77777777" w:rsidR="009175A9" w:rsidRDefault="009175A9" w:rsidP="009175A9">
      <w:pPr>
        <w:pStyle w:val="Heading2"/>
      </w:pPr>
      <w:r>
        <w:t>Indicator type</w:t>
      </w:r>
    </w:p>
    <w:p w14:paraId="5E761D04" w14:textId="77777777" w:rsidR="009175A9" w:rsidRDefault="009175A9" w:rsidP="009175A9">
      <w:pPr>
        <w:pStyle w:val="Paragraph"/>
      </w:pPr>
      <w:r>
        <w:t>General practice indicator suitable for use in the QOF.</w:t>
      </w:r>
    </w:p>
    <w:p w14:paraId="4EED43C4" w14:textId="77777777" w:rsidR="006C016A" w:rsidRDefault="006C016A" w:rsidP="006C016A">
      <w:pPr>
        <w:pStyle w:val="Heading2"/>
      </w:pPr>
      <w:r>
        <w:t>Rationale</w:t>
      </w:r>
    </w:p>
    <w:p w14:paraId="783A84FE" w14:textId="7EEE793C" w:rsidR="00503C95" w:rsidRDefault="00F1314B" w:rsidP="006C016A">
      <w:pPr>
        <w:pStyle w:val="Paragraph"/>
      </w:pPr>
      <w:r w:rsidRPr="00F1314B">
        <w:t>A cervical screening test is a way of detecting abnormal cells on the cervix. Detecting and removing abnormal cervical cells can prevent cervical cancer. Cervical screening aims to reduce the number of people who develop cervical cancer and the number who die from it. Cervical cancer often has no symptoms in its early stages.</w:t>
      </w:r>
      <w:r w:rsidR="0022008B">
        <w:t xml:space="preserve"> </w:t>
      </w:r>
    </w:p>
    <w:p w14:paraId="70CD6680" w14:textId="094AE7A4" w:rsidR="00AE2438" w:rsidRDefault="00B91704" w:rsidP="00AE2438">
      <w:pPr>
        <w:pStyle w:val="Paragraph"/>
      </w:pPr>
      <w:r w:rsidRPr="00B91704">
        <w:t xml:space="preserve">This indicator aims to improve uptake of cervical screening and ensure it is performed at the appropriate intervals. </w:t>
      </w:r>
      <w:r w:rsidR="00ED2F30">
        <w:t xml:space="preserve">From July </w:t>
      </w:r>
      <w:r w:rsidR="00ED2F30" w:rsidRPr="00A90334">
        <w:t>2025</w:t>
      </w:r>
      <w:r w:rsidR="00ED2F30">
        <w:t>, c</w:t>
      </w:r>
      <w:r w:rsidR="00503C95">
        <w:t xml:space="preserve">hanges to the screening schedule </w:t>
      </w:r>
      <w:r w:rsidR="00007425">
        <w:t xml:space="preserve">by </w:t>
      </w:r>
      <w:hyperlink r:id="rId41" w:history="1">
        <w:r w:rsidR="00EC6AC5" w:rsidRPr="00EC6AC5">
          <w:rPr>
            <w:rStyle w:val="Hyperlink"/>
          </w:rPr>
          <w:t>NHS England</w:t>
        </w:r>
      </w:hyperlink>
      <w:r w:rsidR="00ED2F30">
        <w:t xml:space="preserve"> mean</w:t>
      </w:r>
      <w:r w:rsidR="00AE2438" w:rsidRPr="00A90334">
        <w:t xml:space="preserve"> </w:t>
      </w:r>
      <w:r w:rsidR="00AE2438">
        <w:t>those</w:t>
      </w:r>
      <w:r w:rsidR="00AE2438" w:rsidRPr="00A90334">
        <w:t xml:space="preserve"> aged 25</w:t>
      </w:r>
      <w:r w:rsidR="00AE2438">
        <w:t xml:space="preserve"> to </w:t>
      </w:r>
      <w:r w:rsidR="00AE2438" w:rsidRPr="00A90334">
        <w:t>49 who test negative for HPV will be invited for screening every 5 years instead of 3</w:t>
      </w:r>
      <w:r w:rsidR="00907C07">
        <w:t xml:space="preserve"> years</w:t>
      </w:r>
      <w:r w:rsidR="00AE2438">
        <w:t xml:space="preserve">, in line with new guidance. Screening for those aged </w:t>
      </w:r>
      <w:r w:rsidR="00AE2438" w:rsidRPr="009611EF">
        <w:t>50</w:t>
      </w:r>
      <w:r w:rsidR="00AE2438">
        <w:t xml:space="preserve"> to </w:t>
      </w:r>
      <w:r w:rsidR="00AE2438" w:rsidRPr="009611EF">
        <w:t>64</w:t>
      </w:r>
      <w:r w:rsidR="00AE2438">
        <w:t xml:space="preserve"> will remain </w:t>
      </w:r>
      <w:r w:rsidR="00AE2438" w:rsidRPr="00A90334">
        <w:t>every 5 years</w:t>
      </w:r>
      <w:r w:rsidR="00AE2438">
        <w:t>.</w:t>
      </w:r>
      <w:r w:rsidR="00AE2438" w:rsidRPr="00A90334">
        <w:t xml:space="preserve"> </w:t>
      </w:r>
    </w:p>
    <w:p w14:paraId="17520341" w14:textId="77777777" w:rsidR="00A46D33" w:rsidRDefault="00A46D33" w:rsidP="00A46D33">
      <w:pPr>
        <w:pStyle w:val="Heading2"/>
      </w:pPr>
      <w:r>
        <w:t xml:space="preserve">Source guidance  </w:t>
      </w:r>
    </w:p>
    <w:p w14:paraId="40538B63" w14:textId="1191A803" w:rsidR="00A46D33" w:rsidRDefault="004B1581" w:rsidP="00A46D33">
      <w:pPr>
        <w:pStyle w:val="Paragraph"/>
        <w:rPr>
          <w:b/>
          <w:bCs/>
        </w:rPr>
      </w:pPr>
      <w:r>
        <w:t xml:space="preserve">NHS England publish </w:t>
      </w:r>
      <w:hyperlink r:id="rId42" w:history="1">
        <w:r w:rsidR="00E41C8C" w:rsidRPr="00850836">
          <w:rPr>
            <w:rStyle w:val="Hyperlink"/>
          </w:rPr>
          <w:t>cervical screening standards</w:t>
        </w:r>
      </w:hyperlink>
      <w:r w:rsidR="00A46D33">
        <w:t>.</w:t>
      </w:r>
      <w:r w:rsidR="00524A2D">
        <w:t xml:space="preserve"> It is expected these will be updated </w:t>
      </w:r>
      <w:r w:rsidR="00810284">
        <w:t>following the announced changes to screening frequency.</w:t>
      </w:r>
    </w:p>
    <w:p w14:paraId="60172656" w14:textId="77777777" w:rsidR="00A46D33" w:rsidRDefault="00A46D33" w:rsidP="00A46D33">
      <w:pPr>
        <w:pStyle w:val="Heading2"/>
      </w:pPr>
      <w:r>
        <w:lastRenderedPageBreak/>
        <w:t>Specification</w:t>
      </w:r>
    </w:p>
    <w:p w14:paraId="60458718" w14:textId="77777777" w:rsidR="00B94484" w:rsidRDefault="00B94484" w:rsidP="00B94484">
      <w:pPr>
        <w:pStyle w:val="Paragraph"/>
      </w:pPr>
      <w:r>
        <w:t>Numerator: The number of patients in the denominator whose notes record that an adequate cervical screening test has been performed in the preceding 5.5 years.</w:t>
      </w:r>
    </w:p>
    <w:p w14:paraId="0809E8F1" w14:textId="2D3DDC04" w:rsidR="00B94484" w:rsidRDefault="00B94484" w:rsidP="00B94484">
      <w:pPr>
        <w:pStyle w:val="Paragraph"/>
      </w:pPr>
      <w:r>
        <w:t>Denominator: The number of patients eligible for cervical screening aged 25 to 64 years</w:t>
      </w:r>
      <w:r w:rsidR="00717076">
        <w:t>.</w:t>
      </w:r>
    </w:p>
    <w:p w14:paraId="70F92911" w14:textId="77777777" w:rsidR="00B94484" w:rsidRDefault="00B94484" w:rsidP="00B94484">
      <w:pPr>
        <w:pStyle w:val="Paragraph"/>
      </w:pPr>
      <w:r>
        <w:t>Calculation: Numerator divided by the denominator, multiplied by 100.</w:t>
      </w:r>
    </w:p>
    <w:p w14:paraId="071924EA" w14:textId="0CB93C88" w:rsidR="007056FB" w:rsidRDefault="00B94484" w:rsidP="00B94484">
      <w:pPr>
        <w:pStyle w:val="Paragraph"/>
      </w:pPr>
      <w:r>
        <w:t>Exclusions:</w:t>
      </w:r>
    </w:p>
    <w:p w14:paraId="662A290C" w14:textId="30476A0B" w:rsidR="006019F3" w:rsidRDefault="006019F3" w:rsidP="00EC7967">
      <w:pPr>
        <w:pStyle w:val="Bullets"/>
      </w:pPr>
      <w:r>
        <w:t>Patients without a cervix.</w:t>
      </w:r>
    </w:p>
    <w:p w14:paraId="50BDBDCB" w14:textId="53C89376" w:rsidR="006D194C" w:rsidRDefault="006D194C" w:rsidP="00EC7967">
      <w:pPr>
        <w:pStyle w:val="Bullets"/>
      </w:pPr>
      <w:r>
        <w:t>Patients who are male</w:t>
      </w:r>
      <w:r w:rsidR="00F972F8">
        <w:t>.</w:t>
      </w:r>
    </w:p>
    <w:p w14:paraId="6C982DFE" w14:textId="46C496B1" w:rsidR="006019F3" w:rsidRDefault="006019F3" w:rsidP="00EC7967">
      <w:pPr>
        <w:pStyle w:val="Bullets"/>
      </w:pPr>
      <w:r>
        <w:t xml:space="preserve">Patients who are </w:t>
      </w:r>
      <w:r w:rsidRPr="00EC7967">
        <w:t>pregnant</w:t>
      </w:r>
      <w:r>
        <w:t>.</w:t>
      </w:r>
    </w:p>
    <w:p w14:paraId="6D01C495" w14:textId="27404882" w:rsidR="3CFFB97F" w:rsidRDefault="3CFFB97F" w:rsidP="3CFFB97F">
      <w:pPr>
        <w:pStyle w:val="Bullets"/>
        <w:numPr>
          <w:ilvl w:val="0"/>
          <w:numId w:val="0"/>
        </w:numPr>
        <w:ind w:left="993"/>
      </w:pPr>
    </w:p>
    <w:p w14:paraId="6162D5B8" w14:textId="25294969" w:rsidR="005D0F2E" w:rsidRDefault="006019F3" w:rsidP="006019F3">
      <w:pPr>
        <w:pStyle w:val="Paragraph"/>
      </w:pPr>
      <w:r>
        <w:t>Personalised care adjustments or exception reporting should be considered to account for situations where the patient declines, does not attend or if cervical screening is not appropriate.</w:t>
      </w:r>
    </w:p>
    <w:bookmarkEnd w:id="44"/>
    <w:bookmarkEnd w:id="45"/>
    <w:bookmarkEnd w:id="46"/>
    <w:p w14:paraId="6574A127" w14:textId="77777777" w:rsidR="00594C3A" w:rsidRPr="00CF2E5C" w:rsidRDefault="00594C3A" w:rsidP="00B36476"/>
    <w:sectPr w:rsidR="00594C3A" w:rsidRPr="00CF2E5C" w:rsidSect="008F6FB7">
      <w:footerReference w:type="default" r:id="rId43"/>
      <w:headerReference w:type="first" r:id="rId44"/>
      <w:footerReference w:type="first" r:id="rId4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D131" w14:textId="77777777" w:rsidR="00C4221F" w:rsidRDefault="00C4221F" w:rsidP="00446BEE">
      <w:r>
        <w:separator/>
      </w:r>
    </w:p>
  </w:endnote>
  <w:endnote w:type="continuationSeparator" w:id="0">
    <w:p w14:paraId="612F7D06" w14:textId="77777777" w:rsidR="00C4221F" w:rsidRDefault="00C4221F" w:rsidP="00446BEE">
      <w:r>
        <w:continuationSeparator/>
      </w:r>
    </w:p>
  </w:endnote>
  <w:endnote w:type="continuationNotice" w:id="1">
    <w:p w14:paraId="1B1B6B1C" w14:textId="77777777" w:rsidR="00C4221F" w:rsidRDefault="00C42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C257" w14:textId="68A8F4D1" w:rsidR="00446BEE" w:rsidRDefault="00641F73">
    <w:pPr>
      <w:pStyle w:val="Footer"/>
    </w:pPr>
    <w:r>
      <w:t>June 2025</w:t>
    </w:r>
    <w:r w:rsidR="004A287F">
      <w:t xml:space="preserve"> NICE Indicator consultation</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52C49">
      <w:fldChar w:fldCharType="begin"/>
    </w:r>
    <w:r w:rsidR="00F52C49">
      <w:instrText xml:space="preserve"> NUMPAGES  </w:instrText>
    </w:r>
    <w:r w:rsidR="00F52C49">
      <w:fldChar w:fldCharType="separate"/>
    </w:r>
    <w:r w:rsidR="00FA2C5A">
      <w:rPr>
        <w:noProof/>
      </w:rPr>
      <w:t>1</w:t>
    </w:r>
    <w:r w:rsidR="00F52C4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E256BDC" w14:textId="66E7CBE8" w:rsidR="008E7826" w:rsidRDefault="00641F73" w:rsidP="008E7826">
            <w:pPr>
              <w:pStyle w:val="Footer"/>
            </w:pPr>
            <w:r w:rsidRPr="00641F73">
              <w:t>June 2025 NICE Indicator consultation</w:t>
            </w:r>
            <w:r w:rsidR="008E7826">
              <w:tab/>
            </w:r>
            <w:r w:rsidR="008E7826">
              <w:tab/>
            </w:r>
            <w:r w:rsidR="008E7826" w:rsidRPr="008E7826">
              <w:t xml:space="preserve">Page </w:t>
            </w:r>
            <w:r w:rsidR="008E7826" w:rsidRPr="008E7826">
              <w:fldChar w:fldCharType="begin"/>
            </w:r>
            <w:r w:rsidR="008E7826" w:rsidRPr="008E7826">
              <w:instrText xml:space="preserve"> PAGE </w:instrText>
            </w:r>
            <w:r w:rsidR="008E7826" w:rsidRPr="008E7826">
              <w:fldChar w:fldCharType="separate"/>
            </w:r>
            <w:r w:rsidR="008E7826" w:rsidRPr="008E7826">
              <w:rPr>
                <w:noProof/>
              </w:rPr>
              <w:t>2</w:t>
            </w:r>
            <w:r w:rsidR="008E7826" w:rsidRPr="008E7826">
              <w:fldChar w:fldCharType="end"/>
            </w:r>
            <w:r w:rsidR="008E7826" w:rsidRPr="008E7826">
              <w:t xml:space="preserve"> of </w:t>
            </w:r>
            <w:r w:rsidR="00F52C49">
              <w:fldChar w:fldCharType="begin"/>
            </w:r>
            <w:r w:rsidR="00F52C49">
              <w:instrText xml:space="preserve"> NUMPAGES  </w:instrText>
            </w:r>
            <w:r w:rsidR="00F52C49">
              <w:fldChar w:fldCharType="separate"/>
            </w:r>
            <w:r w:rsidR="008E7826" w:rsidRPr="008E7826">
              <w:rPr>
                <w:noProof/>
              </w:rPr>
              <w:t>2</w:t>
            </w:r>
            <w:r w:rsidR="00F52C4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924F" w14:textId="77777777" w:rsidR="00C4221F" w:rsidRDefault="00C4221F" w:rsidP="00446BEE">
      <w:r>
        <w:separator/>
      </w:r>
    </w:p>
  </w:footnote>
  <w:footnote w:type="continuationSeparator" w:id="0">
    <w:p w14:paraId="36474166" w14:textId="77777777" w:rsidR="00C4221F" w:rsidRDefault="00C4221F" w:rsidP="00446BEE">
      <w:r>
        <w:continuationSeparator/>
      </w:r>
    </w:p>
  </w:footnote>
  <w:footnote w:type="continuationNotice" w:id="1">
    <w:p w14:paraId="569F65AD" w14:textId="77777777" w:rsidR="00C4221F" w:rsidRDefault="00C42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928" w14:textId="77777777" w:rsidR="008F6FB7" w:rsidRDefault="008F6FB7">
    <w:pPr>
      <w:pStyle w:val="Header"/>
    </w:pPr>
    <w:r>
      <w:rPr>
        <w:noProof/>
      </w:rPr>
      <w:drawing>
        <wp:anchor distT="0" distB="0" distL="114300" distR="114300" simplePos="0" relativeHeight="251658240" behindDoc="0" locked="0" layoutInCell="1" allowOverlap="1" wp14:anchorId="700820C2" wp14:editId="02DDA7D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271931310">
    <w:abstractNumId w:val="19"/>
  </w:num>
  <w:num w:numId="2" w16cid:durableId="1595244151">
    <w:abstractNumId w:val="19"/>
  </w:num>
  <w:num w:numId="3" w16cid:durableId="368646558">
    <w:abstractNumId w:val="7"/>
  </w:num>
  <w:num w:numId="4" w16cid:durableId="609512517">
    <w:abstractNumId w:val="20"/>
  </w:num>
  <w:num w:numId="5" w16cid:durableId="2102337063">
    <w:abstractNumId w:val="0"/>
  </w:num>
  <w:num w:numId="6" w16cid:durableId="1892881648">
    <w:abstractNumId w:val="6"/>
  </w:num>
  <w:num w:numId="7" w16cid:durableId="2076126202">
    <w:abstractNumId w:val="12"/>
  </w:num>
  <w:num w:numId="8" w16cid:durableId="1213879784">
    <w:abstractNumId w:val="13"/>
  </w:num>
  <w:num w:numId="9" w16cid:durableId="1824465727">
    <w:abstractNumId w:val="2"/>
  </w:num>
  <w:num w:numId="10" w16cid:durableId="1303269868">
    <w:abstractNumId w:val="5"/>
  </w:num>
  <w:num w:numId="11" w16cid:durableId="336540677">
    <w:abstractNumId w:val="1"/>
  </w:num>
  <w:num w:numId="12" w16cid:durableId="1861774746">
    <w:abstractNumId w:val="18"/>
  </w:num>
  <w:num w:numId="13" w16cid:durableId="1897624111">
    <w:abstractNumId w:val="8"/>
  </w:num>
  <w:num w:numId="14" w16cid:durableId="1252161462">
    <w:abstractNumId w:val="15"/>
  </w:num>
  <w:num w:numId="15" w16cid:durableId="1646548754">
    <w:abstractNumId w:val="10"/>
  </w:num>
  <w:num w:numId="16" w16cid:durableId="85079240">
    <w:abstractNumId w:val="3"/>
  </w:num>
  <w:num w:numId="17" w16cid:durableId="187527091">
    <w:abstractNumId w:val="9"/>
  </w:num>
  <w:num w:numId="18" w16cid:durableId="1786073898">
    <w:abstractNumId w:val="11"/>
  </w:num>
  <w:num w:numId="19" w16cid:durableId="685331478">
    <w:abstractNumId w:val="14"/>
  </w:num>
  <w:num w:numId="20" w16cid:durableId="602153221">
    <w:abstractNumId w:val="4"/>
  </w:num>
  <w:num w:numId="21" w16cid:durableId="1765027428">
    <w:abstractNumId w:val="16"/>
  </w:num>
  <w:num w:numId="22" w16cid:durableId="173297047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7F"/>
    <w:rsid w:val="00001DD6"/>
    <w:rsid w:val="0000238C"/>
    <w:rsid w:val="0000296E"/>
    <w:rsid w:val="00003353"/>
    <w:rsid w:val="00004F93"/>
    <w:rsid w:val="000053F8"/>
    <w:rsid w:val="00007425"/>
    <w:rsid w:val="00011B92"/>
    <w:rsid w:val="00011C66"/>
    <w:rsid w:val="00016D6B"/>
    <w:rsid w:val="000200A8"/>
    <w:rsid w:val="000203D7"/>
    <w:rsid w:val="000204F7"/>
    <w:rsid w:val="00020D85"/>
    <w:rsid w:val="00022F54"/>
    <w:rsid w:val="00024D0A"/>
    <w:rsid w:val="00026D31"/>
    <w:rsid w:val="0002770E"/>
    <w:rsid w:val="00031A27"/>
    <w:rsid w:val="00032EF9"/>
    <w:rsid w:val="00035629"/>
    <w:rsid w:val="00036D45"/>
    <w:rsid w:val="000378A6"/>
    <w:rsid w:val="00043801"/>
    <w:rsid w:val="00043A83"/>
    <w:rsid w:val="0004433D"/>
    <w:rsid w:val="000460F0"/>
    <w:rsid w:val="00051700"/>
    <w:rsid w:val="00052071"/>
    <w:rsid w:val="00052F88"/>
    <w:rsid w:val="00054330"/>
    <w:rsid w:val="00054763"/>
    <w:rsid w:val="00056460"/>
    <w:rsid w:val="000608A6"/>
    <w:rsid w:val="00061239"/>
    <w:rsid w:val="000616FB"/>
    <w:rsid w:val="00063CB6"/>
    <w:rsid w:val="00064B1F"/>
    <w:rsid w:val="000670CA"/>
    <w:rsid w:val="00070065"/>
    <w:rsid w:val="000719FD"/>
    <w:rsid w:val="000753B2"/>
    <w:rsid w:val="00075AAB"/>
    <w:rsid w:val="000825D2"/>
    <w:rsid w:val="00082F3F"/>
    <w:rsid w:val="00083535"/>
    <w:rsid w:val="00087948"/>
    <w:rsid w:val="00091D20"/>
    <w:rsid w:val="00092AA9"/>
    <w:rsid w:val="00092D01"/>
    <w:rsid w:val="0009346D"/>
    <w:rsid w:val="00093B28"/>
    <w:rsid w:val="00093E02"/>
    <w:rsid w:val="000A0ECA"/>
    <w:rsid w:val="000A2EF3"/>
    <w:rsid w:val="000A33A9"/>
    <w:rsid w:val="000A4FEE"/>
    <w:rsid w:val="000B044C"/>
    <w:rsid w:val="000B10FD"/>
    <w:rsid w:val="000B5939"/>
    <w:rsid w:val="000B61ED"/>
    <w:rsid w:val="000B6FAC"/>
    <w:rsid w:val="000C273B"/>
    <w:rsid w:val="000D2EA8"/>
    <w:rsid w:val="000D753A"/>
    <w:rsid w:val="000D7D12"/>
    <w:rsid w:val="000E0817"/>
    <w:rsid w:val="000E0DE7"/>
    <w:rsid w:val="000E376F"/>
    <w:rsid w:val="000E45E6"/>
    <w:rsid w:val="000E67E5"/>
    <w:rsid w:val="000E718B"/>
    <w:rsid w:val="000E7DC7"/>
    <w:rsid w:val="000F16D7"/>
    <w:rsid w:val="000F1F66"/>
    <w:rsid w:val="000F37B2"/>
    <w:rsid w:val="000F3ABE"/>
    <w:rsid w:val="000F56A9"/>
    <w:rsid w:val="000F71FF"/>
    <w:rsid w:val="000FA97C"/>
    <w:rsid w:val="00101BA3"/>
    <w:rsid w:val="00101C5A"/>
    <w:rsid w:val="001040F0"/>
    <w:rsid w:val="00104A0B"/>
    <w:rsid w:val="001056F9"/>
    <w:rsid w:val="00106124"/>
    <w:rsid w:val="001103F0"/>
    <w:rsid w:val="0011145F"/>
    <w:rsid w:val="00111D1C"/>
    <w:rsid w:val="001134E7"/>
    <w:rsid w:val="00114883"/>
    <w:rsid w:val="001209CF"/>
    <w:rsid w:val="001217B8"/>
    <w:rsid w:val="00122D89"/>
    <w:rsid w:val="0012374C"/>
    <w:rsid w:val="0012482A"/>
    <w:rsid w:val="00126E85"/>
    <w:rsid w:val="001271BA"/>
    <w:rsid w:val="00132A8B"/>
    <w:rsid w:val="001331E2"/>
    <w:rsid w:val="001336FF"/>
    <w:rsid w:val="00134538"/>
    <w:rsid w:val="00136206"/>
    <w:rsid w:val="00140A4F"/>
    <w:rsid w:val="00140AA9"/>
    <w:rsid w:val="001410AF"/>
    <w:rsid w:val="001419DA"/>
    <w:rsid w:val="00141BB0"/>
    <w:rsid w:val="0014239F"/>
    <w:rsid w:val="001430CA"/>
    <w:rsid w:val="001443FB"/>
    <w:rsid w:val="00144E37"/>
    <w:rsid w:val="00146F4B"/>
    <w:rsid w:val="00154E71"/>
    <w:rsid w:val="00155C15"/>
    <w:rsid w:val="00157BBE"/>
    <w:rsid w:val="00157FF0"/>
    <w:rsid w:val="00160145"/>
    <w:rsid w:val="00163EF1"/>
    <w:rsid w:val="00164F43"/>
    <w:rsid w:val="00166107"/>
    <w:rsid w:val="0017169E"/>
    <w:rsid w:val="00171787"/>
    <w:rsid w:val="00172D38"/>
    <w:rsid w:val="00173A06"/>
    <w:rsid w:val="001754CC"/>
    <w:rsid w:val="00176134"/>
    <w:rsid w:val="00182E8B"/>
    <w:rsid w:val="00185151"/>
    <w:rsid w:val="001853B7"/>
    <w:rsid w:val="001859EF"/>
    <w:rsid w:val="001864E9"/>
    <w:rsid w:val="00191620"/>
    <w:rsid w:val="001953FE"/>
    <w:rsid w:val="00197E7A"/>
    <w:rsid w:val="001A140D"/>
    <w:rsid w:val="001A4581"/>
    <w:rsid w:val="001A46AB"/>
    <w:rsid w:val="001A6635"/>
    <w:rsid w:val="001A6AA1"/>
    <w:rsid w:val="001B02AC"/>
    <w:rsid w:val="001B03A7"/>
    <w:rsid w:val="001B07B6"/>
    <w:rsid w:val="001B09E7"/>
    <w:rsid w:val="001B0EE9"/>
    <w:rsid w:val="001B43E1"/>
    <w:rsid w:val="001B4554"/>
    <w:rsid w:val="001B4B1B"/>
    <w:rsid w:val="001B5E5D"/>
    <w:rsid w:val="001B65B3"/>
    <w:rsid w:val="001B6B0C"/>
    <w:rsid w:val="001C000C"/>
    <w:rsid w:val="001C1579"/>
    <w:rsid w:val="001C15F3"/>
    <w:rsid w:val="001C5279"/>
    <w:rsid w:val="001C63B8"/>
    <w:rsid w:val="001C6A64"/>
    <w:rsid w:val="001D35F5"/>
    <w:rsid w:val="001D3D2A"/>
    <w:rsid w:val="001D5785"/>
    <w:rsid w:val="001D7D1E"/>
    <w:rsid w:val="001E1A6C"/>
    <w:rsid w:val="001E4AF9"/>
    <w:rsid w:val="001E60D6"/>
    <w:rsid w:val="001F16DC"/>
    <w:rsid w:val="001F181B"/>
    <w:rsid w:val="001F2C09"/>
    <w:rsid w:val="001F39BF"/>
    <w:rsid w:val="001F56A0"/>
    <w:rsid w:val="001F6025"/>
    <w:rsid w:val="001F6403"/>
    <w:rsid w:val="002044D4"/>
    <w:rsid w:val="0020652A"/>
    <w:rsid w:val="00207854"/>
    <w:rsid w:val="00211494"/>
    <w:rsid w:val="00211B91"/>
    <w:rsid w:val="00212350"/>
    <w:rsid w:val="002124D5"/>
    <w:rsid w:val="002133E0"/>
    <w:rsid w:val="00213591"/>
    <w:rsid w:val="0021379E"/>
    <w:rsid w:val="0021688A"/>
    <w:rsid w:val="00217343"/>
    <w:rsid w:val="0022008B"/>
    <w:rsid w:val="002200E1"/>
    <w:rsid w:val="00223AD9"/>
    <w:rsid w:val="00224B77"/>
    <w:rsid w:val="00226137"/>
    <w:rsid w:val="00227067"/>
    <w:rsid w:val="00227C38"/>
    <w:rsid w:val="00230DF7"/>
    <w:rsid w:val="0023105B"/>
    <w:rsid w:val="0023401A"/>
    <w:rsid w:val="002346A0"/>
    <w:rsid w:val="002353D5"/>
    <w:rsid w:val="002408EA"/>
    <w:rsid w:val="00240B6D"/>
    <w:rsid w:val="00240C15"/>
    <w:rsid w:val="00241524"/>
    <w:rsid w:val="00241829"/>
    <w:rsid w:val="00243A86"/>
    <w:rsid w:val="002444BD"/>
    <w:rsid w:val="002472F4"/>
    <w:rsid w:val="0025009B"/>
    <w:rsid w:val="00251783"/>
    <w:rsid w:val="0025485A"/>
    <w:rsid w:val="00254C85"/>
    <w:rsid w:val="0025603E"/>
    <w:rsid w:val="00256FAE"/>
    <w:rsid w:val="00261F46"/>
    <w:rsid w:val="00263E42"/>
    <w:rsid w:val="00266019"/>
    <w:rsid w:val="002709A7"/>
    <w:rsid w:val="00270B4D"/>
    <w:rsid w:val="002715D3"/>
    <w:rsid w:val="00271F7C"/>
    <w:rsid w:val="00274DCC"/>
    <w:rsid w:val="00275C87"/>
    <w:rsid w:val="00276087"/>
    <w:rsid w:val="002777AE"/>
    <w:rsid w:val="00277CD7"/>
    <w:rsid w:val="002819D7"/>
    <w:rsid w:val="002823BB"/>
    <w:rsid w:val="002823E3"/>
    <w:rsid w:val="002850CC"/>
    <w:rsid w:val="00290980"/>
    <w:rsid w:val="00291193"/>
    <w:rsid w:val="002912A6"/>
    <w:rsid w:val="002919A2"/>
    <w:rsid w:val="00292A0A"/>
    <w:rsid w:val="002932FB"/>
    <w:rsid w:val="00294097"/>
    <w:rsid w:val="00295CCB"/>
    <w:rsid w:val="00296955"/>
    <w:rsid w:val="002A0046"/>
    <w:rsid w:val="002A09EE"/>
    <w:rsid w:val="002A1153"/>
    <w:rsid w:val="002A32F4"/>
    <w:rsid w:val="002A4000"/>
    <w:rsid w:val="002A4E37"/>
    <w:rsid w:val="002A5483"/>
    <w:rsid w:val="002A5E36"/>
    <w:rsid w:val="002A67F0"/>
    <w:rsid w:val="002A6D10"/>
    <w:rsid w:val="002B141A"/>
    <w:rsid w:val="002B3A42"/>
    <w:rsid w:val="002B3F23"/>
    <w:rsid w:val="002B40D6"/>
    <w:rsid w:val="002B423B"/>
    <w:rsid w:val="002B4792"/>
    <w:rsid w:val="002B57DC"/>
    <w:rsid w:val="002B6962"/>
    <w:rsid w:val="002C0A8C"/>
    <w:rsid w:val="002C0C4B"/>
    <w:rsid w:val="002C1A7E"/>
    <w:rsid w:val="002C1BF7"/>
    <w:rsid w:val="002C599F"/>
    <w:rsid w:val="002D3376"/>
    <w:rsid w:val="002D526C"/>
    <w:rsid w:val="002D5F65"/>
    <w:rsid w:val="002D62D9"/>
    <w:rsid w:val="002D6922"/>
    <w:rsid w:val="002D69D4"/>
    <w:rsid w:val="002D7086"/>
    <w:rsid w:val="002D7669"/>
    <w:rsid w:val="002E0FCE"/>
    <w:rsid w:val="002E1894"/>
    <w:rsid w:val="002E3064"/>
    <w:rsid w:val="002E4F72"/>
    <w:rsid w:val="002F096F"/>
    <w:rsid w:val="002F1EFC"/>
    <w:rsid w:val="002F2BE5"/>
    <w:rsid w:val="002F4C20"/>
    <w:rsid w:val="002F5127"/>
    <w:rsid w:val="002F5B02"/>
    <w:rsid w:val="002F5B6F"/>
    <w:rsid w:val="002F5ECC"/>
    <w:rsid w:val="002F6E46"/>
    <w:rsid w:val="002F7C1C"/>
    <w:rsid w:val="0030176A"/>
    <w:rsid w:val="00302608"/>
    <w:rsid w:val="00302925"/>
    <w:rsid w:val="003032C7"/>
    <w:rsid w:val="00303FF0"/>
    <w:rsid w:val="003059EE"/>
    <w:rsid w:val="00306C5D"/>
    <w:rsid w:val="00307A41"/>
    <w:rsid w:val="00310942"/>
    <w:rsid w:val="003113E2"/>
    <w:rsid w:val="00311ED0"/>
    <w:rsid w:val="0031464C"/>
    <w:rsid w:val="0032075B"/>
    <w:rsid w:val="00320954"/>
    <w:rsid w:val="00320C87"/>
    <w:rsid w:val="003211F5"/>
    <w:rsid w:val="00321EB0"/>
    <w:rsid w:val="00322EEF"/>
    <w:rsid w:val="00323ACE"/>
    <w:rsid w:val="00323C22"/>
    <w:rsid w:val="003244E9"/>
    <w:rsid w:val="00324F38"/>
    <w:rsid w:val="0032511D"/>
    <w:rsid w:val="003270C0"/>
    <w:rsid w:val="00327E01"/>
    <w:rsid w:val="003320EB"/>
    <w:rsid w:val="0033258D"/>
    <w:rsid w:val="003335E6"/>
    <w:rsid w:val="00341996"/>
    <w:rsid w:val="00341D65"/>
    <w:rsid w:val="00344A32"/>
    <w:rsid w:val="003461A0"/>
    <w:rsid w:val="00346266"/>
    <w:rsid w:val="003468A8"/>
    <w:rsid w:val="00346969"/>
    <w:rsid w:val="00346C9F"/>
    <w:rsid w:val="00352185"/>
    <w:rsid w:val="00352E75"/>
    <w:rsid w:val="00352F12"/>
    <w:rsid w:val="00353487"/>
    <w:rsid w:val="003543E6"/>
    <w:rsid w:val="00355509"/>
    <w:rsid w:val="00356058"/>
    <w:rsid w:val="00356B17"/>
    <w:rsid w:val="00361D44"/>
    <w:rsid w:val="003641F0"/>
    <w:rsid w:val="003648C5"/>
    <w:rsid w:val="00365A0D"/>
    <w:rsid w:val="00365F82"/>
    <w:rsid w:val="00370A5E"/>
    <w:rsid w:val="003722FA"/>
    <w:rsid w:val="003744F6"/>
    <w:rsid w:val="00375E9F"/>
    <w:rsid w:val="00377B3F"/>
    <w:rsid w:val="00380F03"/>
    <w:rsid w:val="00381593"/>
    <w:rsid w:val="00383A14"/>
    <w:rsid w:val="003870AA"/>
    <w:rsid w:val="00391D47"/>
    <w:rsid w:val="00393149"/>
    <w:rsid w:val="00395DFA"/>
    <w:rsid w:val="00396311"/>
    <w:rsid w:val="003A15EB"/>
    <w:rsid w:val="003A711D"/>
    <w:rsid w:val="003A7831"/>
    <w:rsid w:val="003B0A30"/>
    <w:rsid w:val="003B2046"/>
    <w:rsid w:val="003B3000"/>
    <w:rsid w:val="003B3BC5"/>
    <w:rsid w:val="003B5A89"/>
    <w:rsid w:val="003C126C"/>
    <w:rsid w:val="003C28B7"/>
    <w:rsid w:val="003C40B4"/>
    <w:rsid w:val="003C4574"/>
    <w:rsid w:val="003C57A2"/>
    <w:rsid w:val="003C6CCF"/>
    <w:rsid w:val="003C7AAF"/>
    <w:rsid w:val="003D12C1"/>
    <w:rsid w:val="003D58CF"/>
    <w:rsid w:val="003D5A47"/>
    <w:rsid w:val="003E032E"/>
    <w:rsid w:val="003E0C51"/>
    <w:rsid w:val="003E0E93"/>
    <w:rsid w:val="003E11DC"/>
    <w:rsid w:val="003E3760"/>
    <w:rsid w:val="003E673E"/>
    <w:rsid w:val="003E7A4E"/>
    <w:rsid w:val="003E7A9A"/>
    <w:rsid w:val="003E7C61"/>
    <w:rsid w:val="003F0A04"/>
    <w:rsid w:val="003F1C1C"/>
    <w:rsid w:val="003F555A"/>
    <w:rsid w:val="003F6509"/>
    <w:rsid w:val="003F7B5B"/>
    <w:rsid w:val="004025C7"/>
    <w:rsid w:val="00403995"/>
    <w:rsid w:val="004042B8"/>
    <w:rsid w:val="00404A99"/>
    <w:rsid w:val="00404C65"/>
    <w:rsid w:val="004055F7"/>
    <w:rsid w:val="004075B6"/>
    <w:rsid w:val="0041186E"/>
    <w:rsid w:val="00411BA1"/>
    <w:rsid w:val="00411FD9"/>
    <w:rsid w:val="00413B25"/>
    <w:rsid w:val="0041496F"/>
    <w:rsid w:val="0041658D"/>
    <w:rsid w:val="0041676F"/>
    <w:rsid w:val="00420952"/>
    <w:rsid w:val="004214BC"/>
    <w:rsid w:val="004230A7"/>
    <w:rsid w:val="00426370"/>
    <w:rsid w:val="0042728A"/>
    <w:rsid w:val="004305D4"/>
    <w:rsid w:val="00432CDA"/>
    <w:rsid w:val="004340CC"/>
    <w:rsid w:val="00434EF6"/>
    <w:rsid w:val="00435E83"/>
    <w:rsid w:val="00436439"/>
    <w:rsid w:val="00436B3A"/>
    <w:rsid w:val="00437A65"/>
    <w:rsid w:val="00440430"/>
    <w:rsid w:val="00442225"/>
    <w:rsid w:val="00442292"/>
    <w:rsid w:val="00444DD7"/>
    <w:rsid w:val="00445D2B"/>
    <w:rsid w:val="0044639F"/>
    <w:rsid w:val="00446BEE"/>
    <w:rsid w:val="00446EDD"/>
    <w:rsid w:val="00451836"/>
    <w:rsid w:val="00451EC6"/>
    <w:rsid w:val="00452082"/>
    <w:rsid w:val="00454430"/>
    <w:rsid w:val="00454A98"/>
    <w:rsid w:val="00455121"/>
    <w:rsid w:val="004609F8"/>
    <w:rsid w:val="00470D37"/>
    <w:rsid w:val="00472A94"/>
    <w:rsid w:val="00474AB1"/>
    <w:rsid w:val="00476011"/>
    <w:rsid w:val="00476975"/>
    <w:rsid w:val="00480508"/>
    <w:rsid w:val="004814A9"/>
    <w:rsid w:val="00481A71"/>
    <w:rsid w:val="004857DD"/>
    <w:rsid w:val="0048771E"/>
    <w:rsid w:val="004911C6"/>
    <w:rsid w:val="004933A0"/>
    <w:rsid w:val="00495940"/>
    <w:rsid w:val="00495B56"/>
    <w:rsid w:val="00497A81"/>
    <w:rsid w:val="004A0602"/>
    <w:rsid w:val="004A098A"/>
    <w:rsid w:val="004A107C"/>
    <w:rsid w:val="004A1813"/>
    <w:rsid w:val="004A287F"/>
    <w:rsid w:val="004A4BD5"/>
    <w:rsid w:val="004B01D5"/>
    <w:rsid w:val="004B097C"/>
    <w:rsid w:val="004B1088"/>
    <w:rsid w:val="004B1581"/>
    <w:rsid w:val="004B4F46"/>
    <w:rsid w:val="004B5138"/>
    <w:rsid w:val="004C17A5"/>
    <w:rsid w:val="004C5843"/>
    <w:rsid w:val="004C7D07"/>
    <w:rsid w:val="004D5381"/>
    <w:rsid w:val="004D589B"/>
    <w:rsid w:val="004D66DA"/>
    <w:rsid w:val="004E0506"/>
    <w:rsid w:val="004E0983"/>
    <w:rsid w:val="004E460A"/>
    <w:rsid w:val="004E489D"/>
    <w:rsid w:val="004E6F86"/>
    <w:rsid w:val="004E73D0"/>
    <w:rsid w:val="004E770B"/>
    <w:rsid w:val="004F3645"/>
    <w:rsid w:val="004F3B3C"/>
    <w:rsid w:val="004F5044"/>
    <w:rsid w:val="004F530F"/>
    <w:rsid w:val="004F5961"/>
    <w:rsid w:val="005002AD"/>
    <w:rsid w:val="005025A1"/>
    <w:rsid w:val="00502680"/>
    <w:rsid w:val="0050361E"/>
    <w:rsid w:val="00503C86"/>
    <w:rsid w:val="00503C95"/>
    <w:rsid w:val="005069DD"/>
    <w:rsid w:val="005107AC"/>
    <w:rsid w:val="005110B0"/>
    <w:rsid w:val="0051175B"/>
    <w:rsid w:val="00512C03"/>
    <w:rsid w:val="00513176"/>
    <w:rsid w:val="00514CBE"/>
    <w:rsid w:val="00515DB6"/>
    <w:rsid w:val="005170D4"/>
    <w:rsid w:val="00517FCB"/>
    <w:rsid w:val="0052002B"/>
    <w:rsid w:val="00521CE7"/>
    <w:rsid w:val="00521E3B"/>
    <w:rsid w:val="005224E9"/>
    <w:rsid w:val="00522B1D"/>
    <w:rsid w:val="005246E5"/>
    <w:rsid w:val="00524A2D"/>
    <w:rsid w:val="005279E8"/>
    <w:rsid w:val="00527DF9"/>
    <w:rsid w:val="00532648"/>
    <w:rsid w:val="00536690"/>
    <w:rsid w:val="00537670"/>
    <w:rsid w:val="005379C5"/>
    <w:rsid w:val="00540FEF"/>
    <w:rsid w:val="0054155C"/>
    <w:rsid w:val="005431FD"/>
    <w:rsid w:val="00543E3C"/>
    <w:rsid w:val="005443FF"/>
    <w:rsid w:val="005446BE"/>
    <w:rsid w:val="005455EC"/>
    <w:rsid w:val="0054561A"/>
    <w:rsid w:val="00546255"/>
    <w:rsid w:val="00555D7C"/>
    <w:rsid w:val="005564D6"/>
    <w:rsid w:val="00561FA8"/>
    <w:rsid w:val="005623E1"/>
    <w:rsid w:val="00566863"/>
    <w:rsid w:val="005700AE"/>
    <w:rsid w:val="0057072F"/>
    <w:rsid w:val="00570A70"/>
    <w:rsid w:val="00571EA2"/>
    <w:rsid w:val="0057639C"/>
    <w:rsid w:val="00580135"/>
    <w:rsid w:val="00582E40"/>
    <w:rsid w:val="00585292"/>
    <w:rsid w:val="005867FA"/>
    <w:rsid w:val="0059047E"/>
    <w:rsid w:val="00592C42"/>
    <w:rsid w:val="00593A49"/>
    <w:rsid w:val="0059477F"/>
    <w:rsid w:val="00594B61"/>
    <w:rsid w:val="00594C3A"/>
    <w:rsid w:val="0059582D"/>
    <w:rsid w:val="00596832"/>
    <w:rsid w:val="005977E6"/>
    <w:rsid w:val="00597B5D"/>
    <w:rsid w:val="005A02D5"/>
    <w:rsid w:val="005A2EB1"/>
    <w:rsid w:val="005A46C8"/>
    <w:rsid w:val="005A5127"/>
    <w:rsid w:val="005A6A3D"/>
    <w:rsid w:val="005B123C"/>
    <w:rsid w:val="005B1567"/>
    <w:rsid w:val="005B185E"/>
    <w:rsid w:val="005B210F"/>
    <w:rsid w:val="005B33B6"/>
    <w:rsid w:val="005B5F1D"/>
    <w:rsid w:val="005B77CC"/>
    <w:rsid w:val="005C2AE4"/>
    <w:rsid w:val="005C790F"/>
    <w:rsid w:val="005D04BB"/>
    <w:rsid w:val="005D0F2E"/>
    <w:rsid w:val="005D2B5B"/>
    <w:rsid w:val="005D3649"/>
    <w:rsid w:val="005D52D0"/>
    <w:rsid w:val="005D6485"/>
    <w:rsid w:val="005D6D55"/>
    <w:rsid w:val="005D7FE1"/>
    <w:rsid w:val="005E1B61"/>
    <w:rsid w:val="005E2747"/>
    <w:rsid w:val="005E51BE"/>
    <w:rsid w:val="005E693D"/>
    <w:rsid w:val="005E7228"/>
    <w:rsid w:val="005E7568"/>
    <w:rsid w:val="005E775A"/>
    <w:rsid w:val="005E7A78"/>
    <w:rsid w:val="005F5B05"/>
    <w:rsid w:val="005F5F2A"/>
    <w:rsid w:val="006019F3"/>
    <w:rsid w:val="00604128"/>
    <w:rsid w:val="00605804"/>
    <w:rsid w:val="0060683C"/>
    <w:rsid w:val="00606F9C"/>
    <w:rsid w:val="0061074E"/>
    <w:rsid w:val="0061165D"/>
    <w:rsid w:val="00611D8A"/>
    <w:rsid w:val="00612954"/>
    <w:rsid w:val="00614F18"/>
    <w:rsid w:val="006164F5"/>
    <w:rsid w:val="00617946"/>
    <w:rsid w:val="00622053"/>
    <w:rsid w:val="006229A8"/>
    <w:rsid w:val="006239EC"/>
    <w:rsid w:val="00624140"/>
    <w:rsid w:val="00624660"/>
    <w:rsid w:val="00626412"/>
    <w:rsid w:val="006274C6"/>
    <w:rsid w:val="00630BDF"/>
    <w:rsid w:val="006318AD"/>
    <w:rsid w:val="00640653"/>
    <w:rsid w:val="00641DF5"/>
    <w:rsid w:val="00641F73"/>
    <w:rsid w:val="00642373"/>
    <w:rsid w:val="00645003"/>
    <w:rsid w:val="006475E6"/>
    <w:rsid w:val="00651E04"/>
    <w:rsid w:val="00652654"/>
    <w:rsid w:val="00652EC7"/>
    <w:rsid w:val="00654725"/>
    <w:rsid w:val="006547F0"/>
    <w:rsid w:val="006550B9"/>
    <w:rsid w:val="00655A18"/>
    <w:rsid w:val="0065717E"/>
    <w:rsid w:val="006579A5"/>
    <w:rsid w:val="00660175"/>
    <w:rsid w:val="00660D7F"/>
    <w:rsid w:val="006641C3"/>
    <w:rsid w:val="00665A57"/>
    <w:rsid w:val="006673A1"/>
    <w:rsid w:val="0066FFCE"/>
    <w:rsid w:val="0067059F"/>
    <w:rsid w:val="006709A9"/>
    <w:rsid w:val="00670ADC"/>
    <w:rsid w:val="00671AD6"/>
    <w:rsid w:val="0067211E"/>
    <w:rsid w:val="006738CD"/>
    <w:rsid w:val="00673B2B"/>
    <w:rsid w:val="00673B56"/>
    <w:rsid w:val="00674DBF"/>
    <w:rsid w:val="00674FBD"/>
    <w:rsid w:val="006802A7"/>
    <w:rsid w:val="00681F93"/>
    <w:rsid w:val="006820A7"/>
    <w:rsid w:val="00683A8B"/>
    <w:rsid w:val="006868BD"/>
    <w:rsid w:val="006921E1"/>
    <w:rsid w:val="00692BE6"/>
    <w:rsid w:val="006937FB"/>
    <w:rsid w:val="00693FD3"/>
    <w:rsid w:val="0069410B"/>
    <w:rsid w:val="0069459C"/>
    <w:rsid w:val="00695809"/>
    <w:rsid w:val="00696C0A"/>
    <w:rsid w:val="006970DF"/>
    <w:rsid w:val="0069731E"/>
    <w:rsid w:val="006A0AB7"/>
    <w:rsid w:val="006A283C"/>
    <w:rsid w:val="006A28FB"/>
    <w:rsid w:val="006A5BB3"/>
    <w:rsid w:val="006A6092"/>
    <w:rsid w:val="006A63C3"/>
    <w:rsid w:val="006C016A"/>
    <w:rsid w:val="006C1264"/>
    <w:rsid w:val="006C362D"/>
    <w:rsid w:val="006C3E5A"/>
    <w:rsid w:val="006C7127"/>
    <w:rsid w:val="006C734A"/>
    <w:rsid w:val="006C737A"/>
    <w:rsid w:val="006D0BA7"/>
    <w:rsid w:val="006D194C"/>
    <w:rsid w:val="006D24E0"/>
    <w:rsid w:val="006D51B5"/>
    <w:rsid w:val="006E1F74"/>
    <w:rsid w:val="006E1FA6"/>
    <w:rsid w:val="006E2F65"/>
    <w:rsid w:val="006E5EDC"/>
    <w:rsid w:val="006E6637"/>
    <w:rsid w:val="006E6CB0"/>
    <w:rsid w:val="006E74D7"/>
    <w:rsid w:val="006F037B"/>
    <w:rsid w:val="006F090E"/>
    <w:rsid w:val="006F0CB5"/>
    <w:rsid w:val="006F12F7"/>
    <w:rsid w:val="006F2E63"/>
    <w:rsid w:val="006F32ED"/>
    <w:rsid w:val="006F5A53"/>
    <w:rsid w:val="006F5B85"/>
    <w:rsid w:val="006F6D72"/>
    <w:rsid w:val="006F77F3"/>
    <w:rsid w:val="00701963"/>
    <w:rsid w:val="007056FB"/>
    <w:rsid w:val="0070607F"/>
    <w:rsid w:val="007061AC"/>
    <w:rsid w:val="0070754E"/>
    <w:rsid w:val="007159EC"/>
    <w:rsid w:val="00715C1D"/>
    <w:rsid w:val="007163DF"/>
    <w:rsid w:val="00716A2F"/>
    <w:rsid w:val="00717076"/>
    <w:rsid w:val="00717156"/>
    <w:rsid w:val="00722852"/>
    <w:rsid w:val="007238B0"/>
    <w:rsid w:val="007240A0"/>
    <w:rsid w:val="0072422A"/>
    <w:rsid w:val="0072435D"/>
    <w:rsid w:val="00725B45"/>
    <w:rsid w:val="007272B1"/>
    <w:rsid w:val="00727C30"/>
    <w:rsid w:val="00731F29"/>
    <w:rsid w:val="00732FEC"/>
    <w:rsid w:val="007334F5"/>
    <w:rsid w:val="0073386E"/>
    <w:rsid w:val="00734AFF"/>
    <w:rsid w:val="0073505A"/>
    <w:rsid w:val="00736348"/>
    <w:rsid w:val="0073649E"/>
    <w:rsid w:val="007413FA"/>
    <w:rsid w:val="007450F2"/>
    <w:rsid w:val="0074570F"/>
    <w:rsid w:val="0074624A"/>
    <w:rsid w:val="00750271"/>
    <w:rsid w:val="0075049C"/>
    <w:rsid w:val="00751645"/>
    <w:rsid w:val="007522AF"/>
    <w:rsid w:val="00752329"/>
    <w:rsid w:val="00753474"/>
    <w:rsid w:val="0075683F"/>
    <w:rsid w:val="00756CB3"/>
    <w:rsid w:val="00761CEF"/>
    <w:rsid w:val="00762392"/>
    <w:rsid w:val="00762573"/>
    <w:rsid w:val="00762ED8"/>
    <w:rsid w:val="007658CD"/>
    <w:rsid w:val="007659DF"/>
    <w:rsid w:val="00771680"/>
    <w:rsid w:val="00772E9B"/>
    <w:rsid w:val="00773575"/>
    <w:rsid w:val="0077376B"/>
    <w:rsid w:val="00774FE9"/>
    <w:rsid w:val="00780620"/>
    <w:rsid w:val="007808A6"/>
    <w:rsid w:val="00780F7A"/>
    <w:rsid w:val="007813C9"/>
    <w:rsid w:val="00781559"/>
    <w:rsid w:val="00781C41"/>
    <w:rsid w:val="00782A05"/>
    <w:rsid w:val="007835E9"/>
    <w:rsid w:val="00783672"/>
    <w:rsid w:val="00783DB9"/>
    <w:rsid w:val="007865C3"/>
    <w:rsid w:val="00786733"/>
    <w:rsid w:val="00793B45"/>
    <w:rsid w:val="00795A8A"/>
    <w:rsid w:val="007971E8"/>
    <w:rsid w:val="007A01DE"/>
    <w:rsid w:val="007A46AE"/>
    <w:rsid w:val="007A5D3E"/>
    <w:rsid w:val="007A777D"/>
    <w:rsid w:val="007B2583"/>
    <w:rsid w:val="007B4AAB"/>
    <w:rsid w:val="007B6B1C"/>
    <w:rsid w:val="007B7A7A"/>
    <w:rsid w:val="007C0828"/>
    <w:rsid w:val="007C1E2C"/>
    <w:rsid w:val="007C367F"/>
    <w:rsid w:val="007C46F7"/>
    <w:rsid w:val="007C562A"/>
    <w:rsid w:val="007D0772"/>
    <w:rsid w:val="007D138B"/>
    <w:rsid w:val="007D18FC"/>
    <w:rsid w:val="007D1BE0"/>
    <w:rsid w:val="007D2DDC"/>
    <w:rsid w:val="007D38D9"/>
    <w:rsid w:val="007D4B9C"/>
    <w:rsid w:val="007D56CD"/>
    <w:rsid w:val="007D5AFF"/>
    <w:rsid w:val="007D6875"/>
    <w:rsid w:val="007D712D"/>
    <w:rsid w:val="007D7CCD"/>
    <w:rsid w:val="007E2CAA"/>
    <w:rsid w:val="007E2DB4"/>
    <w:rsid w:val="007E64C1"/>
    <w:rsid w:val="007E7EAA"/>
    <w:rsid w:val="007F1FF3"/>
    <w:rsid w:val="007F56B8"/>
    <w:rsid w:val="007F5AAA"/>
    <w:rsid w:val="007F5AB1"/>
    <w:rsid w:val="00804A1D"/>
    <w:rsid w:val="0080544B"/>
    <w:rsid w:val="0081014B"/>
    <w:rsid w:val="00810284"/>
    <w:rsid w:val="008114AD"/>
    <w:rsid w:val="00812BF3"/>
    <w:rsid w:val="008132D7"/>
    <w:rsid w:val="00813EE9"/>
    <w:rsid w:val="00815203"/>
    <w:rsid w:val="008175C0"/>
    <w:rsid w:val="00822A3A"/>
    <w:rsid w:val="00824DC5"/>
    <w:rsid w:val="00825048"/>
    <w:rsid w:val="00826846"/>
    <w:rsid w:val="00833B4D"/>
    <w:rsid w:val="00833D8A"/>
    <w:rsid w:val="00840412"/>
    <w:rsid w:val="008416C8"/>
    <w:rsid w:val="00841949"/>
    <w:rsid w:val="00846269"/>
    <w:rsid w:val="00846904"/>
    <w:rsid w:val="00847860"/>
    <w:rsid w:val="00850836"/>
    <w:rsid w:val="008524B5"/>
    <w:rsid w:val="008536CC"/>
    <w:rsid w:val="00854908"/>
    <w:rsid w:val="008552F9"/>
    <w:rsid w:val="0086179A"/>
    <w:rsid w:val="00861B92"/>
    <w:rsid w:val="008620BD"/>
    <w:rsid w:val="00862636"/>
    <w:rsid w:val="008626C6"/>
    <w:rsid w:val="0086527C"/>
    <w:rsid w:val="0087546C"/>
    <w:rsid w:val="00877866"/>
    <w:rsid w:val="008778DA"/>
    <w:rsid w:val="008810CE"/>
    <w:rsid w:val="00881430"/>
    <w:rsid w:val="008814FB"/>
    <w:rsid w:val="008831D8"/>
    <w:rsid w:val="008835EE"/>
    <w:rsid w:val="008840EA"/>
    <w:rsid w:val="0088631B"/>
    <w:rsid w:val="0088658B"/>
    <w:rsid w:val="008878A0"/>
    <w:rsid w:val="00887BF1"/>
    <w:rsid w:val="0089154E"/>
    <w:rsid w:val="00892667"/>
    <w:rsid w:val="008928B2"/>
    <w:rsid w:val="00892FE7"/>
    <w:rsid w:val="00894E49"/>
    <w:rsid w:val="00895222"/>
    <w:rsid w:val="00895231"/>
    <w:rsid w:val="00895DE8"/>
    <w:rsid w:val="00896781"/>
    <w:rsid w:val="00897FAA"/>
    <w:rsid w:val="008A38B6"/>
    <w:rsid w:val="008A41BF"/>
    <w:rsid w:val="008B38A5"/>
    <w:rsid w:val="008B5641"/>
    <w:rsid w:val="008B6431"/>
    <w:rsid w:val="008B7347"/>
    <w:rsid w:val="008B741F"/>
    <w:rsid w:val="008B744A"/>
    <w:rsid w:val="008C0C71"/>
    <w:rsid w:val="008C120E"/>
    <w:rsid w:val="008C3C90"/>
    <w:rsid w:val="008C45B3"/>
    <w:rsid w:val="008C6351"/>
    <w:rsid w:val="008D0956"/>
    <w:rsid w:val="008D212A"/>
    <w:rsid w:val="008D2A93"/>
    <w:rsid w:val="008D2EAD"/>
    <w:rsid w:val="008D5E62"/>
    <w:rsid w:val="008D61AD"/>
    <w:rsid w:val="008D6E7B"/>
    <w:rsid w:val="008D6ECD"/>
    <w:rsid w:val="008E063C"/>
    <w:rsid w:val="008E1FD8"/>
    <w:rsid w:val="008E5F4F"/>
    <w:rsid w:val="008E6418"/>
    <w:rsid w:val="008E7826"/>
    <w:rsid w:val="008E7C9D"/>
    <w:rsid w:val="008F01CC"/>
    <w:rsid w:val="008F0E0D"/>
    <w:rsid w:val="008F2A04"/>
    <w:rsid w:val="008F336E"/>
    <w:rsid w:val="008F5E30"/>
    <w:rsid w:val="008F6FB7"/>
    <w:rsid w:val="00901A2F"/>
    <w:rsid w:val="0090455B"/>
    <w:rsid w:val="009055B0"/>
    <w:rsid w:val="00906A71"/>
    <w:rsid w:val="00907C07"/>
    <w:rsid w:val="009109E2"/>
    <w:rsid w:val="00914D7F"/>
    <w:rsid w:val="00916C10"/>
    <w:rsid w:val="009175A9"/>
    <w:rsid w:val="009175C6"/>
    <w:rsid w:val="00917B9D"/>
    <w:rsid w:val="00921B27"/>
    <w:rsid w:val="009258B6"/>
    <w:rsid w:val="00925AF0"/>
    <w:rsid w:val="0093014E"/>
    <w:rsid w:val="009321EA"/>
    <w:rsid w:val="009330C7"/>
    <w:rsid w:val="0093362B"/>
    <w:rsid w:val="0093422E"/>
    <w:rsid w:val="00936500"/>
    <w:rsid w:val="00941629"/>
    <w:rsid w:val="00941D8F"/>
    <w:rsid w:val="00944177"/>
    <w:rsid w:val="009527C2"/>
    <w:rsid w:val="00953CF4"/>
    <w:rsid w:val="009575C1"/>
    <w:rsid w:val="009611EF"/>
    <w:rsid w:val="009620A6"/>
    <w:rsid w:val="009625FA"/>
    <w:rsid w:val="009633A9"/>
    <w:rsid w:val="00963F8D"/>
    <w:rsid w:val="00964659"/>
    <w:rsid w:val="00967831"/>
    <w:rsid w:val="00971744"/>
    <w:rsid w:val="0097305A"/>
    <w:rsid w:val="0097428B"/>
    <w:rsid w:val="00980681"/>
    <w:rsid w:val="0098344F"/>
    <w:rsid w:val="00985942"/>
    <w:rsid w:val="00986879"/>
    <w:rsid w:val="009873E4"/>
    <w:rsid w:val="00990380"/>
    <w:rsid w:val="00990ECB"/>
    <w:rsid w:val="009911FB"/>
    <w:rsid w:val="00991555"/>
    <w:rsid w:val="009935BD"/>
    <w:rsid w:val="009942AB"/>
    <w:rsid w:val="00994788"/>
    <w:rsid w:val="009A0045"/>
    <w:rsid w:val="009A0D1E"/>
    <w:rsid w:val="009A0FED"/>
    <w:rsid w:val="009A2414"/>
    <w:rsid w:val="009A4668"/>
    <w:rsid w:val="009A4CE0"/>
    <w:rsid w:val="009A5081"/>
    <w:rsid w:val="009A50CF"/>
    <w:rsid w:val="009A6FE5"/>
    <w:rsid w:val="009A760C"/>
    <w:rsid w:val="009B1258"/>
    <w:rsid w:val="009B3794"/>
    <w:rsid w:val="009C047B"/>
    <w:rsid w:val="009D2C81"/>
    <w:rsid w:val="009D4946"/>
    <w:rsid w:val="009D6D80"/>
    <w:rsid w:val="009D7C90"/>
    <w:rsid w:val="009E02EA"/>
    <w:rsid w:val="009E0F4E"/>
    <w:rsid w:val="009E156A"/>
    <w:rsid w:val="009E4914"/>
    <w:rsid w:val="009E600B"/>
    <w:rsid w:val="009E61AA"/>
    <w:rsid w:val="009E680B"/>
    <w:rsid w:val="009E704B"/>
    <w:rsid w:val="009E7C7D"/>
    <w:rsid w:val="009F2C1E"/>
    <w:rsid w:val="009F3C55"/>
    <w:rsid w:val="009F4E3C"/>
    <w:rsid w:val="009F6FDA"/>
    <w:rsid w:val="00A01021"/>
    <w:rsid w:val="00A03504"/>
    <w:rsid w:val="00A03708"/>
    <w:rsid w:val="00A052F3"/>
    <w:rsid w:val="00A0601A"/>
    <w:rsid w:val="00A06608"/>
    <w:rsid w:val="00A06D0E"/>
    <w:rsid w:val="00A073D3"/>
    <w:rsid w:val="00A10AFE"/>
    <w:rsid w:val="00A144F7"/>
    <w:rsid w:val="00A14E79"/>
    <w:rsid w:val="00A15A1F"/>
    <w:rsid w:val="00A15BAD"/>
    <w:rsid w:val="00A17336"/>
    <w:rsid w:val="00A17B14"/>
    <w:rsid w:val="00A21F9A"/>
    <w:rsid w:val="00A23454"/>
    <w:rsid w:val="00A27346"/>
    <w:rsid w:val="00A31F01"/>
    <w:rsid w:val="00A32A38"/>
    <w:rsid w:val="00A3325A"/>
    <w:rsid w:val="00A35619"/>
    <w:rsid w:val="00A35EEC"/>
    <w:rsid w:val="00A36B3E"/>
    <w:rsid w:val="00A36CE7"/>
    <w:rsid w:val="00A40F13"/>
    <w:rsid w:val="00A4142D"/>
    <w:rsid w:val="00A43013"/>
    <w:rsid w:val="00A46D33"/>
    <w:rsid w:val="00A5022F"/>
    <w:rsid w:val="00A50AAE"/>
    <w:rsid w:val="00A62334"/>
    <w:rsid w:val="00A62677"/>
    <w:rsid w:val="00A66BAB"/>
    <w:rsid w:val="00A745EE"/>
    <w:rsid w:val="00A75DBA"/>
    <w:rsid w:val="00A7603D"/>
    <w:rsid w:val="00A77437"/>
    <w:rsid w:val="00A7755A"/>
    <w:rsid w:val="00A778C3"/>
    <w:rsid w:val="00A8060E"/>
    <w:rsid w:val="00A81D1D"/>
    <w:rsid w:val="00A82A1B"/>
    <w:rsid w:val="00A84C85"/>
    <w:rsid w:val="00A87142"/>
    <w:rsid w:val="00A90334"/>
    <w:rsid w:val="00A9159C"/>
    <w:rsid w:val="00A92316"/>
    <w:rsid w:val="00A92D6E"/>
    <w:rsid w:val="00AA0EB6"/>
    <w:rsid w:val="00AA1EAB"/>
    <w:rsid w:val="00AA330C"/>
    <w:rsid w:val="00AA3E6A"/>
    <w:rsid w:val="00AB0A21"/>
    <w:rsid w:val="00AB1FF0"/>
    <w:rsid w:val="00AB349B"/>
    <w:rsid w:val="00AB3651"/>
    <w:rsid w:val="00AB3E57"/>
    <w:rsid w:val="00AB536E"/>
    <w:rsid w:val="00AB7AF3"/>
    <w:rsid w:val="00AB7C8D"/>
    <w:rsid w:val="00AC0490"/>
    <w:rsid w:val="00AC0D68"/>
    <w:rsid w:val="00AC0F98"/>
    <w:rsid w:val="00AC6326"/>
    <w:rsid w:val="00AC7503"/>
    <w:rsid w:val="00AD2850"/>
    <w:rsid w:val="00AD2B60"/>
    <w:rsid w:val="00AD4B58"/>
    <w:rsid w:val="00AD59CE"/>
    <w:rsid w:val="00AD5AA2"/>
    <w:rsid w:val="00AD668D"/>
    <w:rsid w:val="00AD7F6E"/>
    <w:rsid w:val="00AE19D1"/>
    <w:rsid w:val="00AE1AA6"/>
    <w:rsid w:val="00AE2438"/>
    <w:rsid w:val="00AE3E1F"/>
    <w:rsid w:val="00AE4EA9"/>
    <w:rsid w:val="00AF0557"/>
    <w:rsid w:val="00AF108A"/>
    <w:rsid w:val="00AF2BAC"/>
    <w:rsid w:val="00AF2C39"/>
    <w:rsid w:val="00AF2FEF"/>
    <w:rsid w:val="00AF37A8"/>
    <w:rsid w:val="00AF38B3"/>
    <w:rsid w:val="00AF539E"/>
    <w:rsid w:val="00AF5C92"/>
    <w:rsid w:val="00AF6679"/>
    <w:rsid w:val="00AF6F6B"/>
    <w:rsid w:val="00B00097"/>
    <w:rsid w:val="00B01F14"/>
    <w:rsid w:val="00B02E55"/>
    <w:rsid w:val="00B02EF4"/>
    <w:rsid w:val="00B036C1"/>
    <w:rsid w:val="00B06AB6"/>
    <w:rsid w:val="00B1183A"/>
    <w:rsid w:val="00B121B2"/>
    <w:rsid w:val="00B1492E"/>
    <w:rsid w:val="00B14950"/>
    <w:rsid w:val="00B153E4"/>
    <w:rsid w:val="00B15431"/>
    <w:rsid w:val="00B15DBB"/>
    <w:rsid w:val="00B16644"/>
    <w:rsid w:val="00B20A25"/>
    <w:rsid w:val="00B20B79"/>
    <w:rsid w:val="00B20D30"/>
    <w:rsid w:val="00B210A5"/>
    <w:rsid w:val="00B218AC"/>
    <w:rsid w:val="00B26676"/>
    <w:rsid w:val="00B32FAE"/>
    <w:rsid w:val="00B33B70"/>
    <w:rsid w:val="00B34224"/>
    <w:rsid w:val="00B34F5E"/>
    <w:rsid w:val="00B36476"/>
    <w:rsid w:val="00B44EA2"/>
    <w:rsid w:val="00B46BD1"/>
    <w:rsid w:val="00B46E01"/>
    <w:rsid w:val="00B50FFE"/>
    <w:rsid w:val="00B53BA3"/>
    <w:rsid w:val="00B542C5"/>
    <w:rsid w:val="00B5431F"/>
    <w:rsid w:val="00B5505C"/>
    <w:rsid w:val="00B60125"/>
    <w:rsid w:val="00B6085F"/>
    <w:rsid w:val="00B62379"/>
    <w:rsid w:val="00B65A11"/>
    <w:rsid w:val="00B662B6"/>
    <w:rsid w:val="00B66B57"/>
    <w:rsid w:val="00B71032"/>
    <w:rsid w:val="00B71685"/>
    <w:rsid w:val="00B72B33"/>
    <w:rsid w:val="00B72C68"/>
    <w:rsid w:val="00B72E03"/>
    <w:rsid w:val="00B762EE"/>
    <w:rsid w:val="00B775A1"/>
    <w:rsid w:val="00B7770A"/>
    <w:rsid w:val="00B777C0"/>
    <w:rsid w:val="00B77AC2"/>
    <w:rsid w:val="00B805FD"/>
    <w:rsid w:val="00B81113"/>
    <w:rsid w:val="00B83521"/>
    <w:rsid w:val="00B83904"/>
    <w:rsid w:val="00B841C9"/>
    <w:rsid w:val="00B8436E"/>
    <w:rsid w:val="00B857FF"/>
    <w:rsid w:val="00B86281"/>
    <w:rsid w:val="00B8685C"/>
    <w:rsid w:val="00B86B74"/>
    <w:rsid w:val="00B86B7B"/>
    <w:rsid w:val="00B914EC"/>
    <w:rsid w:val="00B91704"/>
    <w:rsid w:val="00B91D41"/>
    <w:rsid w:val="00B91FFE"/>
    <w:rsid w:val="00B9354C"/>
    <w:rsid w:val="00B94484"/>
    <w:rsid w:val="00B98EB9"/>
    <w:rsid w:val="00BA1691"/>
    <w:rsid w:val="00BA470C"/>
    <w:rsid w:val="00BA5547"/>
    <w:rsid w:val="00BA763A"/>
    <w:rsid w:val="00BB20F2"/>
    <w:rsid w:val="00BB2510"/>
    <w:rsid w:val="00BB2C4E"/>
    <w:rsid w:val="00BC029C"/>
    <w:rsid w:val="00BC0E7D"/>
    <w:rsid w:val="00BC184B"/>
    <w:rsid w:val="00BC2FEF"/>
    <w:rsid w:val="00BC33C5"/>
    <w:rsid w:val="00BC4803"/>
    <w:rsid w:val="00BC6365"/>
    <w:rsid w:val="00BC740F"/>
    <w:rsid w:val="00BC7768"/>
    <w:rsid w:val="00BD07C8"/>
    <w:rsid w:val="00BD7D2E"/>
    <w:rsid w:val="00BDAFD9"/>
    <w:rsid w:val="00BE0409"/>
    <w:rsid w:val="00BE07AC"/>
    <w:rsid w:val="00BE1C8C"/>
    <w:rsid w:val="00BE72C6"/>
    <w:rsid w:val="00BF092C"/>
    <w:rsid w:val="00BF6656"/>
    <w:rsid w:val="00BF7FE0"/>
    <w:rsid w:val="00C00F0A"/>
    <w:rsid w:val="00C05C31"/>
    <w:rsid w:val="00C11554"/>
    <w:rsid w:val="00C118E9"/>
    <w:rsid w:val="00C12398"/>
    <w:rsid w:val="00C12A4C"/>
    <w:rsid w:val="00C1310A"/>
    <w:rsid w:val="00C14278"/>
    <w:rsid w:val="00C14D43"/>
    <w:rsid w:val="00C15BEE"/>
    <w:rsid w:val="00C229F5"/>
    <w:rsid w:val="00C23AB2"/>
    <w:rsid w:val="00C2738C"/>
    <w:rsid w:val="00C27EC5"/>
    <w:rsid w:val="00C30A16"/>
    <w:rsid w:val="00C32265"/>
    <w:rsid w:val="00C330A2"/>
    <w:rsid w:val="00C36044"/>
    <w:rsid w:val="00C4221F"/>
    <w:rsid w:val="00C44FF4"/>
    <w:rsid w:val="00C45501"/>
    <w:rsid w:val="00C4572D"/>
    <w:rsid w:val="00C501A8"/>
    <w:rsid w:val="00C52172"/>
    <w:rsid w:val="00C53063"/>
    <w:rsid w:val="00C54B7F"/>
    <w:rsid w:val="00C57FD8"/>
    <w:rsid w:val="00C633EE"/>
    <w:rsid w:val="00C63922"/>
    <w:rsid w:val="00C63D63"/>
    <w:rsid w:val="00C647B7"/>
    <w:rsid w:val="00C654A4"/>
    <w:rsid w:val="00C65A63"/>
    <w:rsid w:val="00C7454A"/>
    <w:rsid w:val="00C74BB4"/>
    <w:rsid w:val="00C75102"/>
    <w:rsid w:val="00C77C66"/>
    <w:rsid w:val="00C83E8C"/>
    <w:rsid w:val="00C847B4"/>
    <w:rsid w:val="00C848CE"/>
    <w:rsid w:val="00C85682"/>
    <w:rsid w:val="00C86306"/>
    <w:rsid w:val="00C90254"/>
    <w:rsid w:val="00C92029"/>
    <w:rsid w:val="00C9282D"/>
    <w:rsid w:val="00C92A18"/>
    <w:rsid w:val="00C94782"/>
    <w:rsid w:val="00C94CDA"/>
    <w:rsid w:val="00C96411"/>
    <w:rsid w:val="00CA2638"/>
    <w:rsid w:val="00CA4FC7"/>
    <w:rsid w:val="00CB0D59"/>
    <w:rsid w:val="00CB1025"/>
    <w:rsid w:val="00CB2369"/>
    <w:rsid w:val="00CB2590"/>
    <w:rsid w:val="00CB3943"/>
    <w:rsid w:val="00CB3D08"/>
    <w:rsid w:val="00CB7211"/>
    <w:rsid w:val="00CC24F4"/>
    <w:rsid w:val="00CC27FA"/>
    <w:rsid w:val="00CC2934"/>
    <w:rsid w:val="00CC54EA"/>
    <w:rsid w:val="00CD117A"/>
    <w:rsid w:val="00CD7073"/>
    <w:rsid w:val="00CD78AE"/>
    <w:rsid w:val="00CE0286"/>
    <w:rsid w:val="00CE3F9C"/>
    <w:rsid w:val="00CE4C75"/>
    <w:rsid w:val="00CF06E1"/>
    <w:rsid w:val="00CF2381"/>
    <w:rsid w:val="00CF2E5C"/>
    <w:rsid w:val="00CF2F1B"/>
    <w:rsid w:val="00CF58B7"/>
    <w:rsid w:val="00CF657C"/>
    <w:rsid w:val="00D02A8F"/>
    <w:rsid w:val="00D02C88"/>
    <w:rsid w:val="00D03F35"/>
    <w:rsid w:val="00D03F79"/>
    <w:rsid w:val="00D052F1"/>
    <w:rsid w:val="00D10B47"/>
    <w:rsid w:val="00D14D99"/>
    <w:rsid w:val="00D165DF"/>
    <w:rsid w:val="00D1699D"/>
    <w:rsid w:val="00D20E2F"/>
    <w:rsid w:val="00D22BC2"/>
    <w:rsid w:val="00D22F06"/>
    <w:rsid w:val="00D23E22"/>
    <w:rsid w:val="00D2429B"/>
    <w:rsid w:val="00D260A9"/>
    <w:rsid w:val="00D3110F"/>
    <w:rsid w:val="00D351C1"/>
    <w:rsid w:val="00D35EFB"/>
    <w:rsid w:val="00D36202"/>
    <w:rsid w:val="00D37E33"/>
    <w:rsid w:val="00D4209A"/>
    <w:rsid w:val="00D449E5"/>
    <w:rsid w:val="00D44C0C"/>
    <w:rsid w:val="00D47D55"/>
    <w:rsid w:val="00D504B3"/>
    <w:rsid w:val="00D52461"/>
    <w:rsid w:val="00D524CD"/>
    <w:rsid w:val="00D56F9B"/>
    <w:rsid w:val="00D609D1"/>
    <w:rsid w:val="00D61177"/>
    <w:rsid w:val="00D625D8"/>
    <w:rsid w:val="00D632CB"/>
    <w:rsid w:val="00D64657"/>
    <w:rsid w:val="00D64F33"/>
    <w:rsid w:val="00D72F78"/>
    <w:rsid w:val="00D746DB"/>
    <w:rsid w:val="00D77147"/>
    <w:rsid w:val="00D81166"/>
    <w:rsid w:val="00D83575"/>
    <w:rsid w:val="00D840FC"/>
    <w:rsid w:val="00D84BC9"/>
    <w:rsid w:val="00D86BF0"/>
    <w:rsid w:val="00D87CBA"/>
    <w:rsid w:val="00D90635"/>
    <w:rsid w:val="00D90B1F"/>
    <w:rsid w:val="00D91901"/>
    <w:rsid w:val="00D91A14"/>
    <w:rsid w:val="00D93BFC"/>
    <w:rsid w:val="00D96652"/>
    <w:rsid w:val="00DA2373"/>
    <w:rsid w:val="00DA25C9"/>
    <w:rsid w:val="00DA2862"/>
    <w:rsid w:val="00DA3E09"/>
    <w:rsid w:val="00DA4A93"/>
    <w:rsid w:val="00DA6BC6"/>
    <w:rsid w:val="00DA6F1A"/>
    <w:rsid w:val="00DB0635"/>
    <w:rsid w:val="00DB2E43"/>
    <w:rsid w:val="00DB71DE"/>
    <w:rsid w:val="00DC003B"/>
    <w:rsid w:val="00DD15E3"/>
    <w:rsid w:val="00DD18FC"/>
    <w:rsid w:val="00DD512B"/>
    <w:rsid w:val="00DE0115"/>
    <w:rsid w:val="00DE22CD"/>
    <w:rsid w:val="00DE30AA"/>
    <w:rsid w:val="00DE6E6F"/>
    <w:rsid w:val="00DF1E72"/>
    <w:rsid w:val="00DF2340"/>
    <w:rsid w:val="00DF555F"/>
    <w:rsid w:val="00E03BCF"/>
    <w:rsid w:val="00E0473A"/>
    <w:rsid w:val="00E0737C"/>
    <w:rsid w:val="00E11631"/>
    <w:rsid w:val="00E11653"/>
    <w:rsid w:val="00E130AE"/>
    <w:rsid w:val="00E1509E"/>
    <w:rsid w:val="00E15285"/>
    <w:rsid w:val="00E15DAA"/>
    <w:rsid w:val="00E2313E"/>
    <w:rsid w:val="00E23C50"/>
    <w:rsid w:val="00E2786E"/>
    <w:rsid w:val="00E3262C"/>
    <w:rsid w:val="00E32979"/>
    <w:rsid w:val="00E33A71"/>
    <w:rsid w:val="00E354FE"/>
    <w:rsid w:val="00E36182"/>
    <w:rsid w:val="00E36CE2"/>
    <w:rsid w:val="00E371D0"/>
    <w:rsid w:val="00E41C8C"/>
    <w:rsid w:val="00E42931"/>
    <w:rsid w:val="00E4696A"/>
    <w:rsid w:val="00E51079"/>
    <w:rsid w:val="00E5128E"/>
    <w:rsid w:val="00E51920"/>
    <w:rsid w:val="00E52D20"/>
    <w:rsid w:val="00E566DC"/>
    <w:rsid w:val="00E56965"/>
    <w:rsid w:val="00E6045C"/>
    <w:rsid w:val="00E61C67"/>
    <w:rsid w:val="00E61F9B"/>
    <w:rsid w:val="00E6297F"/>
    <w:rsid w:val="00E63423"/>
    <w:rsid w:val="00E64120"/>
    <w:rsid w:val="00E65980"/>
    <w:rsid w:val="00E660A1"/>
    <w:rsid w:val="00E6648E"/>
    <w:rsid w:val="00E67231"/>
    <w:rsid w:val="00E672B1"/>
    <w:rsid w:val="00E677C9"/>
    <w:rsid w:val="00E70271"/>
    <w:rsid w:val="00E723BF"/>
    <w:rsid w:val="00E72AE9"/>
    <w:rsid w:val="00E73550"/>
    <w:rsid w:val="00E74106"/>
    <w:rsid w:val="00E7420C"/>
    <w:rsid w:val="00E74924"/>
    <w:rsid w:val="00E752DF"/>
    <w:rsid w:val="00E755AC"/>
    <w:rsid w:val="00E75BB5"/>
    <w:rsid w:val="00E772EA"/>
    <w:rsid w:val="00E77B4B"/>
    <w:rsid w:val="00E80619"/>
    <w:rsid w:val="00E824D5"/>
    <w:rsid w:val="00E851C4"/>
    <w:rsid w:val="00E87396"/>
    <w:rsid w:val="00E87CE0"/>
    <w:rsid w:val="00E91284"/>
    <w:rsid w:val="00E91DB9"/>
    <w:rsid w:val="00E91F61"/>
    <w:rsid w:val="00E96065"/>
    <w:rsid w:val="00E9610B"/>
    <w:rsid w:val="00E966A4"/>
    <w:rsid w:val="00EA01DB"/>
    <w:rsid w:val="00EA1285"/>
    <w:rsid w:val="00EA1A91"/>
    <w:rsid w:val="00EA1FA7"/>
    <w:rsid w:val="00EA58E3"/>
    <w:rsid w:val="00EA7A30"/>
    <w:rsid w:val="00EB096F"/>
    <w:rsid w:val="00EB22A0"/>
    <w:rsid w:val="00EB3124"/>
    <w:rsid w:val="00EB42A8"/>
    <w:rsid w:val="00EB4E49"/>
    <w:rsid w:val="00EB53CE"/>
    <w:rsid w:val="00EB5462"/>
    <w:rsid w:val="00EC1605"/>
    <w:rsid w:val="00EC1C57"/>
    <w:rsid w:val="00EC1F45"/>
    <w:rsid w:val="00EC522E"/>
    <w:rsid w:val="00EC54FD"/>
    <w:rsid w:val="00EC6AC5"/>
    <w:rsid w:val="00EC7967"/>
    <w:rsid w:val="00ED1F93"/>
    <w:rsid w:val="00ED22C4"/>
    <w:rsid w:val="00ED2F30"/>
    <w:rsid w:val="00ED48A6"/>
    <w:rsid w:val="00ED546E"/>
    <w:rsid w:val="00ED58EE"/>
    <w:rsid w:val="00ED63B1"/>
    <w:rsid w:val="00ED7052"/>
    <w:rsid w:val="00ED7978"/>
    <w:rsid w:val="00EE079D"/>
    <w:rsid w:val="00EE2CB4"/>
    <w:rsid w:val="00EE345D"/>
    <w:rsid w:val="00EE482A"/>
    <w:rsid w:val="00EE7D3B"/>
    <w:rsid w:val="00EF3094"/>
    <w:rsid w:val="00EF499A"/>
    <w:rsid w:val="00F00A1A"/>
    <w:rsid w:val="00F0209D"/>
    <w:rsid w:val="00F02112"/>
    <w:rsid w:val="00F055F1"/>
    <w:rsid w:val="00F06A8F"/>
    <w:rsid w:val="00F11D2D"/>
    <w:rsid w:val="00F120A4"/>
    <w:rsid w:val="00F12A67"/>
    <w:rsid w:val="00F1314B"/>
    <w:rsid w:val="00F13810"/>
    <w:rsid w:val="00F14B68"/>
    <w:rsid w:val="00F15290"/>
    <w:rsid w:val="00F15338"/>
    <w:rsid w:val="00F205E4"/>
    <w:rsid w:val="00F24B0B"/>
    <w:rsid w:val="00F25799"/>
    <w:rsid w:val="00F266B8"/>
    <w:rsid w:val="00F276ED"/>
    <w:rsid w:val="00F3030D"/>
    <w:rsid w:val="00F31415"/>
    <w:rsid w:val="00F336EF"/>
    <w:rsid w:val="00F34ECD"/>
    <w:rsid w:val="00F413F2"/>
    <w:rsid w:val="00F466A1"/>
    <w:rsid w:val="00F52C49"/>
    <w:rsid w:val="00F54776"/>
    <w:rsid w:val="00F5544A"/>
    <w:rsid w:val="00F610AF"/>
    <w:rsid w:val="00F61E11"/>
    <w:rsid w:val="00F62EFC"/>
    <w:rsid w:val="00F62F2C"/>
    <w:rsid w:val="00F63604"/>
    <w:rsid w:val="00F6492E"/>
    <w:rsid w:val="00F64DF1"/>
    <w:rsid w:val="00F71867"/>
    <w:rsid w:val="00F735C3"/>
    <w:rsid w:val="00F7429B"/>
    <w:rsid w:val="00F7441A"/>
    <w:rsid w:val="00F76988"/>
    <w:rsid w:val="00F77B11"/>
    <w:rsid w:val="00F83790"/>
    <w:rsid w:val="00F83C97"/>
    <w:rsid w:val="00F84117"/>
    <w:rsid w:val="00F843EF"/>
    <w:rsid w:val="00F8571B"/>
    <w:rsid w:val="00F95E12"/>
    <w:rsid w:val="00F96AAE"/>
    <w:rsid w:val="00F96DDF"/>
    <w:rsid w:val="00F970B6"/>
    <w:rsid w:val="00F972F8"/>
    <w:rsid w:val="00F9748B"/>
    <w:rsid w:val="00FA044F"/>
    <w:rsid w:val="00FA26A1"/>
    <w:rsid w:val="00FA2C5A"/>
    <w:rsid w:val="00FA4352"/>
    <w:rsid w:val="00FA501F"/>
    <w:rsid w:val="00FA5C47"/>
    <w:rsid w:val="00FA7147"/>
    <w:rsid w:val="00FA722A"/>
    <w:rsid w:val="00FB008E"/>
    <w:rsid w:val="00FB049F"/>
    <w:rsid w:val="00FB086E"/>
    <w:rsid w:val="00FB0F6E"/>
    <w:rsid w:val="00FB101D"/>
    <w:rsid w:val="00FB1130"/>
    <w:rsid w:val="00FB4582"/>
    <w:rsid w:val="00FB71BF"/>
    <w:rsid w:val="00FB7394"/>
    <w:rsid w:val="00FC0623"/>
    <w:rsid w:val="00FC1085"/>
    <w:rsid w:val="00FC2D11"/>
    <w:rsid w:val="00FC4F63"/>
    <w:rsid w:val="00FC50EF"/>
    <w:rsid w:val="00FC571C"/>
    <w:rsid w:val="00FC5770"/>
    <w:rsid w:val="00FC61FD"/>
    <w:rsid w:val="00FC6230"/>
    <w:rsid w:val="00FC6EF2"/>
    <w:rsid w:val="00FC7757"/>
    <w:rsid w:val="00FD14AB"/>
    <w:rsid w:val="00FD37FA"/>
    <w:rsid w:val="00FD64DB"/>
    <w:rsid w:val="00FD65C2"/>
    <w:rsid w:val="00FE0077"/>
    <w:rsid w:val="00FE1E0E"/>
    <w:rsid w:val="00FE295E"/>
    <w:rsid w:val="00FE4EEF"/>
    <w:rsid w:val="00FE5488"/>
    <w:rsid w:val="00FE6EC7"/>
    <w:rsid w:val="00FF0370"/>
    <w:rsid w:val="00FF179B"/>
    <w:rsid w:val="00FF1C99"/>
    <w:rsid w:val="00FF24FE"/>
    <w:rsid w:val="00FF2D25"/>
    <w:rsid w:val="00FF61E7"/>
    <w:rsid w:val="00FF7746"/>
    <w:rsid w:val="015DB929"/>
    <w:rsid w:val="019E7E41"/>
    <w:rsid w:val="02107C70"/>
    <w:rsid w:val="022B33C8"/>
    <w:rsid w:val="0259B1A7"/>
    <w:rsid w:val="02ECDF74"/>
    <w:rsid w:val="03189C41"/>
    <w:rsid w:val="03625D26"/>
    <w:rsid w:val="03A1FD55"/>
    <w:rsid w:val="03DCDA9F"/>
    <w:rsid w:val="03FE64D2"/>
    <w:rsid w:val="0438B5AA"/>
    <w:rsid w:val="057CA6D1"/>
    <w:rsid w:val="06B5AA45"/>
    <w:rsid w:val="06B961EF"/>
    <w:rsid w:val="07333DE0"/>
    <w:rsid w:val="07C49FB7"/>
    <w:rsid w:val="08197E90"/>
    <w:rsid w:val="083E2484"/>
    <w:rsid w:val="0A70455C"/>
    <w:rsid w:val="0AABBB37"/>
    <w:rsid w:val="0AC148B9"/>
    <w:rsid w:val="0AEF8DC5"/>
    <w:rsid w:val="0B1493BC"/>
    <w:rsid w:val="0B6ABAC3"/>
    <w:rsid w:val="0C543A5A"/>
    <w:rsid w:val="0C8D9A64"/>
    <w:rsid w:val="0CC50BC1"/>
    <w:rsid w:val="0CD0A17B"/>
    <w:rsid w:val="0CD60DF1"/>
    <w:rsid w:val="0CEA4FBC"/>
    <w:rsid w:val="0CED29B1"/>
    <w:rsid w:val="0DCD10B3"/>
    <w:rsid w:val="0EAF4B15"/>
    <w:rsid w:val="10113772"/>
    <w:rsid w:val="104A7141"/>
    <w:rsid w:val="1106FE25"/>
    <w:rsid w:val="11AD3591"/>
    <w:rsid w:val="11E75C4A"/>
    <w:rsid w:val="1357F545"/>
    <w:rsid w:val="13618444"/>
    <w:rsid w:val="1385E301"/>
    <w:rsid w:val="13B32CC8"/>
    <w:rsid w:val="1582C166"/>
    <w:rsid w:val="164B4425"/>
    <w:rsid w:val="16779BEB"/>
    <w:rsid w:val="16B3E5D0"/>
    <w:rsid w:val="1818C82D"/>
    <w:rsid w:val="185FA67D"/>
    <w:rsid w:val="18A7D942"/>
    <w:rsid w:val="1ACACC27"/>
    <w:rsid w:val="1AD94CD9"/>
    <w:rsid w:val="1AE4557D"/>
    <w:rsid w:val="1B57D71E"/>
    <w:rsid w:val="1BC66895"/>
    <w:rsid w:val="1BE43101"/>
    <w:rsid w:val="1C1C32D7"/>
    <w:rsid w:val="1C53A9CC"/>
    <w:rsid w:val="1CCAE456"/>
    <w:rsid w:val="1E001F7A"/>
    <w:rsid w:val="1E173A51"/>
    <w:rsid w:val="1E7D422F"/>
    <w:rsid w:val="1E894A76"/>
    <w:rsid w:val="1F2AB286"/>
    <w:rsid w:val="1FAA9EC5"/>
    <w:rsid w:val="1FC67A0B"/>
    <w:rsid w:val="1FD1E11A"/>
    <w:rsid w:val="203B10A0"/>
    <w:rsid w:val="211237E6"/>
    <w:rsid w:val="2154D20F"/>
    <w:rsid w:val="220A18F4"/>
    <w:rsid w:val="22966390"/>
    <w:rsid w:val="22AB74DD"/>
    <w:rsid w:val="22FCD591"/>
    <w:rsid w:val="24C525A6"/>
    <w:rsid w:val="25C696C1"/>
    <w:rsid w:val="265E5F28"/>
    <w:rsid w:val="268E86E1"/>
    <w:rsid w:val="2731711E"/>
    <w:rsid w:val="276137D5"/>
    <w:rsid w:val="27B7F299"/>
    <w:rsid w:val="282B9F24"/>
    <w:rsid w:val="299179F1"/>
    <w:rsid w:val="2991E98D"/>
    <w:rsid w:val="2A004A35"/>
    <w:rsid w:val="2A35A6D9"/>
    <w:rsid w:val="2A3C95E3"/>
    <w:rsid w:val="2A5F6EB1"/>
    <w:rsid w:val="2AA23088"/>
    <w:rsid w:val="2B4AD0F4"/>
    <w:rsid w:val="2BF7140B"/>
    <w:rsid w:val="2C2C2A6C"/>
    <w:rsid w:val="2CD2A326"/>
    <w:rsid w:val="2D025067"/>
    <w:rsid w:val="2D78E696"/>
    <w:rsid w:val="2E84424E"/>
    <w:rsid w:val="2ED59B05"/>
    <w:rsid w:val="2EDFDD81"/>
    <w:rsid w:val="2EE13073"/>
    <w:rsid w:val="2F20301B"/>
    <w:rsid w:val="2FE1268B"/>
    <w:rsid w:val="30212E92"/>
    <w:rsid w:val="3056F340"/>
    <w:rsid w:val="325596D1"/>
    <w:rsid w:val="32A71A79"/>
    <w:rsid w:val="32EAA830"/>
    <w:rsid w:val="330175B9"/>
    <w:rsid w:val="333A4CFD"/>
    <w:rsid w:val="335EF310"/>
    <w:rsid w:val="337975A5"/>
    <w:rsid w:val="341A00ED"/>
    <w:rsid w:val="346F78FD"/>
    <w:rsid w:val="3476EC2C"/>
    <w:rsid w:val="351912AD"/>
    <w:rsid w:val="355AE45A"/>
    <w:rsid w:val="35F1322F"/>
    <w:rsid w:val="36559F6B"/>
    <w:rsid w:val="36AF715A"/>
    <w:rsid w:val="378A99EA"/>
    <w:rsid w:val="378B4438"/>
    <w:rsid w:val="382616F4"/>
    <w:rsid w:val="38446B97"/>
    <w:rsid w:val="38826E03"/>
    <w:rsid w:val="38A8E0EE"/>
    <w:rsid w:val="38CA1DE0"/>
    <w:rsid w:val="38CD03AB"/>
    <w:rsid w:val="38CF1131"/>
    <w:rsid w:val="396F3760"/>
    <w:rsid w:val="3983974D"/>
    <w:rsid w:val="398E2597"/>
    <w:rsid w:val="3A442977"/>
    <w:rsid w:val="3B3EEFB4"/>
    <w:rsid w:val="3BC8E5DB"/>
    <w:rsid w:val="3BF6A42D"/>
    <w:rsid w:val="3CFFB97F"/>
    <w:rsid w:val="3D5A29E4"/>
    <w:rsid w:val="3DA6177E"/>
    <w:rsid w:val="3E96FD73"/>
    <w:rsid w:val="3ED427E1"/>
    <w:rsid w:val="3F913EB2"/>
    <w:rsid w:val="408A379B"/>
    <w:rsid w:val="418817BB"/>
    <w:rsid w:val="41BC0318"/>
    <w:rsid w:val="41CDBC47"/>
    <w:rsid w:val="435D57AD"/>
    <w:rsid w:val="4389014D"/>
    <w:rsid w:val="4451C2F1"/>
    <w:rsid w:val="448A393A"/>
    <w:rsid w:val="45B6C996"/>
    <w:rsid w:val="45C5161F"/>
    <w:rsid w:val="45F237EF"/>
    <w:rsid w:val="462349B6"/>
    <w:rsid w:val="46647718"/>
    <w:rsid w:val="46853572"/>
    <w:rsid w:val="471D53A4"/>
    <w:rsid w:val="477D3E2B"/>
    <w:rsid w:val="49CC283C"/>
    <w:rsid w:val="4A53F1F5"/>
    <w:rsid w:val="4A8262C4"/>
    <w:rsid w:val="4C3105A5"/>
    <w:rsid w:val="4C7BFAFE"/>
    <w:rsid w:val="4CA9883B"/>
    <w:rsid w:val="4F4A7C74"/>
    <w:rsid w:val="4F9B6FED"/>
    <w:rsid w:val="506E483C"/>
    <w:rsid w:val="51CEFA8B"/>
    <w:rsid w:val="51D63E68"/>
    <w:rsid w:val="51DAAACD"/>
    <w:rsid w:val="520E44BC"/>
    <w:rsid w:val="526903B4"/>
    <w:rsid w:val="527FBF3D"/>
    <w:rsid w:val="536169D6"/>
    <w:rsid w:val="537D75A0"/>
    <w:rsid w:val="53EFC5C7"/>
    <w:rsid w:val="541A9D86"/>
    <w:rsid w:val="549EB224"/>
    <w:rsid w:val="54AF2275"/>
    <w:rsid w:val="5728EC13"/>
    <w:rsid w:val="581597B6"/>
    <w:rsid w:val="5A0BFDC9"/>
    <w:rsid w:val="5A530E75"/>
    <w:rsid w:val="5B63EBA8"/>
    <w:rsid w:val="5B86F724"/>
    <w:rsid w:val="5B970D18"/>
    <w:rsid w:val="5BF2026E"/>
    <w:rsid w:val="5C316F23"/>
    <w:rsid w:val="5C6833DD"/>
    <w:rsid w:val="5C72879D"/>
    <w:rsid w:val="5CFF0BD6"/>
    <w:rsid w:val="5D390423"/>
    <w:rsid w:val="5DE746DE"/>
    <w:rsid w:val="5EC9C73F"/>
    <w:rsid w:val="5F52AC92"/>
    <w:rsid w:val="5F697DDE"/>
    <w:rsid w:val="5F8C40B6"/>
    <w:rsid w:val="5F8F1773"/>
    <w:rsid w:val="608F9E42"/>
    <w:rsid w:val="61C9CE60"/>
    <w:rsid w:val="62A0F4B7"/>
    <w:rsid w:val="62A45A59"/>
    <w:rsid w:val="62DB575C"/>
    <w:rsid w:val="62E73158"/>
    <w:rsid w:val="63038053"/>
    <w:rsid w:val="6325291D"/>
    <w:rsid w:val="632560A2"/>
    <w:rsid w:val="634C2FB7"/>
    <w:rsid w:val="635A8E18"/>
    <w:rsid w:val="63A29CDC"/>
    <w:rsid w:val="63A61A05"/>
    <w:rsid w:val="63BB9845"/>
    <w:rsid w:val="6400198B"/>
    <w:rsid w:val="64269271"/>
    <w:rsid w:val="64B60058"/>
    <w:rsid w:val="65152435"/>
    <w:rsid w:val="651B3BC9"/>
    <w:rsid w:val="65B4155E"/>
    <w:rsid w:val="65D3C6E0"/>
    <w:rsid w:val="6657CD18"/>
    <w:rsid w:val="66749853"/>
    <w:rsid w:val="67861106"/>
    <w:rsid w:val="6890E1CE"/>
    <w:rsid w:val="68AF0556"/>
    <w:rsid w:val="694F0F2D"/>
    <w:rsid w:val="69538E31"/>
    <w:rsid w:val="6A6EA342"/>
    <w:rsid w:val="6B2033DD"/>
    <w:rsid w:val="6BEE3200"/>
    <w:rsid w:val="6BEF3316"/>
    <w:rsid w:val="6C34DFCC"/>
    <w:rsid w:val="6D214CFA"/>
    <w:rsid w:val="6E46B525"/>
    <w:rsid w:val="6E70E926"/>
    <w:rsid w:val="6E7FAC41"/>
    <w:rsid w:val="6FE8842E"/>
    <w:rsid w:val="70A40942"/>
    <w:rsid w:val="70D8BC15"/>
    <w:rsid w:val="712D09F3"/>
    <w:rsid w:val="7132A715"/>
    <w:rsid w:val="728045FF"/>
    <w:rsid w:val="72938CA4"/>
    <w:rsid w:val="72B04453"/>
    <w:rsid w:val="72F51F91"/>
    <w:rsid w:val="7390253D"/>
    <w:rsid w:val="7410AF19"/>
    <w:rsid w:val="7433A089"/>
    <w:rsid w:val="74ACCF87"/>
    <w:rsid w:val="74B28339"/>
    <w:rsid w:val="7530D2E5"/>
    <w:rsid w:val="756763B0"/>
    <w:rsid w:val="75D09F33"/>
    <w:rsid w:val="75EE7D72"/>
    <w:rsid w:val="75F264AE"/>
    <w:rsid w:val="765C8705"/>
    <w:rsid w:val="76E34CC9"/>
    <w:rsid w:val="773C7A93"/>
    <w:rsid w:val="7769197F"/>
    <w:rsid w:val="77A7A7AF"/>
    <w:rsid w:val="77B5A906"/>
    <w:rsid w:val="7923A551"/>
    <w:rsid w:val="792CEA99"/>
    <w:rsid w:val="7A677604"/>
    <w:rsid w:val="7AC7F127"/>
    <w:rsid w:val="7AEFD2CF"/>
    <w:rsid w:val="7BFDC7C1"/>
    <w:rsid w:val="7CC0C5FD"/>
    <w:rsid w:val="7D60A8A9"/>
    <w:rsid w:val="7E7F3371"/>
    <w:rsid w:val="7F1A28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61318"/>
  <w15:chartTrackingRefBased/>
  <w15:docId w15:val="{49F45489-08EB-4BB6-8863-6BCAE497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F45"/>
    <w:rPr>
      <w:sz w:val="24"/>
      <w:szCs w:val="24"/>
      <w:lang w:eastAsia="en-US"/>
    </w:rPr>
  </w:style>
  <w:style w:type="paragraph" w:styleId="Heading1">
    <w:name w:val="heading 1"/>
    <w:basedOn w:val="Normal"/>
    <w:next w:val="NICEnormal"/>
    <w:link w:val="Heading1Char"/>
    <w:qFormat/>
    <w:rsid w:val="00EC1F4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EC1F45"/>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EC1F45"/>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EC1F45"/>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tabs>
        <w:tab w:val="left" w:pos="426"/>
      </w:tabs>
      <w:spacing w:after="240" w:line="360" w:lineRule="auto"/>
    </w:pPr>
    <w:rPr>
      <w:rFonts w:ascii="Arial" w:hAnsi="Arial"/>
    </w:rPr>
  </w:style>
  <w:style w:type="paragraph" w:styleId="Title">
    <w:name w:val="Title"/>
    <w:basedOn w:val="Normal"/>
    <w:next w:val="NICEnormal"/>
    <w:link w:val="TitleChar"/>
    <w:qFormat/>
    <w:rsid w:val="00EC1F45"/>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696C0A"/>
    <w:rPr>
      <w:rFonts w:ascii="Arial" w:hAnsi="Arial" w:cs="Arial"/>
      <w:b/>
      <w:bCs/>
      <w:kern w:val="28"/>
      <w:sz w:val="40"/>
      <w:szCs w:val="32"/>
      <w:lang w:eastAsia="en-US"/>
    </w:rPr>
  </w:style>
  <w:style w:type="character" w:customStyle="1" w:styleId="Heading1Char">
    <w:name w:val="Heading 1 Char"/>
    <w:link w:val="Heading1"/>
    <w:rsid w:val="00EC1F45"/>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rPr>
  </w:style>
  <w:style w:type="paragraph" w:styleId="Header">
    <w:name w:val="header"/>
    <w:basedOn w:val="NICEnormalsinglespacing"/>
    <w:link w:val="HeaderChar"/>
    <w:rsid w:val="00EC1F45"/>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EC1F45"/>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EC1F45"/>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rsid w:val="00EC1F45"/>
    <w:rPr>
      <w:rFonts w:ascii="Arial" w:hAnsi="Arial"/>
    </w:rPr>
  </w:style>
  <w:style w:type="paragraph" w:styleId="TOC2">
    <w:name w:val="toc 2"/>
    <w:basedOn w:val="Normal"/>
    <w:next w:val="Normal"/>
    <w:rsid w:val="00EC1F45"/>
    <w:pPr>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EC1F45"/>
    <w:pPr>
      <w:keepNext/>
      <w:spacing w:after="200"/>
    </w:pPr>
    <w:rPr>
      <w:b/>
      <w:bCs/>
      <w:iCs/>
      <w:szCs w:val="18"/>
    </w:rPr>
  </w:style>
  <w:style w:type="character" w:styleId="Hyperlink">
    <w:name w:val="Hyperlink"/>
    <w:basedOn w:val="DefaultParagraphFont"/>
    <w:uiPriority w:val="99"/>
    <w:unhideWhenUsed/>
    <w:rsid w:val="00EC1F45"/>
    <w:rPr>
      <w:color w:val="0000FF" w:themeColor="hyperlink"/>
      <w:u w:val="single"/>
    </w:rPr>
  </w:style>
  <w:style w:type="table" w:customStyle="1" w:styleId="PanelDefault">
    <w:name w:val="Panel (Default)"/>
    <w:basedOn w:val="TableNormal"/>
    <w:uiPriority w:val="99"/>
    <w:rsid w:val="00EC1F4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EC1F4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EC1F45"/>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EC1F45"/>
    <w:pPr>
      <w:spacing w:after="60"/>
    </w:pPr>
    <w:rPr>
      <w:sz w:val="22"/>
    </w:rPr>
  </w:style>
  <w:style w:type="paragraph" w:customStyle="1" w:styleId="Tablebullet">
    <w:name w:val="Table bullet"/>
    <w:basedOn w:val="Tabletext"/>
    <w:qFormat/>
    <w:rsid w:val="00EC1F45"/>
    <w:pPr>
      <w:numPr>
        <w:numId w:val="22"/>
      </w:numPr>
    </w:pPr>
  </w:style>
  <w:style w:type="table" w:styleId="TableGrid">
    <w:name w:val="Table Grid"/>
    <w:basedOn w:val="TableNormal"/>
    <w:rsid w:val="00EC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EC1F45"/>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EC1F45"/>
    <w:rPr>
      <w:bCs w:val="0"/>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4A287F"/>
    <w:pPr>
      <w:spacing w:after="240" w:line="276" w:lineRule="auto"/>
    </w:pPr>
    <w:rPr>
      <w:rFonts w:ascii="Arial" w:hAnsi="Arial"/>
    </w:rPr>
  </w:style>
  <w:style w:type="paragraph" w:customStyle="1" w:styleId="NICEnormal">
    <w:name w:val="NICE normal"/>
    <w:link w:val="NICEnormalChar"/>
    <w:qFormat/>
    <w:rsid w:val="00EC1F45"/>
    <w:pPr>
      <w:spacing w:after="240" w:line="360" w:lineRule="auto"/>
    </w:pPr>
    <w:rPr>
      <w:rFonts w:ascii="Arial" w:hAnsi="Arial"/>
      <w:sz w:val="24"/>
      <w:szCs w:val="24"/>
      <w:lang w:eastAsia="en-US"/>
    </w:rPr>
  </w:style>
  <w:style w:type="character" w:customStyle="1" w:styleId="NICEnormalChar">
    <w:name w:val="NICE normal Char"/>
    <w:link w:val="NICEnormal"/>
    <w:rsid w:val="00EC1F45"/>
    <w:rPr>
      <w:rFonts w:ascii="Arial" w:hAnsi="Arial"/>
      <w:sz w:val="24"/>
      <w:szCs w:val="24"/>
      <w:lang w:eastAsia="en-US"/>
    </w:rPr>
  </w:style>
  <w:style w:type="paragraph" w:styleId="Revision">
    <w:name w:val="Revision"/>
    <w:hidden/>
    <w:uiPriority w:val="99"/>
    <w:semiHidden/>
    <w:rsid w:val="003B2046"/>
    <w:rPr>
      <w:sz w:val="24"/>
      <w:szCs w:val="24"/>
    </w:rPr>
  </w:style>
  <w:style w:type="character" w:styleId="FollowedHyperlink">
    <w:name w:val="FollowedHyperlink"/>
    <w:basedOn w:val="DefaultParagraphFont"/>
    <w:semiHidden/>
    <w:rsid w:val="00254C85"/>
    <w:rPr>
      <w:color w:val="00436C" w:themeColor="followedHyperlink"/>
      <w:u w:val="single"/>
    </w:rPr>
  </w:style>
  <w:style w:type="character" w:styleId="Mention">
    <w:name w:val="Mention"/>
    <w:basedOn w:val="DefaultParagraphFont"/>
    <w:uiPriority w:val="99"/>
    <w:unhideWhenUsed/>
    <w:rsid w:val="00614F18"/>
    <w:rPr>
      <w:color w:val="2B579A"/>
      <w:shd w:val="clear" w:color="auto" w:fill="E1DFDD"/>
    </w:rPr>
  </w:style>
  <w:style w:type="character" w:styleId="UnresolvedMention">
    <w:name w:val="Unresolved Mention"/>
    <w:basedOn w:val="DefaultParagraphFont"/>
    <w:uiPriority w:val="99"/>
    <w:semiHidden/>
    <w:unhideWhenUsed/>
    <w:rsid w:val="00B71032"/>
    <w:rPr>
      <w:color w:val="605E5C"/>
      <w:shd w:val="clear" w:color="auto" w:fill="E1DFDD"/>
    </w:rPr>
  </w:style>
  <w:style w:type="paragraph" w:styleId="ListParagraph">
    <w:name w:val="List Paragraph"/>
    <w:basedOn w:val="Normal"/>
    <w:uiPriority w:val="34"/>
    <w:qFormat/>
    <w:rsid w:val="00EC1F45"/>
    <w:pPr>
      <w:ind w:left="720"/>
      <w:contextualSpacing/>
    </w:pPr>
  </w:style>
  <w:style w:type="paragraph" w:styleId="NormalWeb">
    <w:name w:val="Normal (Web)"/>
    <w:basedOn w:val="Normal"/>
    <w:semiHidden/>
    <w:rsid w:val="00093E02"/>
  </w:style>
  <w:style w:type="paragraph" w:customStyle="1" w:styleId="Bulletindent1">
    <w:name w:val="Bullet indent 1"/>
    <w:basedOn w:val="NICEnormal"/>
    <w:rsid w:val="00EC1F45"/>
    <w:pPr>
      <w:numPr>
        <w:numId w:val="5"/>
      </w:numPr>
      <w:spacing w:after="0"/>
    </w:pPr>
  </w:style>
  <w:style w:type="paragraph" w:customStyle="1" w:styleId="Bulletindent1last">
    <w:name w:val="Bullet indent 1 last"/>
    <w:basedOn w:val="NICEnormal"/>
    <w:next w:val="NICEnormal"/>
    <w:rsid w:val="00EC1F45"/>
    <w:pPr>
      <w:numPr>
        <w:numId w:val="6"/>
      </w:numPr>
    </w:pPr>
  </w:style>
  <w:style w:type="paragraph" w:customStyle="1" w:styleId="Bulletindent2">
    <w:name w:val="Bullet indent 2"/>
    <w:basedOn w:val="NICEnormal"/>
    <w:rsid w:val="00EC1F45"/>
    <w:pPr>
      <w:numPr>
        <w:ilvl w:val="1"/>
        <w:numId w:val="7"/>
      </w:numPr>
      <w:spacing w:after="0"/>
    </w:pPr>
  </w:style>
  <w:style w:type="paragraph" w:customStyle="1" w:styleId="Bulletindent3">
    <w:name w:val="Bullet indent 3"/>
    <w:basedOn w:val="NICEnormal"/>
    <w:rsid w:val="00EC1F45"/>
    <w:pPr>
      <w:numPr>
        <w:ilvl w:val="2"/>
        <w:numId w:val="8"/>
      </w:numPr>
      <w:spacing w:after="0"/>
    </w:pPr>
  </w:style>
  <w:style w:type="paragraph" w:customStyle="1" w:styleId="Bulletleft1">
    <w:name w:val="Bullet left 1"/>
    <w:basedOn w:val="NICEnormal"/>
    <w:rsid w:val="00EC1F45"/>
    <w:pPr>
      <w:numPr>
        <w:numId w:val="9"/>
      </w:numPr>
      <w:spacing w:after="0"/>
    </w:pPr>
  </w:style>
  <w:style w:type="paragraph" w:customStyle="1" w:styleId="Bulletleft1last">
    <w:name w:val="Bullet left 1 last"/>
    <w:basedOn w:val="NICEnormal"/>
    <w:link w:val="Bulletleft1lastChar"/>
    <w:rsid w:val="00EC1F45"/>
    <w:pPr>
      <w:numPr>
        <w:numId w:val="10"/>
      </w:numPr>
    </w:pPr>
    <w:rPr>
      <w:rFonts w:cs="Arial"/>
    </w:rPr>
  </w:style>
  <w:style w:type="character" w:customStyle="1" w:styleId="Bulletleft1lastChar">
    <w:name w:val="Bullet left 1 last Char"/>
    <w:link w:val="Bulletleft1last"/>
    <w:rsid w:val="00EC1F45"/>
    <w:rPr>
      <w:rFonts w:ascii="Arial" w:hAnsi="Arial" w:cs="Arial"/>
      <w:sz w:val="24"/>
      <w:szCs w:val="24"/>
      <w:lang w:eastAsia="en-US"/>
    </w:rPr>
  </w:style>
  <w:style w:type="paragraph" w:customStyle="1" w:styleId="Bulletleft2">
    <w:name w:val="Bullet left 2"/>
    <w:basedOn w:val="NICEnormal"/>
    <w:rsid w:val="00EC1F45"/>
    <w:pPr>
      <w:numPr>
        <w:ilvl w:val="1"/>
        <w:numId w:val="11"/>
      </w:numPr>
      <w:spacing w:after="0"/>
    </w:pPr>
  </w:style>
  <w:style w:type="paragraph" w:customStyle="1" w:styleId="Bulletleft3">
    <w:name w:val="Bullet left 3"/>
    <w:basedOn w:val="NICEnormal"/>
    <w:rsid w:val="00EC1F45"/>
    <w:pPr>
      <w:numPr>
        <w:ilvl w:val="2"/>
        <w:numId w:val="12"/>
      </w:numPr>
      <w:spacing w:after="0"/>
    </w:pPr>
  </w:style>
  <w:style w:type="paragraph" w:customStyle="1" w:styleId="Guidanceissuedate">
    <w:name w:val="Guidance issue date"/>
    <w:basedOn w:val="Normal"/>
    <w:qFormat/>
    <w:rsid w:val="00EC1F45"/>
    <w:pPr>
      <w:spacing w:after="240" w:line="360" w:lineRule="auto"/>
    </w:pPr>
    <w:rPr>
      <w:rFonts w:ascii="Arial" w:hAnsi="Arial"/>
    </w:rPr>
  </w:style>
  <w:style w:type="paragraph" w:customStyle="1" w:styleId="Documentissuedate">
    <w:name w:val="Document issue date"/>
    <w:basedOn w:val="Guidanceissuedate"/>
    <w:qFormat/>
    <w:rsid w:val="00EC1F45"/>
  </w:style>
  <w:style w:type="character" w:styleId="Emphasis">
    <w:name w:val="Emphasis"/>
    <w:basedOn w:val="DefaultParagraphFont"/>
    <w:qFormat/>
    <w:rsid w:val="00EC1F45"/>
    <w:rPr>
      <w:i/>
      <w:iCs/>
    </w:rPr>
  </w:style>
  <w:style w:type="paragraph" w:customStyle="1" w:styleId="Evidencebullet">
    <w:name w:val="Evidence bullet"/>
    <w:basedOn w:val="Bulletindent1"/>
    <w:qFormat/>
    <w:rsid w:val="00EC1F45"/>
    <w:pPr>
      <w:numPr>
        <w:numId w:val="0"/>
      </w:numPr>
    </w:pPr>
    <w:rPr>
      <w:i/>
    </w:rPr>
  </w:style>
  <w:style w:type="paragraph" w:customStyle="1" w:styleId="Evidencebulletlast">
    <w:name w:val="Evidence bullet last"/>
    <w:basedOn w:val="Bulletindent1last"/>
    <w:qFormat/>
    <w:rsid w:val="00EC1F45"/>
    <w:pPr>
      <w:numPr>
        <w:numId w:val="0"/>
      </w:numPr>
    </w:pPr>
    <w:rPr>
      <w:i/>
    </w:rPr>
  </w:style>
  <w:style w:type="paragraph" w:customStyle="1" w:styleId="Numberedlevel4text">
    <w:name w:val="Numbered level 4 text"/>
    <w:basedOn w:val="NICEnormal"/>
    <w:next w:val="NICEnormal"/>
    <w:rsid w:val="00EC1F45"/>
    <w:pPr>
      <w:numPr>
        <w:ilvl w:val="3"/>
        <w:numId w:val="13"/>
      </w:numPr>
    </w:pPr>
  </w:style>
  <w:style w:type="paragraph" w:customStyle="1" w:styleId="Evidencestatement">
    <w:name w:val="Evidence statement"/>
    <w:basedOn w:val="Numberedlevel4text"/>
    <w:next w:val="NICEnormal"/>
    <w:qFormat/>
    <w:rsid w:val="00EC1F45"/>
    <w:pPr>
      <w:numPr>
        <w:ilvl w:val="0"/>
        <w:numId w:val="0"/>
      </w:numPr>
    </w:pPr>
    <w:rPr>
      <w:i/>
    </w:rPr>
  </w:style>
  <w:style w:type="paragraph" w:customStyle="1" w:styleId="NICEnormalsinglespacing">
    <w:name w:val="NICE normal single spacing"/>
    <w:basedOn w:val="NICEnormal"/>
    <w:rsid w:val="00EC1F45"/>
    <w:pPr>
      <w:spacing w:line="240" w:lineRule="auto"/>
    </w:pPr>
  </w:style>
  <w:style w:type="paragraph" w:customStyle="1" w:styleId="Introtext">
    <w:name w:val="Intro text"/>
    <w:basedOn w:val="NICEnormalsinglespacing"/>
    <w:rsid w:val="00EC1F45"/>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EC1F45"/>
    <w:pPr>
      <w:tabs>
        <w:tab w:val="left" w:pos="1134"/>
      </w:tabs>
      <w:ind w:left="1134"/>
    </w:pPr>
  </w:style>
  <w:style w:type="paragraph" w:customStyle="1" w:styleId="Numberedheading1">
    <w:name w:val="Numbered heading 1"/>
    <w:basedOn w:val="Heading1"/>
    <w:next w:val="NICEnormal"/>
    <w:link w:val="Numberedheading1CharChar"/>
    <w:rsid w:val="00EC1F45"/>
    <w:pPr>
      <w:numPr>
        <w:numId w:val="13"/>
      </w:numPr>
    </w:pPr>
    <w:rPr>
      <w:szCs w:val="24"/>
    </w:rPr>
  </w:style>
  <w:style w:type="character" w:customStyle="1" w:styleId="Numberedheading1CharChar">
    <w:name w:val="Numbered heading 1 Char Char"/>
    <w:link w:val="Numberedheading1"/>
    <w:rsid w:val="00EC1F45"/>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EC1F45"/>
    <w:pPr>
      <w:numPr>
        <w:ilvl w:val="1"/>
        <w:numId w:val="13"/>
      </w:numPr>
    </w:pPr>
  </w:style>
  <w:style w:type="character" w:customStyle="1" w:styleId="Numberedheading2Char">
    <w:name w:val="Numbered heading 2 Char"/>
    <w:basedOn w:val="Heading2Char"/>
    <w:link w:val="Numberedheading2"/>
    <w:rsid w:val="00EC1F45"/>
    <w:rPr>
      <w:rFonts w:ascii="Arial" w:hAnsi="Arial" w:cs="Arial"/>
      <w:b/>
      <w:bCs/>
      <w:sz w:val="28"/>
      <w:szCs w:val="28"/>
      <w:lang w:eastAsia="en-US"/>
    </w:rPr>
  </w:style>
  <w:style w:type="paragraph" w:customStyle="1" w:styleId="Numberedheading3">
    <w:name w:val="Numbered heading 3"/>
    <w:basedOn w:val="Heading3"/>
    <w:next w:val="NICEnormal"/>
    <w:rsid w:val="00EC1F45"/>
    <w:pPr>
      <w:numPr>
        <w:ilvl w:val="2"/>
        <w:numId w:val="13"/>
      </w:numPr>
    </w:pPr>
  </w:style>
  <w:style w:type="paragraph" w:customStyle="1" w:styleId="Numberedlevel2text">
    <w:name w:val="Numbered level 2 text"/>
    <w:basedOn w:val="Numberedheading2"/>
    <w:rsid w:val="00EC1F45"/>
    <w:pPr>
      <w:spacing w:before="0" w:after="240"/>
      <w:outlineLvl w:val="9"/>
    </w:pPr>
    <w:rPr>
      <w:b w:val="0"/>
      <w:sz w:val="24"/>
    </w:rPr>
  </w:style>
  <w:style w:type="paragraph" w:customStyle="1" w:styleId="Numberedlevel3text">
    <w:name w:val="Numbered level 3 text"/>
    <w:basedOn w:val="Numberedheading3"/>
    <w:rsid w:val="00EC1F45"/>
    <w:pPr>
      <w:spacing w:before="0" w:after="240"/>
      <w:outlineLvl w:val="9"/>
    </w:pPr>
    <w:rPr>
      <w:b w:val="0"/>
      <w:sz w:val="24"/>
    </w:rPr>
  </w:style>
  <w:style w:type="character" w:styleId="PageNumber">
    <w:name w:val="page number"/>
    <w:rsid w:val="00EC1F45"/>
    <w:rPr>
      <w:rFonts w:ascii="Arial" w:hAnsi="Arial"/>
      <w:sz w:val="24"/>
    </w:rPr>
  </w:style>
  <w:style w:type="paragraph" w:customStyle="1" w:styleId="Panelbullet1">
    <w:name w:val="Panel bullet 1"/>
    <w:basedOn w:val="ListParagraph"/>
    <w:qFormat/>
    <w:rsid w:val="00EC1F45"/>
    <w:pPr>
      <w:numPr>
        <w:numId w:val="14"/>
      </w:numPr>
      <w:tabs>
        <w:tab w:val="num" w:pos="360"/>
        <w:tab w:val="num" w:pos="1134"/>
      </w:tabs>
    </w:pPr>
    <w:rPr>
      <w:rFonts w:ascii="Arial" w:hAnsi="Arial"/>
    </w:rPr>
  </w:style>
  <w:style w:type="paragraph" w:customStyle="1" w:styleId="Panelhyperlink">
    <w:name w:val="Panel hyperlink"/>
    <w:basedOn w:val="NICEnormal"/>
    <w:next w:val="NICEnormal"/>
    <w:qFormat/>
    <w:rsid w:val="00EC1F45"/>
    <w:rPr>
      <w:color w:val="FFFFFF" w:themeColor="background1"/>
      <w:u w:val="single"/>
    </w:rPr>
  </w:style>
  <w:style w:type="paragraph" w:styleId="Quote">
    <w:name w:val="Quote"/>
    <w:basedOn w:val="NICEnormal"/>
    <w:next w:val="NICEnormal"/>
    <w:link w:val="QuoteChar"/>
    <w:uiPriority w:val="29"/>
    <w:qFormat/>
    <w:rsid w:val="00EC1F45"/>
    <w:pPr>
      <w:spacing w:before="200" w:after="160"/>
      <w:ind w:left="864" w:right="864"/>
      <w:jc w:val="center"/>
    </w:pPr>
    <w:rPr>
      <w:iCs/>
    </w:rPr>
  </w:style>
  <w:style w:type="character" w:customStyle="1" w:styleId="QuoteChar">
    <w:name w:val="Quote Char"/>
    <w:basedOn w:val="DefaultParagraphFont"/>
    <w:link w:val="Quote"/>
    <w:uiPriority w:val="29"/>
    <w:rsid w:val="00EC1F45"/>
    <w:rPr>
      <w:rFonts w:ascii="Arial" w:hAnsi="Arial"/>
      <w:iCs/>
      <w:sz w:val="24"/>
      <w:szCs w:val="24"/>
      <w:lang w:eastAsia="en-US"/>
    </w:rPr>
  </w:style>
  <w:style w:type="paragraph" w:customStyle="1" w:styleId="Section2paragraphs">
    <w:name w:val="Section 2 paragraphs"/>
    <w:basedOn w:val="NICEnormal"/>
    <w:rsid w:val="00EC1F45"/>
    <w:pPr>
      <w:numPr>
        <w:numId w:val="15"/>
      </w:numPr>
    </w:pPr>
  </w:style>
  <w:style w:type="paragraph" w:customStyle="1" w:styleId="Section21paragraphs">
    <w:name w:val="Section 2.1 paragraphs"/>
    <w:basedOn w:val="NICEnormal"/>
    <w:qFormat/>
    <w:rsid w:val="00EC1F45"/>
    <w:pPr>
      <w:numPr>
        <w:numId w:val="16"/>
      </w:numPr>
      <w:tabs>
        <w:tab w:val="left" w:pos="1134"/>
      </w:tabs>
    </w:pPr>
  </w:style>
  <w:style w:type="paragraph" w:customStyle="1" w:styleId="Section22paragraphs">
    <w:name w:val="Section 2.2 paragraphs"/>
    <w:basedOn w:val="Section21paragraphs"/>
    <w:qFormat/>
    <w:rsid w:val="00EC1F45"/>
    <w:pPr>
      <w:numPr>
        <w:numId w:val="0"/>
      </w:numPr>
    </w:pPr>
  </w:style>
  <w:style w:type="paragraph" w:customStyle="1" w:styleId="Section3paragraphs">
    <w:name w:val="Section 3 paragraphs"/>
    <w:basedOn w:val="NICEnormal"/>
    <w:rsid w:val="00EC1F45"/>
    <w:pPr>
      <w:numPr>
        <w:numId w:val="17"/>
      </w:numPr>
    </w:pPr>
  </w:style>
  <w:style w:type="paragraph" w:customStyle="1" w:styleId="Section411paragraphs">
    <w:name w:val="Section 4.1.1 paragraphs"/>
    <w:basedOn w:val="NICEnormal"/>
    <w:rsid w:val="00EC1F45"/>
    <w:pPr>
      <w:numPr>
        <w:numId w:val="18"/>
      </w:numPr>
    </w:pPr>
  </w:style>
  <w:style w:type="paragraph" w:customStyle="1" w:styleId="Section412paragraphs">
    <w:name w:val="Section 4.1.2 paragraphs"/>
    <w:basedOn w:val="NICEnormal"/>
    <w:rsid w:val="00EC1F45"/>
    <w:pPr>
      <w:numPr>
        <w:numId w:val="19"/>
      </w:numPr>
    </w:pPr>
  </w:style>
  <w:style w:type="paragraph" w:customStyle="1" w:styleId="Section42paragraphs">
    <w:name w:val="Section 4.2 paragraphs"/>
    <w:basedOn w:val="NICEnormal"/>
    <w:rsid w:val="00EC1F45"/>
    <w:pPr>
      <w:numPr>
        <w:numId w:val="20"/>
      </w:numPr>
    </w:pPr>
  </w:style>
  <w:style w:type="paragraph" w:customStyle="1" w:styleId="Section43paragraphs">
    <w:name w:val="Section 4.3 paragraphs"/>
    <w:basedOn w:val="NICEnormal"/>
    <w:rsid w:val="00EC1F45"/>
    <w:pPr>
      <w:numPr>
        <w:numId w:val="21"/>
      </w:numPr>
    </w:pPr>
  </w:style>
  <w:style w:type="character" w:styleId="SubtleReference">
    <w:name w:val="Subtle Reference"/>
    <w:basedOn w:val="DefaultParagraphFont"/>
    <w:uiPriority w:val="31"/>
    <w:qFormat/>
    <w:rsid w:val="00EC1F45"/>
  </w:style>
  <w:style w:type="character" w:customStyle="1" w:styleId="StyleSubtleReferenceArialAutoNotSmallcaps">
    <w:name w:val="Style Subtle Reference + Arial Auto Not Small caps"/>
    <w:basedOn w:val="SubtleReference"/>
    <w:rsid w:val="00EC1F45"/>
    <w:rPr>
      <w:rFonts w:ascii="Arial" w:hAnsi="Arial"/>
      <w:smallCaps/>
      <w:color w:val="auto"/>
    </w:rPr>
  </w:style>
  <w:style w:type="character" w:styleId="SubtleEmphasis">
    <w:name w:val="Subtle Emphasis"/>
    <w:basedOn w:val="DefaultParagraphFont"/>
    <w:uiPriority w:val="19"/>
    <w:qFormat/>
    <w:rsid w:val="00EC1F45"/>
    <w:rPr>
      <w:i/>
      <w:iCs/>
      <w:color w:val="404040" w:themeColor="text1" w:themeTint="BF"/>
    </w:rPr>
  </w:style>
  <w:style w:type="paragraph" w:customStyle="1" w:styleId="Tabletext9pt">
    <w:name w:val="Table text 9 pt"/>
    <w:basedOn w:val="Tabletext"/>
    <w:rsid w:val="00EC1F45"/>
    <w:rPr>
      <w:sz w:val="18"/>
    </w:rPr>
  </w:style>
  <w:style w:type="paragraph" w:customStyle="1" w:styleId="Title1">
    <w:name w:val="Title 1"/>
    <w:basedOn w:val="Title"/>
    <w:qFormat/>
    <w:rsid w:val="00EC1F45"/>
  </w:style>
  <w:style w:type="paragraph" w:customStyle="1" w:styleId="Title16pt">
    <w:name w:val="Title 16 pt"/>
    <w:basedOn w:val="Title"/>
    <w:rsid w:val="00EC1F45"/>
    <w:rPr>
      <w:sz w:val="32"/>
    </w:rPr>
  </w:style>
  <w:style w:type="paragraph" w:customStyle="1" w:styleId="Title16ptleft">
    <w:name w:val="Title 16 pt left"/>
    <w:basedOn w:val="Title16pt"/>
    <w:rsid w:val="00EC1F4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92">
      <w:bodyDiv w:val="1"/>
      <w:marLeft w:val="0"/>
      <w:marRight w:val="0"/>
      <w:marTop w:val="0"/>
      <w:marBottom w:val="0"/>
      <w:divBdr>
        <w:top w:val="none" w:sz="0" w:space="0" w:color="auto"/>
        <w:left w:val="none" w:sz="0" w:space="0" w:color="auto"/>
        <w:bottom w:val="none" w:sz="0" w:space="0" w:color="auto"/>
        <w:right w:val="none" w:sz="0" w:space="0" w:color="auto"/>
      </w:divBdr>
    </w:div>
    <w:div w:id="546838467">
      <w:bodyDiv w:val="1"/>
      <w:marLeft w:val="0"/>
      <w:marRight w:val="0"/>
      <w:marTop w:val="0"/>
      <w:marBottom w:val="0"/>
      <w:divBdr>
        <w:top w:val="none" w:sz="0" w:space="0" w:color="auto"/>
        <w:left w:val="none" w:sz="0" w:space="0" w:color="auto"/>
        <w:bottom w:val="none" w:sz="0" w:space="0" w:color="auto"/>
        <w:right w:val="none" w:sz="0" w:space="0" w:color="auto"/>
      </w:divBdr>
    </w:div>
    <w:div w:id="569583399">
      <w:bodyDiv w:val="1"/>
      <w:marLeft w:val="0"/>
      <w:marRight w:val="0"/>
      <w:marTop w:val="0"/>
      <w:marBottom w:val="0"/>
      <w:divBdr>
        <w:top w:val="none" w:sz="0" w:space="0" w:color="auto"/>
        <w:left w:val="none" w:sz="0" w:space="0" w:color="auto"/>
        <w:bottom w:val="none" w:sz="0" w:space="0" w:color="auto"/>
        <w:right w:val="none" w:sz="0" w:space="0" w:color="auto"/>
      </w:divBdr>
    </w:div>
    <w:div w:id="586308718">
      <w:bodyDiv w:val="1"/>
      <w:marLeft w:val="0"/>
      <w:marRight w:val="0"/>
      <w:marTop w:val="0"/>
      <w:marBottom w:val="0"/>
      <w:divBdr>
        <w:top w:val="none" w:sz="0" w:space="0" w:color="auto"/>
        <w:left w:val="none" w:sz="0" w:space="0" w:color="auto"/>
        <w:bottom w:val="none" w:sz="0" w:space="0" w:color="auto"/>
        <w:right w:val="none" w:sz="0" w:space="0" w:color="auto"/>
      </w:divBdr>
    </w:div>
    <w:div w:id="659774097">
      <w:bodyDiv w:val="1"/>
      <w:marLeft w:val="0"/>
      <w:marRight w:val="0"/>
      <w:marTop w:val="0"/>
      <w:marBottom w:val="0"/>
      <w:divBdr>
        <w:top w:val="none" w:sz="0" w:space="0" w:color="auto"/>
        <w:left w:val="none" w:sz="0" w:space="0" w:color="auto"/>
        <w:bottom w:val="none" w:sz="0" w:space="0" w:color="auto"/>
        <w:right w:val="none" w:sz="0" w:space="0" w:color="auto"/>
      </w:divBdr>
    </w:div>
    <w:div w:id="667563879">
      <w:bodyDiv w:val="1"/>
      <w:marLeft w:val="0"/>
      <w:marRight w:val="0"/>
      <w:marTop w:val="0"/>
      <w:marBottom w:val="0"/>
      <w:divBdr>
        <w:top w:val="none" w:sz="0" w:space="0" w:color="auto"/>
        <w:left w:val="none" w:sz="0" w:space="0" w:color="auto"/>
        <w:bottom w:val="none" w:sz="0" w:space="0" w:color="auto"/>
        <w:right w:val="none" w:sz="0" w:space="0" w:color="auto"/>
      </w:divBdr>
    </w:div>
    <w:div w:id="713624334">
      <w:bodyDiv w:val="1"/>
      <w:marLeft w:val="0"/>
      <w:marRight w:val="0"/>
      <w:marTop w:val="0"/>
      <w:marBottom w:val="0"/>
      <w:divBdr>
        <w:top w:val="none" w:sz="0" w:space="0" w:color="auto"/>
        <w:left w:val="none" w:sz="0" w:space="0" w:color="auto"/>
        <w:bottom w:val="none" w:sz="0" w:space="0" w:color="auto"/>
        <w:right w:val="none" w:sz="0" w:space="0" w:color="auto"/>
      </w:divBdr>
    </w:div>
    <w:div w:id="816846152">
      <w:bodyDiv w:val="1"/>
      <w:marLeft w:val="0"/>
      <w:marRight w:val="0"/>
      <w:marTop w:val="0"/>
      <w:marBottom w:val="0"/>
      <w:divBdr>
        <w:top w:val="none" w:sz="0" w:space="0" w:color="auto"/>
        <w:left w:val="none" w:sz="0" w:space="0" w:color="auto"/>
        <w:bottom w:val="none" w:sz="0" w:space="0" w:color="auto"/>
        <w:right w:val="none" w:sz="0" w:space="0" w:color="auto"/>
      </w:divBdr>
    </w:div>
    <w:div w:id="887186734">
      <w:bodyDiv w:val="1"/>
      <w:marLeft w:val="0"/>
      <w:marRight w:val="0"/>
      <w:marTop w:val="0"/>
      <w:marBottom w:val="0"/>
      <w:divBdr>
        <w:top w:val="none" w:sz="0" w:space="0" w:color="auto"/>
        <w:left w:val="none" w:sz="0" w:space="0" w:color="auto"/>
        <w:bottom w:val="none" w:sz="0" w:space="0" w:color="auto"/>
        <w:right w:val="none" w:sz="0" w:space="0" w:color="auto"/>
      </w:divBdr>
    </w:div>
    <w:div w:id="997658112">
      <w:bodyDiv w:val="1"/>
      <w:marLeft w:val="0"/>
      <w:marRight w:val="0"/>
      <w:marTop w:val="0"/>
      <w:marBottom w:val="0"/>
      <w:divBdr>
        <w:top w:val="none" w:sz="0" w:space="0" w:color="auto"/>
        <w:left w:val="none" w:sz="0" w:space="0" w:color="auto"/>
        <w:bottom w:val="none" w:sz="0" w:space="0" w:color="auto"/>
        <w:right w:val="none" w:sz="0" w:space="0" w:color="auto"/>
      </w:divBdr>
    </w:div>
    <w:div w:id="1395815026">
      <w:bodyDiv w:val="1"/>
      <w:marLeft w:val="0"/>
      <w:marRight w:val="0"/>
      <w:marTop w:val="0"/>
      <w:marBottom w:val="0"/>
      <w:divBdr>
        <w:top w:val="none" w:sz="0" w:space="0" w:color="auto"/>
        <w:left w:val="none" w:sz="0" w:space="0" w:color="auto"/>
        <w:bottom w:val="none" w:sz="0" w:space="0" w:color="auto"/>
        <w:right w:val="none" w:sz="0" w:space="0" w:color="auto"/>
      </w:divBdr>
    </w:div>
    <w:div w:id="14224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45" TargetMode="External"/><Relationship Id="rId18" Type="http://schemas.openxmlformats.org/officeDocument/2006/relationships/hyperlink" Target="https://www.nice.org.uk/guidance/ng84" TargetMode="External"/><Relationship Id="rId26" Type="http://schemas.openxmlformats.org/officeDocument/2006/relationships/hyperlink" Target="https://doi.org/10.48329/6570-ge08" TargetMode="External"/><Relationship Id="rId39" Type="http://schemas.openxmlformats.org/officeDocument/2006/relationships/hyperlink" Target="https://www.nice.org.uk/indicators/ind176-screening-cervical-screening-25-to-49-years" TargetMode="External"/><Relationship Id="rId21" Type="http://schemas.openxmlformats.org/officeDocument/2006/relationships/hyperlink" Target="https://www.nice.org.uk/guidance/ng120" TargetMode="External"/><Relationship Id="rId34" Type="http://schemas.openxmlformats.org/officeDocument/2006/relationships/hyperlink" Target="https://www.nice.org.uk/indicators/ind151-weight-management-bmi-recording-long-term-conditions" TargetMode="External"/><Relationship Id="rId42" Type="http://schemas.openxmlformats.org/officeDocument/2006/relationships/hyperlink" Target="https://www.gov.uk/government/publications/cervical-screening-programme-standard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48329/6570-ge08" TargetMode="External"/><Relationship Id="rId29" Type="http://schemas.openxmlformats.org/officeDocument/2006/relationships/hyperlink" Target="https://pubmed.ncbi.nlm.nih.gov/374959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indicators/ind273-asthma-annual-review" TargetMode="External"/><Relationship Id="rId24" Type="http://schemas.openxmlformats.org/officeDocument/2006/relationships/hyperlink" Target="https://pubmed.ncbi.nlm.nih.gov/37662516/" TargetMode="External"/><Relationship Id="rId32" Type="http://schemas.openxmlformats.org/officeDocument/2006/relationships/hyperlink" Target="https://doi.org/10.48329/6570-ge08" TargetMode="External"/><Relationship Id="rId37" Type="http://schemas.openxmlformats.org/officeDocument/2006/relationships/hyperlink" Target="https://www.nice.org.uk/guidance/ng246" TargetMode="External"/><Relationship Id="rId40" Type="http://schemas.openxmlformats.org/officeDocument/2006/relationships/hyperlink" Target="https://www.nice.org.uk/indicators/ind177-screening-cervical-screening-50-to-64-year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ice.org.uk/guidance/ng245/chapter/Recommendations" TargetMode="External"/><Relationship Id="rId23" Type="http://schemas.openxmlformats.org/officeDocument/2006/relationships/hyperlink" Target="https://pubmed.ncbi.nlm.nih.gov/37495953/" TargetMode="External"/><Relationship Id="rId28" Type="http://schemas.openxmlformats.org/officeDocument/2006/relationships/hyperlink" Target="https://www.nice.org.uk/guidance/ng106" TargetMode="External"/><Relationship Id="rId36" Type="http://schemas.openxmlformats.org/officeDocument/2006/relationships/hyperlink" Target="https://www.cvdprevent.nhs.uk/" TargetMode="External"/><Relationship Id="rId10" Type="http://schemas.openxmlformats.org/officeDocument/2006/relationships/endnotes" Target="endnotes.xml"/><Relationship Id="rId19" Type="http://schemas.openxmlformats.org/officeDocument/2006/relationships/hyperlink" Target="https://www.nice.org.uk/guidance/ng91" TargetMode="External"/><Relationship Id="rId31" Type="http://schemas.openxmlformats.org/officeDocument/2006/relationships/hyperlink" Target="https://pubmed.ncbi.nlm.nih.gov/36332942/"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indicators/ind186-asthma-register" TargetMode="External"/><Relationship Id="rId22" Type="http://schemas.openxmlformats.org/officeDocument/2006/relationships/hyperlink" Target="https://www.nice.org.uk/guidance/ng84" TargetMode="External"/><Relationship Id="rId27" Type="http://schemas.openxmlformats.org/officeDocument/2006/relationships/hyperlink" Target="https://www.nice.org.uk/guidance/indevelopment/gid-ng10405" TargetMode="External"/><Relationship Id="rId30" Type="http://schemas.openxmlformats.org/officeDocument/2006/relationships/hyperlink" Target="https://pubmed.ncbi.nlm.nih.gov/37662516/" TargetMode="External"/><Relationship Id="rId35" Type="http://schemas.openxmlformats.org/officeDocument/2006/relationships/hyperlink" Target="https://bmcmedicine.biomedcentral.com/articles/10.1186/s12916-019-1446-y"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48329/6570-ge08" TargetMode="External"/><Relationship Id="rId17" Type="http://schemas.openxmlformats.org/officeDocument/2006/relationships/hyperlink" Target="https://www.nice.org.uk/guidance/ng245" TargetMode="External"/><Relationship Id="rId25" Type="http://schemas.openxmlformats.org/officeDocument/2006/relationships/hyperlink" Target="https://pubmed.ncbi.nlm.nih.gov/36332942/" TargetMode="External"/><Relationship Id="rId33" Type="http://schemas.openxmlformats.org/officeDocument/2006/relationships/hyperlink" Target="https://www.nice.org.uk/guidance/ng106" TargetMode="External"/><Relationship Id="rId38" Type="http://schemas.openxmlformats.org/officeDocument/2006/relationships/hyperlink" Target="https://www.nice.org.uk/indicators/ind151-weight-management-bmi-recording-long-term-conditions" TargetMode="External"/><Relationship Id="rId46" Type="http://schemas.openxmlformats.org/officeDocument/2006/relationships/fontTable" Target="fontTable.xml"/><Relationship Id="rId20" Type="http://schemas.openxmlformats.org/officeDocument/2006/relationships/hyperlink" Target="https://www.nice.org.uk/guidance/ng79" TargetMode="External"/><Relationship Id="rId41" Type="http://schemas.openxmlformats.org/officeDocument/2006/relationships/hyperlink" Target="https://www.england.nhs.uk/2025/06/nhs-rolls-out-more-personalised-cervical-screening-for-mill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9fa1cc-638f-48af-a6a8-bc40f516ba61">
      <Terms xmlns="http://schemas.microsoft.com/office/infopath/2007/PartnerControls"/>
    </lcf76f155ced4ddcb4097134ff3c332f>
    <TaxCatchAll xmlns="a64073c9-e8b4-4eb2-9a6f-3bd89dd1db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FD0B8BC157748B6FCF9D3116A19C3" ma:contentTypeVersion="12" ma:contentTypeDescription="Create a new document." ma:contentTypeScope="" ma:versionID="eeb5b35cca0e1bd481a0935e3cd59bae">
  <xsd:schema xmlns:xsd="http://www.w3.org/2001/XMLSchema" xmlns:xs="http://www.w3.org/2001/XMLSchema" xmlns:p="http://schemas.microsoft.com/office/2006/metadata/properties" xmlns:ns2="eb9fa1cc-638f-48af-a6a8-bc40f516ba61" xmlns:ns3="a64073c9-e8b4-4eb2-9a6f-3bd89dd1db84" targetNamespace="http://schemas.microsoft.com/office/2006/metadata/properties" ma:root="true" ma:fieldsID="8ccd478ac9ea8d8d40612325e762879d" ns2:_="" ns3:_="">
    <xsd:import namespace="eb9fa1cc-638f-48af-a6a8-bc40f516ba61"/>
    <xsd:import namespace="a64073c9-e8b4-4eb2-9a6f-3bd89dd1db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fa1cc-638f-48af-a6a8-bc40f516b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073c9-e8b4-4eb2-9a6f-3bd89dd1db8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ccd1dd-1af2-4e3c-803d-70bbea6394ad}" ma:internalName="TaxCatchAll" ma:showField="CatchAllData" ma:web="a64073c9-e8b4-4eb2-9a6f-3bd89dd1db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DD19E0ED-302B-4D0E-8170-D90D868E57B0}">
  <ds:schemaRefs>
    <ds:schemaRef ds:uri="http://schemas.microsoft.com/office/2006/metadata/properties"/>
    <ds:schemaRef ds:uri="http://schemas.microsoft.com/office/infopath/2007/PartnerControls"/>
    <ds:schemaRef ds:uri="eb9fa1cc-638f-48af-a6a8-bc40f516ba61"/>
    <ds:schemaRef ds:uri="a64073c9-e8b4-4eb2-9a6f-3bd89dd1db84"/>
  </ds:schemaRefs>
</ds:datastoreItem>
</file>

<file path=customXml/itemProps3.xml><?xml version="1.0" encoding="utf-8"?>
<ds:datastoreItem xmlns:ds="http://schemas.openxmlformats.org/officeDocument/2006/customXml" ds:itemID="{D1C0B07F-42E0-466E-81E1-1F2A42198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fa1cc-638f-48af-a6a8-bc40f516ba61"/>
    <ds:schemaRef ds:uri="a64073c9-e8b4-4eb2-9a6f-3bd89dd1d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5C9B0-9FC4-47B0-B240-33B8AA46A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3247</Words>
  <Characters>20997</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Grime</dc:creator>
  <cp:keywords/>
  <dc:description/>
  <cp:lastModifiedBy>Merissa Bellew</cp:lastModifiedBy>
  <cp:revision>2</cp:revision>
  <dcterms:created xsi:type="dcterms:W3CDTF">2025-07-08T09:50:00Z</dcterms:created>
  <dcterms:modified xsi:type="dcterms:W3CDTF">2025-07-08T09:50:00Z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2023-02-21T12:21:02Z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1ec3c4be-8736-4fb5-b52b-d286456edef3</vt:lpwstr>
  </property>
  <property fmtid="{D5CDD505-2E9C-101B-9397-08002B2CF9AE}" pid="8" name="MSIP_Label_c69d85d5-6d9e-4305-a294-1f636ec0f2d6_ContentBits">
    <vt:lpwstr>0</vt:lpwstr>
  </property>
  <property fmtid="{D5CDD505-2E9C-101B-9397-08002B2CF9AE}" pid="9" name="ContentTypeId">
    <vt:lpwstr>0x0101002A5FD0B8BC157748B6FCF9D3116A19C3</vt:lpwstr>
  </property>
  <property fmtid="{D5CDD505-2E9C-101B-9397-08002B2CF9AE}" pid="10" name="MediaServiceImageTags">
    <vt:lpwstr/>
  </property>
</Properties>
</file>