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69B13" w14:textId="55C26DD9" w:rsidR="00E27C94" w:rsidRDefault="00E27C94" w:rsidP="002E482A">
      <w:pPr>
        <w:pStyle w:val="Title"/>
      </w:pPr>
      <w:r>
        <w:t>Indicator development programme</w:t>
      </w:r>
    </w:p>
    <w:p w14:paraId="5C05FA6A" w14:textId="65E826B2" w:rsidR="002E482A" w:rsidRDefault="002E482A" w:rsidP="002E482A">
      <w:pPr>
        <w:pStyle w:val="Title"/>
      </w:pPr>
      <w:r>
        <w:t>Consultation report</w:t>
      </w:r>
      <w:r w:rsidR="00A90CD8">
        <w:t xml:space="preserve">: </w:t>
      </w:r>
      <w:r w:rsidR="00355B44" w:rsidRPr="00355B44">
        <w:t>Weight management: BMI recording (long term conditions)</w:t>
      </w:r>
      <w:r w:rsidR="00355B44">
        <w:t xml:space="preserve"> </w:t>
      </w:r>
    </w:p>
    <w:p w14:paraId="332315A0" w14:textId="77777777" w:rsidR="002E482A" w:rsidRDefault="002E482A" w:rsidP="002E482A">
      <w:pPr>
        <w:pStyle w:val="Paragraph"/>
      </w:pPr>
    </w:p>
    <w:p w14:paraId="3C9B6D64" w14:textId="4CEE9F36" w:rsidR="00594C3A" w:rsidRDefault="002E482A" w:rsidP="002E482A">
      <w:pPr>
        <w:pStyle w:val="Paragraph"/>
      </w:pPr>
      <w:r>
        <w:t xml:space="preserve">Consultation period: </w:t>
      </w:r>
      <w:r w:rsidR="00355B44">
        <w:t>3 July</w:t>
      </w:r>
      <w:r>
        <w:t xml:space="preserve"> – </w:t>
      </w:r>
      <w:r w:rsidR="00355B44">
        <w:t>31</w:t>
      </w:r>
      <w:r>
        <w:t xml:space="preserve"> </w:t>
      </w:r>
      <w:r w:rsidR="00355B44">
        <w:t>July</w:t>
      </w:r>
      <w:r>
        <w:t xml:space="preserve"> 20</w:t>
      </w:r>
      <w:r w:rsidR="00355B44">
        <w:t>25</w:t>
      </w:r>
    </w:p>
    <w:p w14:paraId="1B462245" w14:textId="73AFEF34" w:rsidR="00DE4BAF" w:rsidRDefault="00140DF6" w:rsidP="00DE4BAF">
      <w:pPr>
        <w:pStyle w:val="Heading1"/>
      </w:pPr>
      <w:r>
        <w:t>Introduction</w:t>
      </w:r>
    </w:p>
    <w:p w14:paraId="4CE3FCE3" w14:textId="64A8B3BE" w:rsidR="00AA2272" w:rsidRDefault="00AA2272" w:rsidP="0082451A">
      <w:pPr>
        <w:pStyle w:val="ParagraphNumbered"/>
      </w:pPr>
      <w:r w:rsidRPr="00AA2272">
        <w:t xml:space="preserve">This paper outlines stakeholder responses from a consultation </w:t>
      </w:r>
      <w:r w:rsidR="0018509A">
        <w:t xml:space="preserve">in July 2025 </w:t>
      </w:r>
      <w:r w:rsidRPr="00AA2272">
        <w:t xml:space="preserve">on the following draft indicator that is potentially suitable for use in the QOF: </w:t>
      </w:r>
    </w:p>
    <w:p w14:paraId="6C9D7639" w14:textId="2E210F6C" w:rsidR="00DE4BAF" w:rsidRDefault="00214A72" w:rsidP="00AA2272">
      <w:pPr>
        <w:pStyle w:val="Bullets"/>
      </w:pPr>
      <w:r w:rsidRPr="00214A72">
        <w:t>GID-IND103</w:t>
      </w:r>
      <w:r w:rsidR="001D06D2">
        <w:t>33</w:t>
      </w:r>
      <w:r w:rsidRPr="00214A72">
        <w:t>: The percentage of patients with coronary heart disease, stroke or TIA, diabetes, at high risk of developing type 2 diabetes, hypertension, peripheral arterial disease, heart failure, COPD, rheumatoid arthritis, dyslipidaemia, learning disability, obstructive sleep apnoea, polycystic ovary syndrome, schizophrenia, bipolar disorder or other psychoses who have had a BMI recorded in the preceding 12 months</w:t>
      </w:r>
      <w:r>
        <w:t>.</w:t>
      </w:r>
    </w:p>
    <w:p w14:paraId="031EFDF5" w14:textId="77777777" w:rsidR="00AA2272" w:rsidRDefault="00AA2272" w:rsidP="0082451A">
      <w:pPr>
        <w:pStyle w:val="Bullets"/>
        <w:numPr>
          <w:ilvl w:val="0"/>
          <w:numId w:val="0"/>
        </w:numPr>
      </w:pPr>
    </w:p>
    <w:p w14:paraId="7A3F59FF" w14:textId="22C01C06" w:rsidR="00E6742D" w:rsidRDefault="00E6742D" w:rsidP="0082451A">
      <w:pPr>
        <w:pStyle w:val="ParagraphNumbered"/>
      </w:pPr>
      <w:r w:rsidRPr="00E6742D">
        <w:t xml:space="preserve">Please note that this indicator is a proposed update to existing indicator </w:t>
      </w:r>
      <w:hyperlink r:id="rId8" w:history="1">
        <w:r w:rsidRPr="00E6742D">
          <w:rPr>
            <w:rStyle w:val="Hyperlink"/>
          </w:rPr>
          <w:t>IND151</w:t>
        </w:r>
      </w:hyperlink>
      <w:r w:rsidRPr="00E6742D">
        <w:t xml:space="preserve"> and includes a wider list of long-term conditions for which patients may benefit from annual BMI monitoring.  </w:t>
      </w:r>
    </w:p>
    <w:p w14:paraId="6FCD5BA5" w14:textId="77777777" w:rsidR="00DE4BAF" w:rsidRDefault="00DE4BAF" w:rsidP="00DE4BAF">
      <w:pPr>
        <w:pStyle w:val="Heading2"/>
      </w:pPr>
      <w:r w:rsidRPr="00214A72">
        <w:t>Rationale</w:t>
      </w:r>
    </w:p>
    <w:p w14:paraId="449C2C45" w14:textId="7CDA3BE5" w:rsidR="00214A72" w:rsidRPr="00214A72" w:rsidRDefault="00214A72" w:rsidP="00214A72">
      <w:pPr>
        <w:pStyle w:val="ParagraphNumbered"/>
      </w:pPr>
      <w:r w:rsidRPr="00214A72">
        <w:t>The purpose of this indicator is to support regular weight measurement in adults with long-term conditions enabling potential definition of overweight, obesity and central adiposity, identification of changes in weight and central adiposity, and help in assessment and management of a long-term condition.</w:t>
      </w:r>
    </w:p>
    <w:p w14:paraId="365B1B99" w14:textId="7F806639" w:rsidR="00214A72" w:rsidRPr="00214A72" w:rsidRDefault="00214A72" w:rsidP="00463E82">
      <w:pPr>
        <w:pStyle w:val="ParagraphNumbered"/>
      </w:pPr>
      <w:r w:rsidRPr="00214A72">
        <w:t>Recording of weight is not current routine activity in UK primary care, it is recorded for around 30% of all patients each year (</w:t>
      </w:r>
      <w:hyperlink r:id="rId9" w:anchor=":~:text=Weight%20recording%20is%20not%20routine,and%20in%20those%20with%20comorbidity." w:history="1">
        <w:r w:rsidRPr="00214A72">
          <w:rPr>
            <w:rStyle w:val="Hyperlink"/>
          </w:rPr>
          <w:t>Nicholson et al. 2022</w:t>
        </w:r>
      </w:hyperlink>
      <w:r w:rsidRPr="00214A72">
        <w:t xml:space="preserve">). </w:t>
      </w:r>
      <w:r w:rsidRPr="00214A72">
        <w:lastRenderedPageBreak/>
        <w:t>Data for patients with GP recorded CVD or CVD risk factors, indicates that about 63% have a BMI record in the last 12 months (</w:t>
      </w:r>
      <w:hyperlink r:id="rId10" w:history="1">
        <w:r w:rsidRPr="00214A72">
          <w:rPr>
            <w:rStyle w:val="Hyperlink"/>
          </w:rPr>
          <w:t>CVDPREVENT</w:t>
        </w:r>
      </w:hyperlink>
      <w:r w:rsidRPr="00214A72">
        <w:t>, 2025)</w:t>
      </w:r>
      <w:r w:rsidR="00463E82">
        <w:t>.</w:t>
      </w:r>
      <w:r w:rsidR="00463E82" w:rsidRPr="00463E82">
        <w:t xml:space="preserve"> </w:t>
      </w:r>
      <w:r w:rsidR="00463E82" w:rsidRPr="00214A72">
        <w:t>Routine consultations for managing long-term conditions are an opportunity to record a person's BMI.</w:t>
      </w:r>
    </w:p>
    <w:p w14:paraId="15D56B9F" w14:textId="56CFA6EE" w:rsidR="007466A7" w:rsidRDefault="007466A7" w:rsidP="007466A7">
      <w:pPr>
        <w:pStyle w:val="Heading2"/>
      </w:pPr>
      <w:r>
        <w:t>Specific questions included at consultation</w:t>
      </w:r>
    </w:p>
    <w:p w14:paraId="378E7E37" w14:textId="1EFD0E9A" w:rsidR="007466A7" w:rsidRPr="00E6742D" w:rsidRDefault="004F1BD2" w:rsidP="007466A7">
      <w:pPr>
        <w:pStyle w:val="ParagraphNumbered"/>
      </w:pPr>
      <w:r>
        <w:t xml:space="preserve">Stakeholders were asked if they </w:t>
      </w:r>
      <w:r w:rsidR="007466A7" w:rsidRPr="00E6742D">
        <w:t>agree</w:t>
      </w:r>
      <w:r>
        <w:t>d</w:t>
      </w:r>
      <w:r w:rsidR="007466A7" w:rsidRPr="00E6742D">
        <w:t xml:space="preserve"> with the addition of the following long-term conditions to the existing indicator </w:t>
      </w:r>
      <w:hyperlink r:id="rId11">
        <w:r w:rsidR="007466A7" w:rsidRPr="00E6742D">
          <w:rPr>
            <w:rStyle w:val="Hyperlink"/>
          </w:rPr>
          <w:t>IND151</w:t>
        </w:r>
      </w:hyperlink>
      <w:r w:rsidR="007466A7" w:rsidRPr="00E6742D">
        <w:t>:</w:t>
      </w:r>
    </w:p>
    <w:p w14:paraId="708CDA72" w14:textId="77777777" w:rsidR="007466A7" w:rsidRPr="00E6742D" w:rsidRDefault="007466A7" w:rsidP="00FD25D8">
      <w:pPr>
        <w:pStyle w:val="Bullets"/>
      </w:pPr>
      <w:r w:rsidRPr="00E6742D">
        <w:t>high risk of developing type 2 diabetes</w:t>
      </w:r>
    </w:p>
    <w:p w14:paraId="66A538C7" w14:textId="77777777" w:rsidR="007466A7" w:rsidRPr="00E6742D" w:rsidRDefault="007466A7" w:rsidP="00FD25D8">
      <w:pPr>
        <w:pStyle w:val="Bullets"/>
      </w:pPr>
      <w:r w:rsidRPr="00E6742D">
        <w:t>dyslipidaemia</w:t>
      </w:r>
    </w:p>
    <w:p w14:paraId="6B8023C0" w14:textId="77777777" w:rsidR="007466A7" w:rsidRPr="00E6742D" w:rsidRDefault="007466A7" w:rsidP="00FD25D8">
      <w:pPr>
        <w:pStyle w:val="Bullets"/>
      </w:pPr>
      <w:r w:rsidRPr="00E6742D">
        <w:t>learning disability</w:t>
      </w:r>
    </w:p>
    <w:p w14:paraId="2DE86773" w14:textId="77777777" w:rsidR="007466A7" w:rsidRPr="00E6742D" w:rsidRDefault="007466A7" w:rsidP="00FD25D8">
      <w:pPr>
        <w:pStyle w:val="Bullets"/>
      </w:pPr>
      <w:bookmarkStart w:id="0" w:name="_Hlk206593561"/>
      <w:r w:rsidRPr="00E6742D">
        <w:t>obstructive sleep apnoea</w:t>
      </w:r>
    </w:p>
    <w:bookmarkEnd w:id="0"/>
    <w:p w14:paraId="47D5736E" w14:textId="77777777" w:rsidR="007466A7" w:rsidRPr="00E6742D" w:rsidRDefault="007466A7" w:rsidP="00FD25D8">
      <w:pPr>
        <w:pStyle w:val="Bullets"/>
      </w:pPr>
      <w:r w:rsidRPr="00E6742D">
        <w:t>polycystic ovary syndrome</w:t>
      </w:r>
    </w:p>
    <w:p w14:paraId="2617F1BF" w14:textId="782FC80A" w:rsidR="007466A7" w:rsidRPr="00214A72" w:rsidRDefault="007466A7" w:rsidP="00FD25D8">
      <w:pPr>
        <w:pStyle w:val="Bullets"/>
      </w:pPr>
      <w:r w:rsidRPr="00E6742D">
        <w:t>schizophrenia, bipolar disorder or other psychoses.</w:t>
      </w:r>
    </w:p>
    <w:p w14:paraId="5586D5E7" w14:textId="77777777" w:rsidR="00DE4BAF" w:rsidRDefault="00DE4BAF" w:rsidP="00DE4BAF">
      <w:pPr>
        <w:pStyle w:val="Heading2"/>
      </w:pPr>
      <w:r>
        <w:t>Summary of consultation comments</w:t>
      </w:r>
    </w:p>
    <w:p w14:paraId="47905246" w14:textId="4ED9F280" w:rsidR="004F671A" w:rsidRDefault="004F671A" w:rsidP="004C3087">
      <w:pPr>
        <w:pStyle w:val="ParagraphNumbered"/>
      </w:pPr>
      <w:r>
        <w:t xml:space="preserve">There were comments of support for expanding the list of </w:t>
      </w:r>
      <w:r w:rsidR="00583A94">
        <w:t>long-term</w:t>
      </w:r>
      <w:r>
        <w:t xml:space="preserve"> conditions in the indicator. Stakeholders </w:t>
      </w:r>
      <w:r w:rsidR="004E235F">
        <w:t xml:space="preserve">particularly welcomed </w:t>
      </w:r>
      <w:r w:rsidR="00C61432">
        <w:t xml:space="preserve">inclusion of </w:t>
      </w:r>
      <w:r w:rsidR="00C61432" w:rsidRPr="00C61432">
        <w:t>schizophrenia, bipolar disorder or other psychoses</w:t>
      </w:r>
      <w:r w:rsidR="00C61432">
        <w:t xml:space="preserve"> due to the side effects of several medications.</w:t>
      </w:r>
    </w:p>
    <w:p w14:paraId="39A3C638" w14:textId="167C1C5B" w:rsidR="005D39AA" w:rsidRDefault="005D39AA" w:rsidP="00744FCB">
      <w:pPr>
        <w:pStyle w:val="ParagraphNumbered"/>
      </w:pPr>
      <w:r>
        <w:t xml:space="preserve">One stakeholder </w:t>
      </w:r>
      <w:r w:rsidR="00FD25D8">
        <w:t>felt that the inclusion of</w:t>
      </w:r>
      <w:r>
        <w:t xml:space="preserve"> </w:t>
      </w:r>
      <w:r w:rsidR="00744FCB" w:rsidRPr="00744FCB">
        <w:t>rheumatoid arthritis</w:t>
      </w:r>
      <w:r w:rsidRPr="005D39AA">
        <w:t xml:space="preserve">, </w:t>
      </w:r>
      <w:r w:rsidR="00744FCB" w:rsidRPr="00744FCB">
        <w:t>obstructive sleep apnoea</w:t>
      </w:r>
      <w:r w:rsidR="00744FCB">
        <w:t xml:space="preserve">, and </w:t>
      </w:r>
      <w:r w:rsidR="00744FCB" w:rsidRPr="00744FCB">
        <w:t>polycystic ovary syndrome</w:t>
      </w:r>
      <w:r w:rsidR="00744FCB">
        <w:t xml:space="preserve"> </w:t>
      </w:r>
      <w:r w:rsidR="00FD25D8">
        <w:t xml:space="preserve">would create additional pressure on GPs because they are </w:t>
      </w:r>
      <w:r w:rsidR="00744FCB" w:rsidRPr="00744FCB">
        <w:t>not included in</w:t>
      </w:r>
      <w:r w:rsidR="00744FCB">
        <w:t xml:space="preserve"> current</w:t>
      </w:r>
      <w:r w:rsidR="00744FCB" w:rsidRPr="00744FCB">
        <w:t xml:space="preserve"> QOF registers or </w:t>
      </w:r>
      <w:r w:rsidR="00744FCB">
        <w:t>hav</w:t>
      </w:r>
      <w:r w:rsidR="00FD25D8">
        <w:t>e</w:t>
      </w:r>
      <w:r w:rsidR="00744FCB" w:rsidRPr="00744FCB">
        <w:t xml:space="preserve"> no associated annual check</w:t>
      </w:r>
      <w:r w:rsidR="00744FCB">
        <w:t>. They also noted without local weight management services for onward referral patients could only be informed of risks and not given options for onward support.</w:t>
      </w:r>
    </w:p>
    <w:p w14:paraId="21BBA1A1" w14:textId="325898A4" w:rsidR="00DE4BAF" w:rsidRDefault="00772A62" w:rsidP="004C3087">
      <w:pPr>
        <w:pStyle w:val="ParagraphNumbered"/>
      </w:pPr>
      <w:r>
        <w:t>Stakeholders raised that central adiposity is strongly associated with some health risks</w:t>
      </w:r>
      <w:r w:rsidR="00396F62">
        <w:t xml:space="preserve"> (such as cardiometabolic risk)</w:t>
      </w:r>
      <w:r>
        <w:t xml:space="preserve"> and </w:t>
      </w:r>
      <w:r w:rsidR="00396F62">
        <w:t>that waist-to-height ratio may be a better measure of risk than BMI. They suggested that waist-to-height ratio should be added to this indicator.</w:t>
      </w:r>
      <w:r w:rsidR="004F671A">
        <w:t xml:space="preserve"> However</w:t>
      </w:r>
      <w:r w:rsidR="00AC0593">
        <w:t>,</w:t>
      </w:r>
      <w:r w:rsidR="004F671A">
        <w:t xml:space="preserve"> it was also noted that BMI is seen as a pragmatic and easy to complete measurement.</w:t>
      </w:r>
      <w:r w:rsidR="00396F62">
        <w:t xml:space="preserve"> </w:t>
      </w:r>
      <w:r w:rsidR="0082451A" w:rsidRPr="0082451A">
        <w:t>A</w:t>
      </w:r>
      <w:r w:rsidR="00396F62" w:rsidRPr="0082451A">
        <w:t xml:space="preserve">t the IAC meeting on </w:t>
      </w:r>
      <w:r w:rsidR="006C48FA" w:rsidRPr="0082451A">
        <w:t xml:space="preserve">3 June </w:t>
      </w:r>
      <w:r w:rsidR="00396F62" w:rsidRPr="0082451A">
        <w:t xml:space="preserve">25 </w:t>
      </w:r>
      <w:r w:rsidR="0082451A" w:rsidRPr="0082451A">
        <w:t xml:space="preserve">The NICE team agreed </w:t>
      </w:r>
      <w:r w:rsidR="00396F62" w:rsidRPr="0082451A">
        <w:t xml:space="preserve">to assess how waist-to-height ratio can be used in existing weight management indicators and IND151 will be included in that </w:t>
      </w:r>
      <w:r w:rsidR="00477627" w:rsidRPr="0082451A">
        <w:t xml:space="preserve">ongoing </w:t>
      </w:r>
      <w:r w:rsidR="00396F62" w:rsidRPr="0082451A">
        <w:t>work.</w:t>
      </w:r>
    </w:p>
    <w:p w14:paraId="5F3633AF" w14:textId="0A23DADA" w:rsidR="004F5900" w:rsidRDefault="004F5900" w:rsidP="004C3087">
      <w:pPr>
        <w:pStyle w:val="ParagraphNumbered"/>
      </w:pPr>
      <w:r>
        <w:t xml:space="preserve">A stakeholder queried if the indicator was aiming </w:t>
      </w:r>
      <w:r w:rsidRPr="004F5900">
        <w:t xml:space="preserve">to capture conditions arising </w:t>
      </w:r>
      <w:proofErr w:type="gramStart"/>
      <w:r w:rsidRPr="004F5900">
        <w:t>as a consequence of</w:t>
      </w:r>
      <w:proofErr w:type="gramEnd"/>
      <w:r w:rsidRPr="004F5900">
        <w:t xml:space="preserve"> excess weight gain, or conditions that </w:t>
      </w:r>
      <w:r>
        <w:t>increase the likelihood of</w:t>
      </w:r>
      <w:r w:rsidRPr="004F5900">
        <w:t xml:space="preserve"> weight gain</w:t>
      </w:r>
      <w:r>
        <w:t xml:space="preserve">. They stated that knowing which of these aims was the focus would inform the list of </w:t>
      </w:r>
      <w:r w:rsidR="00583A94">
        <w:t>long-term</w:t>
      </w:r>
      <w:r>
        <w:t xml:space="preserve"> conditions</w:t>
      </w:r>
      <w:r w:rsidR="004F671A">
        <w:t>, as well as the potential actions after a high BMI is recorde</w:t>
      </w:r>
      <w:r w:rsidR="004F671A" w:rsidRPr="0082451A">
        <w:t>d</w:t>
      </w:r>
      <w:r w:rsidRPr="0082451A">
        <w:t>.</w:t>
      </w:r>
      <w:r w:rsidR="004F671A" w:rsidRPr="0082451A">
        <w:t xml:space="preserve"> The NICE team notes that the list of </w:t>
      </w:r>
      <w:r w:rsidR="00091642" w:rsidRPr="0082451A">
        <w:t>long-term</w:t>
      </w:r>
      <w:r w:rsidR="004F671A" w:rsidRPr="0082451A">
        <w:t xml:space="preserve"> conditions is aiming to capture conditions where risk of exacerbation or complication is higher with a higher BMI</w:t>
      </w:r>
      <w:r w:rsidR="00DE0ECF">
        <w:t xml:space="preserve"> (e.g. stroke or TIA, COPD), as well as conditions that may </w:t>
      </w:r>
      <w:r w:rsidR="00024FEF">
        <w:t>have</w:t>
      </w:r>
      <w:r w:rsidR="00DE0ECF">
        <w:t xml:space="preserve"> higher risk of and underdiagnosis of overweight and obesity (e.g. learning disability, </w:t>
      </w:r>
      <w:r w:rsidR="00DE0ECF" w:rsidRPr="00DE0ECF">
        <w:t>schizophrenia, bipolar disorder or other psychoses</w:t>
      </w:r>
      <w:r w:rsidR="00DE0ECF">
        <w:t>)</w:t>
      </w:r>
      <w:r w:rsidR="004F671A" w:rsidRPr="0082451A">
        <w:t>.</w:t>
      </w:r>
    </w:p>
    <w:p w14:paraId="2F3193CE" w14:textId="53B80C40" w:rsidR="004F671A" w:rsidRDefault="00C61432" w:rsidP="004C3087">
      <w:pPr>
        <w:pStyle w:val="ParagraphNumbered"/>
      </w:pPr>
      <w:r>
        <w:t>A stakeholder queried why children and young people (CYP) were excluded from the indicator. It was also highlighted that obesity is a risk factor for CYP with asthma.</w:t>
      </w:r>
    </w:p>
    <w:p w14:paraId="5B06134E" w14:textId="36CA387F" w:rsidR="004F671A" w:rsidRDefault="00375B87" w:rsidP="004C3087">
      <w:pPr>
        <w:pStyle w:val="ParagraphNumbered"/>
      </w:pPr>
      <w:r>
        <w:t xml:space="preserve">The consultation did not aim to source additional long-term conditions to add to the indicator beyond those already proposed which align with </w:t>
      </w:r>
      <w:r w:rsidRPr="005D39AA">
        <w:t>QS212 statement 1</w:t>
      </w:r>
      <w:r>
        <w:t>. However, s</w:t>
      </w:r>
      <w:r w:rsidR="004F671A">
        <w:t>takeholders highlighted other conditions which have weight related risk</w:t>
      </w:r>
      <w:r w:rsidR="000A32E4">
        <w:t>.</w:t>
      </w:r>
      <w:r w:rsidR="005D39AA">
        <w:t xml:space="preserve"> </w:t>
      </w:r>
    </w:p>
    <w:p w14:paraId="591734BD" w14:textId="691E833C" w:rsidR="004F671A" w:rsidRDefault="00C61432" w:rsidP="004C3087">
      <w:pPr>
        <w:pStyle w:val="ParagraphNumbered"/>
      </w:pPr>
      <w:r>
        <w:t xml:space="preserve">A stakeholder questioned </w:t>
      </w:r>
      <w:r w:rsidR="00A61B9F">
        <w:t xml:space="preserve">whether there was </w:t>
      </w:r>
      <w:r>
        <w:t>available NICE guidance</w:t>
      </w:r>
      <w:r w:rsidR="00A61B9F">
        <w:t xml:space="preserve"> supporting BMI </w:t>
      </w:r>
      <w:r w:rsidR="00D75C8F">
        <w:t xml:space="preserve">recording </w:t>
      </w:r>
      <w:r>
        <w:t xml:space="preserve">for some </w:t>
      </w:r>
      <w:r w:rsidR="00A61B9F">
        <w:t xml:space="preserve">of </w:t>
      </w:r>
      <w:r>
        <w:t xml:space="preserve">conditions </w:t>
      </w:r>
      <w:r w:rsidR="00D75C8F">
        <w:t xml:space="preserve">newly </w:t>
      </w:r>
      <w:r>
        <w:t>included in the indicator</w:t>
      </w:r>
      <w:r w:rsidR="00D75C8F">
        <w:t>. The NICE team has reviewed the relevant guidance and are satisfied that BMI recording is supported.</w:t>
      </w:r>
    </w:p>
    <w:p w14:paraId="64D71D90" w14:textId="2185F68A" w:rsidR="00AA2272" w:rsidRDefault="00AA2272" w:rsidP="00DE4BAF">
      <w:pPr>
        <w:pStyle w:val="Heading2"/>
      </w:pPr>
      <w:r>
        <w:t xml:space="preserve">2025 </w:t>
      </w:r>
      <w:r w:rsidR="00AE486C">
        <w:t>c</w:t>
      </w:r>
      <w:r>
        <w:t>onsultation on NICE quality standard</w:t>
      </w:r>
      <w:r w:rsidR="00AE486C">
        <w:t>, QS212</w:t>
      </w:r>
    </w:p>
    <w:p w14:paraId="1D5F83D9" w14:textId="74E14D1A" w:rsidR="00AA2272" w:rsidRPr="00AA2272" w:rsidRDefault="00AA2272" w:rsidP="0082451A">
      <w:pPr>
        <w:pStyle w:val="ParagraphNumbered"/>
      </w:pPr>
      <w:r w:rsidRPr="00AA2272">
        <w:t xml:space="preserve">In April 2025 the NICE Quality Hub received consultation comments on the draft quality standard </w:t>
      </w:r>
      <w:hyperlink r:id="rId12" w:history="1">
        <w:r w:rsidR="00AE486C">
          <w:rPr>
            <w:rStyle w:val="Hyperlink"/>
          </w:rPr>
          <w:t>o</w:t>
        </w:r>
        <w:r w:rsidRPr="00AA2272">
          <w:rPr>
            <w:rStyle w:val="Hyperlink"/>
          </w:rPr>
          <w:t>verweight and obesity management</w:t>
        </w:r>
      </w:hyperlink>
      <w:r w:rsidRPr="00AA2272">
        <w:t xml:space="preserve"> (QS212). Quality statement 1 cover</w:t>
      </w:r>
      <w:r w:rsidR="00AE486C">
        <w:t>s</w:t>
      </w:r>
      <w:r w:rsidRPr="00AA2272">
        <w:t xml:space="preserve"> recording BMI and waist-to-height ratio in adults with a long-term condition, which includes an example list of long-term conditions that matches the proposed list in the updated indicator.</w:t>
      </w:r>
    </w:p>
    <w:p w14:paraId="7451E09D" w14:textId="6FE7CC4D" w:rsidR="00AA2272" w:rsidRPr="00AA2272" w:rsidRDefault="00A61B9F" w:rsidP="0082451A">
      <w:pPr>
        <w:pStyle w:val="ParagraphNumbered"/>
      </w:pPr>
      <w:r>
        <w:t xml:space="preserve">The following </w:t>
      </w:r>
      <w:r w:rsidR="00AA2272" w:rsidRPr="00AA2272">
        <w:t>QS212 quality statement 1</w:t>
      </w:r>
      <w:r>
        <w:t xml:space="preserve"> published in August 2025</w:t>
      </w:r>
      <w:r w:rsidR="00AA2272" w:rsidRPr="00AA2272">
        <w:t>: Adults with a long-term condition have at least annual recording of their BMI and, if they have a BMI lower than 35 kg/m</w:t>
      </w:r>
      <w:r w:rsidR="00AA2272" w:rsidRPr="0082451A">
        <w:rPr>
          <w:vertAlign w:val="superscript"/>
        </w:rPr>
        <w:t>2</w:t>
      </w:r>
      <w:r w:rsidR="00AA2272" w:rsidRPr="00AA2272">
        <w:t xml:space="preserve">, recording of waist-to-height ratio. </w:t>
      </w:r>
      <w:r w:rsidR="00AA2272" w:rsidRPr="00AA2272">
        <w:rPr>
          <w:b/>
          <w:bCs/>
        </w:rPr>
        <w:t>[new 2025]</w:t>
      </w:r>
    </w:p>
    <w:p w14:paraId="0422DD80" w14:textId="06DF773F" w:rsidR="00AA2272" w:rsidRPr="00AA2272" w:rsidRDefault="00AA2272" w:rsidP="0082451A">
      <w:pPr>
        <w:pStyle w:val="ParagraphNumbered"/>
      </w:pPr>
      <w:r w:rsidRPr="00AA2272">
        <w:t>The following</w:t>
      </w:r>
      <w:r w:rsidR="00477627">
        <w:t xml:space="preserve"> QS212</w:t>
      </w:r>
      <w:r w:rsidR="00AE486C">
        <w:t xml:space="preserve"> consultation </w:t>
      </w:r>
      <w:r w:rsidRPr="00AA2272">
        <w:t xml:space="preserve">themes are </w:t>
      </w:r>
      <w:r w:rsidR="00AE486C">
        <w:t>relevant</w:t>
      </w:r>
      <w:r w:rsidRPr="00AA2272">
        <w:t xml:space="preserve"> to th</w:t>
      </w:r>
      <w:r w:rsidR="00AE486C">
        <w:t>e</w:t>
      </w:r>
      <w:r w:rsidRPr="00AA2272">
        <w:t xml:space="preserve"> update of indicator</w:t>
      </w:r>
      <w:r w:rsidR="00AE486C">
        <w:t xml:space="preserve"> IND151</w:t>
      </w:r>
      <w:r w:rsidRPr="00AA2272">
        <w:t>:</w:t>
      </w:r>
    </w:p>
    <w:p w14:paraId="489831B8" w14:textId="24147F09" w:rsidR="00AA2272" w:rsidRPr="00AA2272" w:rsidRDefault="00AA2272" w:rsidP="00FD25D8">
      <w:pPr>
        <w:pStyle w:val="Bullets"/>
      </w:pPr>
      <w:r w:rsidRPr="00AA2272">
        <w:t>Stakeholders that agreed annual measurement was appropriate as a basic standard</w:t>
      </w:r>
      <w:r w:rsidR="00477627">
        <w:t>,</w:t>
      </w:r>
      <w:r w:rsidRPr="00AA2272">
        <w:t xml:space="preserve"> with the option to measure more often if needed, and that it aligns well </w:t>
      </w:r>
      <w:r w:rsidR="00477627">
        <w:t>with</w:t>
      </w:r>
      <w:r w:rsidRPr="00AA2272">
        <w:t xml:space="preserve"> annual reviews.</w:t>
      </w:r>
      <w:r w:rsidR="00477627">
        <w:t xml:space="preserve"> They also noted </w:t>
      </w:r>
      <w:r w:rsidR="00477627" w:rsidRPr="00AA2272">
        <w:t xml:space="preserve">that more frequent measurement </w:t>
      </w:r>
      <w:r w:rsidR="00A61B9F">
        <w:t xml:space="preserve">of BMI and waist-to-height ratio </w:t>
      </w:r>
      <w:r w:rsidR="00477627" w:rsidRPr="00AA2272">
        <w:t>would</w:t>
      </w:r>
      <w:r w:rsidR="00644D9E">
        <w:t xml:space="preserve"> </w:t>
      </w:r>
      <w:r w:rsidR="00477627" w:rsidRPr="00AA2272">
        <w:t>require greater resources</w:t>
      </w:r>
      <w:r w:rsidR="00477627">
        <w:t>.</w:t>
      </w:r>
    </w:p>
    <w:p w14:paraId="11B83EDB" w14:textId="77777777" w:rsidR="00AA2272" w:rsidRPr="00AA2272" w:rsidRDefault="00AA2272" w:rsidP="00FD25D8">
      <w:pPr>
        <w:pStyle w:val="Bullets"/>
      </w:pPr>
      <w:r w:rsidRPr="00AA2272">
        <w:t>Stakeholders highlighted the importance of asking permission to measure and record BMI and waist-to-height ratio, as well as training staff to use non-judgemental and non-stigmatising language.</w:t>
      </w:r>
    </w:p>
    <w:p w14:paraId="64501752" w14:textId="77777777" w:rsidR="00AA2272" w:rsidRPr="00AA2272" w:rsidRDefault="00AA2272" w:rsidP="00FD25D8">
      <w:pPr>
        <w:pStyle w:val="Bullets"/>
      </w:pPr>
      <w:r w:rsidRPr="00AA2272">
        <w:t>It was queried whether patient self-reported data would be included in the measures and how that might affect accuracy. It was also raised that there would need to be standardisation in Electronic Medical Record systems to enable data collection.</w:t>
      </w:r>
    </w:p>
    <w:p w14:paraId="1FC1F2F0" w14:textId="6F9B94BB" w:rsidR="00AA2272" w:rsidRPr="00AA2272" w:rsidRDefault="00AA2272" w:rsidP="00FD25D8">
      <w:pPr>
        <w:pStyle w:val="Bullets"/>
      </w:pPr>
      <w:r w:rsidRPr="00AA2272">
        <w:t>It was highlighted that services may not have equipment that can measure weight in people with high body weights, people with some physical disabilities, or those with mobility issues.</w:t>
      </w:r>
    </w:p>
    <w:p w14:paraId="4D6A72B8" w14:textId="6DFB82D5" w:rsidR="00DE4BAF" w:rsidRDefault="00DE4BAF" w:rsidP="00DE4BAF">
      <w:pPr>
        <w:pStyle w:val="Heading2"/>
      </w:pPr>
      <w:r>
        <w:t>Considerations for the advisory committee</w:t>
      </w:r>
    </w:p>
    <w:p w14:paraId="3E511389" w14:textId="7BFD72DD" w:rsidR="00DE4BAF" w:rsidRDefault="00DE4BAF" w:rsidP="00D75C8F">
      <w:pPr>
        <w:pStyle w:val="ParagraphNumbered"/>
      </w:pPr>
      <w:r w:rsidRPr="00583A94">
        <w:t>The committee is asked to consider</w:t>
      </w:r>
      <w:r w:rsidR="0014684D">
        <w:t xml:space="preserve"> if </w:t>
      </w:r>
      <w:r w:rsidR="00583A94" w:rsidRPr="00583A94">
        <w:t>the indicator progress to publication with the updated list of long-term conditions in line with NICE guidance and QS212 statement 1</w:t>
      </w:r>
      <w:r w:rsidR="0014684D">
        <w:t>.</w:t>
      </w:r>
    </w:p>
    <w:p w14:paraId="160A97F0" w14:textId="681918C2" w:rsidR="002E482A" w:rsidRDefault="002E482A" w:rsidP="002E482A">
      <w:pPr>
        <w:pStyle w:val="Paragraph"/>
      </w:pPr>
    </w:p>
    <w:p w14:paraId="25D7B28E" w14:textId="5EE9B086" w:rsidR="00DE4BAF" w:rsidRDefault="00DE4BAF">
      <w:pPr>
        <w:rPr>
          <w:rFonts w:ascii="Arial" w:hAnsi="Arial"/>
          <w:lang w:eastAsia="en-US"/>
        </w:rPr>
      </w:pPr>
      <w:r>
        <w:br w:type="page"/>
      </w:r>
    </w:p>
    <w:p w14:paraId="259BEA8A" w14:textId="77777777" w:rsidR="00D712FC" w:rsidRDefault="00D712FC" w:rsidP="002E482A">
      <w:pPr>
        <w:pStyle w:val="Paragraph"/>
        <w:sectPr w:rsidR="00D712FC" w:rsidSect="008F6FB7">
          <w:footerReference w:type="default" r:id="rId13"/>
          <w:headerReference w:type="first" r:id="rId14"/>
          <w:footerReference w:type="first" r:id="rId15"/>
          <w:pgSz w:w="11906" w:h="16838"/>
          <w:pgMar w:top="1440" w:right="1800" w:bottom="1440" w:left="1800" w:header="708" w:footer="708" w:gutter="0"/>
          <w:cols w:space="708"/>
          <w:titlePg/>
          <w:docGrid w:linePitch="360"/>
        </w:sectPr>
      </w:pPr>
    </w:p>
    <w:p w14:paraId="64E68C29" w14:textId="70BCD7DA" w:rsidR="00DE4BAF" w:rsidRDefault="00D712FC" w:rsidP="00D712FC">
      <w:pPr>
        <w:pStyle w:val="Heading1"/>
      </w:pPr>
      <w:bookmarkStart w:id="1" w:name="_Toc206592584"/>
      <w:r>
        <w:t>Appendix A: Consultation comments</w:t>
      </w:r>
      <w:bookmarkEnd w:id="1"/>
    </w:p>
    <w:tbl>
      <w:tblPr>
        <w:tblStyle w:val="TableGrid"/>
        <w:tblW w:w="5000" w:type="pct"/>
        <w:tblLook w:val="04A0" w:firstRow="1" w:lastRow="0" w:firstColumn="1" w:lastColumn="0" w:noHBand="0" w:noVBand="1"/>
      </w:tblPr>
      <w:tblGrid>
        <w:gridCol w:w="461"/>
        <w:gridCol w:w="1464"/>
        <w:gridCol w:w="2650"/>
        <w:gridCol w:w="5231"/>
        <w:gridCol w:w="4142"/>
      </w:tblGrid>
      <w:tr w:rsidR="002D2A68" w:rsidRPr="00215444" w14:paraId="1B19D44D" w14:textId="42E069AD" w:rsidTr="002D2A68">
        <w:trPr>
          <w:tblHeader/>
        </w:trPr>
        <w:tc>
          <w:tcPr>
            <w:tcW w:w="165" w:type="pct"/>
            <w:noWrap/>
            <w:hideMark/>
          </w:tcPr>
          <w:p w14:paraId="48985A53" w14:textId="77777777" w:rsidR="002D2A68" w:rsidRPr="00215444" w:rsidRDefault="002D2A68" w:rsidP="00D712FC">
            <w:pPr>
              <w:pStyle w:val="Tabletext"/>
            </w:pPr>
            <w:r>
              <w:t>ID</w:t>
            </w:r>
          </w:p>
        </w:tc>
        <w:tc>
          <w:tcPr>
            <w:tcW w:w="525" w:type="pct"/>
          </w:tcPr>
          <w:p w14:paraId="17CDF4E0" w14:textId="77777777" w:rsidR="002D2A68" w:rsidRPr="00215444" w:rsidRDefault="002D2A68" w:rsidP="00D712FC">
            <w:pPr>
              <w:pStyle w:val="Tabletext"/>
            </w:pPr>
            <w:r w:rsidRPr="00215444">
              <w:t>Proforma question no.</w:t>
            </w:r>
          </w:p>
        </w:tc>
        <w:tc>
          <w:tcPr>
            <w:tcW w:w="950" w:type="pct"/>
            <w:noWrap/>
            <w:hideMark/>
          </w:tcPr>
          <w:p w14:paraId="5337FD3B" w14:textId="77777777" w:rsidR="002D2A68" w:rsidRPr="00215444" w:rsidRDefault="002D2A68" w:rsidP="00D712FC">
            <w:pPr>
              <w:pStyle w:val="Tabletext"/>
            </w:pPr>
            <w:r w:rsidRPr="00215444">
              <w:t>Stakeholder organisation</w:t>
            </w:r>
          </w:p>
        </w:tc>
        <w:tc>
          <w:tcPr>
            <w:tcW w:w="1875" w:type="pct"/>
            <w:hideMark/>
          </w:tcPr>
          <w:p w14:paraId="25FAA1B1" w14:textId="77777777" w:rsidR="002D2A68" w:rsidRPr="00215444" w:rsidRDefault="002D2A68" w:rsidP="00D712FC">
            <w:pPr>
              <w:pStyle w:val="Tabletext"/>
            </w:pPr>
            <w:r w:rsidRPr="00215444">
              <w:t>Comment</w:t>
            </w:r>
          </w:p>
        </w:tc>
        <w:tc>
          <w:tcPr>
            <w:tcW w:w="1485" w:type="pct"/>
          </w:tcPr>
          <w:p w14:paraId="3642E89E" w14:textId="1F8E1ADF" w:rsidR="002D2A68" w:rsidRPr="00215444" w:rsidRDefault="002D2A68" w:rsidP="00D712FC">
            <w:pPr>
              <w:pStyle w:val="Tabletext"/>
            </w:pPr>
            <w:r>
              <w:t>NICE response</w:t>
            </w:r>
          </w:p>
        </w:tc>
      </w:tr>
      <w:tr w:rsidR="002D2A68" w:rsidRPr="00215444" w14:paraId="1BA79534" w14:textId="3FE2B5E9" w:rsidTr="002D2A68">
        <w:tc>
          <w:tcPr>
            <w:tcW w:w="165" w:type="pct"/>
          </w:tcPr>
          <w:p w14:paraId="1071DDA3" w14:textId="6F9C2458" w:rsidR="002D2A68" w:rsidRPr="00B21341" w:rsidRDefault="002D2A68" w:rsidP="004B7BEF">
            <w:pPr>
              <w:pStyle w:val="Tabletext"/>
            </w:pPr>
            <w:r>
              <w:t>1</w:t>
            </w:r>
          </w:p>
        </w:tc>
        <w:tc>
          <w:tcPr>
            <w:tcW w:w="525" w:type="pct"/>
          </w:tcPr>
          <w:p w14:paraId="7B507BE5" w14:textId="734652E8" w:rsidR="002D2A68" w:rsidRPr="00B21341" w:rsidRDefault="002D2A68" w:rsidP="004B7BEF">
            <w:pPr>
              <w:pStyle w:val="Tabletext"/>
            </w:pPr>
            <w:r>
              <w:t>General</w:t>
            </w:r>
          </w:p>
        </w:tc>
        <w:tc>
          <w:tcPr>
            <w:tcW w:w="950" w:type="pct"/>
            <w:tcBorders>
              <w:top w:val="single" w:sz="4" w:space="0" w:color="auto"/>
              <w:left w:val="single" w:sz="4" w:space="0" w:color="auto"/>
              <w:bottom w:val="single" w:sz="4" w:space="0" w:color="auto"/>
              <w:right w:val="single" w:sz="4" w:space="0" w:color="auto"/>
            </w:tcBorders>
          </w:tcPr>
          <w:p w14:paraId="59ADFD8C" w14:textId="23E46A8B" w:rsidR="002D2A68" w:rsidRPr="005B73E7" w:rsidRDefault="002D2A68" w:rsidP="004B7BEF">
            <w:pPr>
              <w:pStyle w:val="Tabletext"/>
            </w:pPr>
            <w:r w:rsidRPr="004B7BEF">
              <w:t>AstraZeneca UK Ltd.</w:t>
            </w:r>
          </w:p>
        </w:tc>
        <w:tc>
          <w:tcPr>
            <w:tcW w:w="1875" w:type="pct"/>
            <w:tcBorders>
              <w:top w:val="single" w:sz="4" w:space="0" w:color="auto"/>
              <w:left w:val="single" w:sz="4" w:space="0" w:color="auto"/>
              <w:bottom w:val="single" w:sz="4" w:space="0" w:color="auto"/>
              <w:right w:val="single" w:sz="4" w:space="0" w:color="auto"/>
            </w:tcBorders>
          </w:tcPr>
          <w:p w14:paraId="02E4B95B" w14:textId="6844CAC7" w:rsidR="002D2A68" w:rsidRPr="00EE065C" w:rsidRDefault="002D2A68" w:rsidP="004B7BEF">
            <w:pPr>
              <w:pStyle w:val="Tabletext"/>
            </w:pPr>
            <w:r w:rsidRPr="004B7BEF">
              <w:t xml:space="preserve">Overwhelming evidence now supports central adiposity to be more strongly associated with cardiometabolic risk, compared with total obesity as assessed by body mass index (BMI), with multiple meta-analyses consistently reporting waist-to-height ratio to be a superior measure of central adiposity across different ethnic groups [1-3]. To clinically assess the presence of obesity in an individual, both the World Health organization (WHO) and the Lancet Obesity Commission have reported the need to confirm the presence of excess/abnormal adiposity utilising a measure of waist circumference, for example, waist-to-height ratio [4,5]. Therefore, for patients with a BMI&lt;35 kg/m2, AstraZeneca would strongly recommend for this indicator to specify the combination of both BMI and waist-to-height ratio measurements to refine cardiometabolic risk stratification beyond BMI. This would facilitate earlier detection of changes in weight and central adiposity, and further support in the assessment and management of a long-term condition. This amendment would also ensure consistency with the NICE Overweight and Obesity Management guideline [NG246] which states that: ‘In adults with BMI below 35 kg/m2, measure and use their waist-to-height ratio, as well as their BMI, as a practical estimate of central adiposity and use these measurements to help to assess and predict health risks (for example, type 2 diabetes, hypertension or cardiovascular disease)’ [6]. </w:t>
            </w:r>
            <w:r w:rsidRPr="004B7BEF">
              <w:br/>
            </w:r>
            <w:r w:rsidRPr="004B7BEF">
              <w:br/>
              <w:t xml:space="preserve">AstraZeneca would strongly recommend for the numerator of the indicator to state: ‘The number of patients in the dominator who have had a measurement of their BMI, and waist-to-height ratio if they have a BMI &lt;35 kg/m2, in the preceding 12 months’. At the very least, AstraZeneca would recommend for the statement included in the rational section of the existing IND151 indicator to remain, which states that: ‘NICE's guideline on obesity identifies consultations for managing long-term conditions as an opportunity to record a person's BMI. It further recommends that BMI is considered a practical estimate of adiposity in adults. Recording waist circumference may also be useful in people with a BMI of less than 35 kg/m2’ [7]. </w:t>
            </w:r>
            <w:r w:rsidRPr="004B7BEF">
              <w:br/>
            </w:r>
            <w:r w:rsidRPr="004B7BEF">
              <w:br/>
              <w:t>References:</w:t>
            </w:r>
            <w:r w:rsidRPr="004B7BEF">
              <w:br/>
              <w:t>1. M. Ashwell, P. Gunn, and S. Gibson, “Waist-to-height ratio is a better screening tool than waist circumference and BMI for adult cardiometabolic risk factors: systematic review and meta-analysis,” Obesity Reviews, vol. 13, no. 3, pp. 275–286, 2012.</w:t>
            </w:r>
            <w:r w:rsidRPr="004B7BEF">
              <w:br/>
              <w:t>2. L. M. Browning, S. D. Hsieh, and M. Ashwell, “A systematic review of waist-to-height ratio as a screening tool for the prediction of cardiovascular disease and diabetes: 0.5 could be a suitable global boundary value,” Nutrition Research Reviews, vol. 23, no. 2, pp. 247–269, 2010.</w:t>
            </w:r>
            <w:r w:rsidRPr="004B7BEF">
              <w:br/>
              <w:t>3. C. M. Lee et al., “Indices of abdominal obesity are better discriminators of cardiovascular risk factors than BMI: a meta-analysis,” Journal of Clinical Epidemiology, vol. 61, no. 7, pp. 646–653, 2008.</w:t>
            </w:r>
            <w:r w:rsidRPr="004B7BEF">
              <w:br/>
              <w:t>4. World Health Organization, “WHO European Regional Obesity Report,” 2022.</w:t>
            </w:r>
            <w:r w:rsidRPr="004B7BEF">
              <w:br/>
              <w:t>5. F. Rubino et al., “Definition and diagnostic criteria of clinical obesity,” Lancet Diabetes &amp; Endocrinology, vol. 13, no. 3, pp. 221–262, 2025.</w:t>
            </w:r>
            <w:r w:rsidRPr="004B7BEF">
              <w:br/>
              <w:t>6. National Institute for Health and Care Excellence, “NG246 Overweight and Obesity Management,” 2025.</w:t>
            </w:r>
            <w:r w:rsidRPr="004B7BEF">
              <w:br/>
              <w:t>7. National Institute for Health and Care Excellence, “Weight Management: BMI Recording (Long-term Conditions) [IND151],” 2015.</w:t>
            </w:r>
          </w:p>
        </w:tc>
        <w:tc>
          <w:tcPr>
            <w:tcW w:w="1485" w:type="pct"/>
            <w:tcBorders>
              <w:top w:val="single" w:sz="4" w:space="0" w:color="auto"/>
              <w:left w:val="single" w:sz="4" w:space="0" w:color="auto"/>
              <w:bottom w:val="single" w:sz="4" w:space="0" w:color="auto"/>
              <w:right w:val="single" w:sz="4" w:space="0" w:color="auto"/>
            </w:tcBorders>
          </w:tcPr>
          <w:p w14:paraId="7769948B" w14:textId="72C00655" w:rsidR="002D2A68" w:rsidRPr="004B7BEF" w:rsidRDefault="002D2A68" w:rsidP="004B7BEF">
            <w:pPr>
              <w:pStyle w:val="Tabletext"/>
            </w:pPr>
            <w:r>
              <w:t xml:space="preserve">Thank you for your comment. The NICE team acknowledges the role of central adiposity and waist-to-height ratio in assessing overweight and obesity related risk. This has been discussed with our indicator advisory committee (IAC) previously at the meeting on 03/06/25. It was agreed that the NICE team will review all published weight management indicators and propose an approach to waist-to-height measurement that can be applied across all of them to ensure consistency. That </w:t>
            </w:r>
            <w:r w:rsidR="001F4AEC">
              <w:t xml:space="preserve">review </w:t>
            </w:r>
            <w:r>
              <w:t>will include the updated IND151</w:t>
            </w:r>
            <w:r w:rsidR="001F4AEC">
              <w:t xml:space="preserve"> (now IND320)</w:t>
            </w:r>
            <w:r>
              <w:t xml:space="preserve">. Please note that we have recently published </w:t>
            </w:r>
            <w:hyperlink r:id="rId16" w:history="1">
              <w:r w:rsidRPr="002D2A68">
                <w:rPr>
                  <w:rStyle w:val="Hyperlink"/>
                </w:rPr>
                <w:t>QS212 Statement 1 Recording BMI and waist-to-height ratio in adults</w:t>
              </w:r>
            </w:hyperlink>
            <w:r>
              <w:t xml:space="preserve"> that does include </w:t>
            </w:r>
            <w:r w:rsidR="001F4AEC" w:rsidRPr="001F4AEC">
              <w:t>BMI and waist-to-height ratio</w:t>
            </w:r>
            <w:r w:rsidR="001F4AEC">
              <w:t xml:space="preserve"> measurement</w:t>
            </w:r>
            <w:r>
              <w:t>.</w:t>
            </w:r>
          </w:p>
        </w:tc>
      </w:tr>
      <w:tr w:rsidR="002D2A68" w:rsidRPr="00215444" w14:paraId="65F8374A" w14:textId="28747DBA" w:rsidTr="002D2A68">
        <w:tc>
          <w:tcPr>
            <w:tcW w:w="165" w:type="pct"/>
          </w:tcPr>
          <w:p w14:paraId="121AA405" w14:textId="6BE793BA" w:rsidR="002D2A68" w:rsidRPr="00B21341" w:rsidRDefault="002D2A68" w:rsidP="004B7BEF">
            <w:pPr>
              <w:pStyle w:val="Tabletext"/>
            </w:pPr>
            <w:r>
              <w:t>2</w:t>
            </w:r>
          </w:p>
        </w:tc>
        <w:tc>
          <w:tcPr>
            <w:tcW w:w="525" w:type="pct"/>
          </w:tcPr>
          <w:p w14:paraId="231312D5" w14:textId="07D0AE87" w:rsidR="002D2A68" w:rsidRPr="00B21341" w:rsidRDefault="002D2A68" w:rsidP="004B7BEF">
            <w:pPr>
              <w:pStyle w:val="Tabletext"/>
            </w:pPr>
            <w:r>
              <w:t>Rationale</w:t>
            </w:r>
          </w:p>
        </w:tc>
        <w:tc>
          <w:tcPr>
            <w:tcW w:w="950" w:type="pct"/>
            <w:tcBorders>
              <w:top w:val="nil"/>
              <w:left w:val="single" w:sz="4" w:space="0" w:color="auto"/>
              <w:bottom w:val="single" w:sz="4" w:space="0" w:color="auto"/>
              <w:right w:val="single" w:sz="4" w:space="0" w:color="auto"/>
            </w:tcBorders>
          </w:tcPr>
          <w:p w14:paraId="2DC64601" w14:textId="0CD8203B" w:rsidR="002D2A68" w:rsidRPr="005B73E7" w:rsidRDefault="002D2A68" w:rsidP="004B7BEF">
            <w:pPr>
              <w:pStyle w:val="Tabletext"/>
            </w:pPr>
            <w:r w:rsidRPr="004B7BEF">
              <w:t>AstraZeneca UK Ltd.</w:t>
            </w:r>
          </w:p>
        </w:tc>
        <w:tc>
          <w:tcPr>
            <w:tcW w:w="1875" w:type="pct"/>
            <w:tcBorders>
              <w:top w:val="nil"/>
              <w:left w:val="single" w:sz="4" w:space="0" w:color="auto"/>
              <w:bottom w:val="single" w:sz="4" w:space="0" w:color="auto"/>
              <w:right w:val="single" w:sz="4" w:space="0" w:color="auto"/>
            </w:tcBorders>
          </w:tcPr>
          <w:p w14:paraId="2A7858ED" w14:textId="322416AD" w:rsidR="002D2A68" w:rsidRPr="00EE065C" w:rsidRDefault="002D2A68" w:rsidP="004B7BEF">
            <w:pPr>
              <w:pStyle w:val="Tabletext"/>
            </w:pPr>
            <w:r w:rsidRPr="004B7BEF">
              <w:t>NICE has published five indicators to influence different aspects of overweight and obesity management, including:</w:t>
            </w:r>
            <w:r w:rsidRPr="004B7BEF">
              <w:br/>
              <w:t xml:space="preserve">• Establishing and maintaining a register of patients aged 18 or over with overweight (BMI ≥23 kg/m2 [or ≥25 kg/m2 or more if ethnicity is recorded as White]) or obesity (BMI ≥27.5 kg/m2 [or ≥30 kg/m2 or more if ethnicity is recorded as White]) [1,2]. </w:t>
            </w:r>
            <w:r w:rsidRPr="004B7BEF">
              <w:br/>
              <w:t xml:space="preserve">• Recording BMI in patients with coronary heart disease, stroke or transient ischemic attack (TIA), diabetes, hypertension, peripheral arterial disease, heart failure, chronic obstructive pulmonary disease (COPD), asthma and/or rheumatoid arthritis [3]. </w:t>
            </w:r>
            <w:r w:rsidRPr="004B7BEF">
              <w:br/>
              <w:t xml:space="preserve">• Referring patients with hypertension or diabetes and a BMI of ≥27.5 kg/m2 (or ≥30 kg/m2 if ethnicity is recorded as White) to a weight management programme within 90 days of the BMI being recorded.[4] </w:t>
            </w:r>
            <w:r w:rsidRPr="004B7BEF">
              <w:br/>
              <w:t xml:space="preserve">• Referring patients with a BMI of ≥27.5 kg/m2 (or ≥30 kg/m2 if ethnicity is recorded as White) to a weight management programme within 90 days of the BMI being recorded [5]. </w:t>
            </w:r>
            <w:r w:rsidRPr="004B7BEF">
              <w:br/>
            </w:r>
            <w:r w:rsidRPr="004B7BEF">
              <w:br/>
              <w:t xml:space="preserve">In recent years, weight management medications have begun to transform obesity management in the UK. The tirzepatide recommendation in December 2024 represented an important step-change, with tirzepatide being the first weight management medication to be recommended in primary care rather than use being restricted to a specialist setting, as required for semaglutide (TA875) and liraglutide (TA664) [6-8]. The current indicators seek to drive the identification, registration and referral of patients with obesity to weight management programmes by general practice. However, with weight management medications becoming more widely available, there is potential to transform health outcomes for patients by ensuring they are considered after dietary, exercise and behavioural approaches have been started and evaluated, as aligned to both the tirzepatide recommendation and the NICE Overweight and Obesity Management guideline (NG246) [6,9]. Furthermore, ensuring weight management medications are considered for those eligible would support the Obesity Healthcare Goals programme which was set up by the government to explore how new and potentially transformative treatments can be deployed to support people living with obesity, and ultimately improve their long-term health outcomes [10]. Therefore, as more weight management medications launch, AstraZeneca would urge NICE to consider how an indicator could be developed to ensure weight management medications are considered for eligible patients, supporting the acceptance of medical approaches for obesity, equity of access and mitigating inequalities in care.  </w:t>
            </w:r>
            <w:r w:rsidRPr="004B7BEF">
              <w:br/>
            </w:r>
            <w:r w:rsidRPr="004B7BEF">
              <w:br/>
              <w:t>References:</w:t>
            </w:r>
            <w:r w:rsidRPr="004B7BEF">
              <w:br/>
              <w:t xml:space="preserve">1. National Institute for Health and Care Excellence, “Weight management: obesity register [IND238],” 2022. </w:t>
            </w:r>
            <w:r w:rsidRPr="004B7BEF">
              <w:br/>
              <w:t xml:space="preserve">2. National Institute for Health and Care Excellence, “Weight management: overweight register [IND237],” 2022. </w:t>
            </w:r>
            <w:r w:rsidRPr="004B7BEF">
              <w:br/>
              <w:t>3. National Institute for Health and Care Excellence, “Weight management: BMI recording (long-term conditions) [IND151],” 2015.</w:t>
            </w:r>
            <w:r w:rsidRPr="004B7BEF">
              <w:br/>
              <w:t>4. National Institute for Health and Care Excellence, “Weight management: referral to weight management programmes for obesity (coexisting hypertension or diabetes) [IND221],” 2020.</w:t>
            </w:r>
            <w:r w:rsidRPr="004B7BEF">
              <w:br/>
              <w:t>5. National Institute for Health and Care Excellence, “Weight management: referral to weight management programmes for obesity [IND220],” 2020.</w:t>
            </w:r>
            <w:r w:rsidRPr="004B7BEF">
              <w:br/>
              <w:t xml:space="preserve">6. National Institute for Health and Care Excellence. “TA1026 Tirzepatide for managing overweight and obesity,” 2024. </w:t>
            </w:r>
            <w:r w:rsidRPr="00644D9E">
              <w:rPr>
                <w:lang w:val="fr-FR"/>
              </w:rPr>
              <w:t xml:space="preserve">[Online]. </w:t>
            </w:r>
            <w:proofErr w:type="gramStart"/>
            <w:r w:rsidRPr="00644D9E">
              <w:rPr>
                <w:lang w:val="fr-FR"/>
              </w:rPr>
              <w:t>Available:</w:t>
            </w:r>
            <w:proofErr w:type="gramEnd"/>
            <w:r w:rsidRPr="00644D9E">
              <w:rPr>
                <w:lang w:val="fr-FR"/>
              </w:rPr>
              <w:t xml:space="preserve"> https://www.nice.org.uk/guidance/ta1026/chapter/1-Recommendations.</w:t>
            </w:r>
            <w:r w:rsidRPr="00644D9E">
              <w:rPr>
                <w:lang w:val="fr-FR"/>
              </w:rPr>
              <w:br/>
            </w:r>
            <w:r w:rsidRPr="004B7BEF">
              <w:t>7. National Institute for Health and Care Excellence, “TA875 Semaglutide for managing overweight and obesity,” 2023.</w:t>
            </w:r>
            <w:r w:rsidRPr="004B7BEF">
              <w:br/>
              <w:t xml:space="preserve">8. National Institute for Health and Care Excellence, “Liraglutide for managing overweight and obesity [TA664],” 2020. </w:t>
            </w:r>
            <w:r w:rsidRPr="00644D9E">
              <w:rPr>
                <w:lang w:val="fr-FR"/>
              </w:rPr>
              <w:t xml:space="preserve">[Online]. </w:t>
            </w:r>
            <w:proofErr w:type="gramStart"/>
            <w:r w:rsidRPr="00644D9E">
              <w:rPr>
                <w:lang w:val="fr-FR"/>
              </w:rPr>
              <w:t>Available:</w:t>
            </w:r>
            <w:proofErr w:type="gramEnd"/>
            <w:r w:rsidRPr="00644D9E">
              <w:rPr>
                <w:lang w:val="fr-FR"/>
              </w:rPr>
              <w:t xml:space="preserve"> https://www.nice.org.uk/guidance/ta664/chapter/1-Recommendations.</w:t>
            </w:r>
            <w:r w:rsidRPr="00644D9E">
              <w:rPr>
                <w:lang w:val="fr-FR"/>
              </w:rPr>
              <w:br/>
            </w:r>
            <w:r w:rsidRPr="004B7BEF">
              <w:t>9. National Institute for Health and Care Excellence, “NG246 Overweight and obesity management,” 2025.</w:t>
            </w:r>
            <w:r w:rsidRPr="004B7BEF">
              <w:br/>
              <w:t>10. Office for Life Sciences. “Obesity Healthcare Goals,” 2025. [Online]. Available: https://www.gov.uk/government/publications/life-sciences-healthcare-goals/obesity-healthcare-goals.</w:t>
            </w:r>
          </w:p>
        </w:tc>
        <w:tc>
          <w:tcPr>
            <w:tcW w:w="1485" w:type="pct"/>
            <w:tcBorders>
              <w:top w:val="nil"/>
              <w:left w:val="single" w:sz="4" w:space="0" w:color="auto"/>
              <w:bottom w:val="single" w:sz="4" w:space="0" w:color="auto"/>
              <w:right w:val="single" w:sz="4" w:space="0" w:color="auto"/>
            </w:tcBorders>
          </w:tcPr>
          <w:p w14:paraId="18080B56" w14:textId="6DE9A580" w:rsidR="002D2A68" w:rsidRPr="004B7BEF" w:rsidRDefault="002D2A68" w:rsidP="004B7BEF">
            <w:pPr>
              <w:pStyle w:val="Tabletext"/>
            </w:pPr>
            <w:r>
              <w:t xml:space="preserve">Thank you for your comment. </w:t>
            </w:r>
            <w:r w:rsidR="00742D3C">
              <w:t>Y</w:t>
            </w:r>
            <w:r>
              <w:t xml:space="preserve">our suggestion has been noted by the NICE team. </w:t>
            </w:r>
          </w:p>
        </w:tc>
      </w:tr>
      <w:tr w:rsidR="002D2A68" w:rsidRPr="00215444" w14:paraId="2CAA35A1" w14:textId="07A78FA7" w:rsidTr="002D2A68">
        <w:tc>
          <w:tcPr>
            <w:tcW w:w="165" w:type="pct"/>
          </w:tcPr>
          <w:p w14:paraId="227CFD29" w14:textId="7E5EFD68" w:rsidR="002D2A68" w:rsidRDefault="002D2A68" w:rsidP="004B7BEF">
            <w:pPr>
              <w:pStyle w:val="Tabletext"/>
            </w:pPr>
            <w:r>
              <w:t>3</w:t>
            </w:r>
          </w:p>
        </w:tc>
        <w:tc>
          <w:tcPr>
            <w:tcW w:w="525" w:type="pct"/>
          </w:tcPr>
          <w:p w14:paraId="3008CB69" w14:textId="554D0E1E" w:rsidR="002D2A68" w:rsidRDefault="002D2A68" w:rsidP="004B7BEF">
            <w:pPr>
              <w:pStyle w:val="Tabletext"/>
            </w:pPr>
            <w:r>
              <w:t>General</w:t>
            </w:r>
          </w:p>
        </w:tc>
        <w:tc>
          <w:tcPr>
            <w:tcW w:w="950" w:type="pct"/>
            <w:tcBorders>
              <w:top w:val="nil"/>
              <w:left w:val="single" w:sz="4" w:space="0" w:color="auto"/>
              <w:bottom w:val="single" w:sz="4" w:space="0" w:color="auto"/>
              <w:right w:val="single" w:sz="4" w:space="0" w:color="auto"/>
            </w:tcBorders>
          </w:tcPr>
          <w:p w14:paraId="5C7059DA" w14:textId="2D6A4850" w:rsidR="002D2A68" w:rsidRPr="004B7BEF" w:rsidRDefault="002D2A68" w:rsidP="004B7BEF">
            <w:pPr>
              <w:pStyle w:val="Tabletext"/>
            </w:pPr>
            <w:r w:rsidRPr="0082451A">
              <w:t>British Medical Association</w:t>
            </w:r>
            <w:r>
              <w:t xml:space="preserve"> (</w:t>
            </w:r>
            <w:r w:rsidRPr="0082451A">
              <w:t>General Practitioners Committee England</w:t>
            </w:r>
            <w:r>
              <w:t>)</w:t>
            </w:r>
          </w:p>
        </w:tc>
        <w:tc>
          <w:tcPr>
            <w:tcW w:w="1875" w:type="pct"/>
            <w:tcBorders>
              <w:top w:val="nil"/>
              <w:left w:val="single" w:sz="4" w:space="0" w:color="auto"/>
              <w:bottom w:val="single" w:sz="4" w:space="0" w:color="auto"/>
              <w:right w:val="single" w:sz="4" w:space="0" w:color="auto"/>
            </w:tcBorders>
          </w:tcPr>
          <w:p w14:paraId="3A067C06" w14:textId="77777777" w:rsidR="002D2A68" w:rsidRDefault="002D2A68" w:rsidP="0082451A">
            <w:pPr>
              <w:pStyle w:val="Tabletext"/>
            </w:pPr>
            <w:r>
              <w:t>We would not agree with the addition of the stated long-term conditions to the existing indicator IND151.  ‘Routine consultations for managing long-term conditions are an opportunity to record a person’s BMI’-RA, OSA, PCOS currently either not included in QOF registers or where there’s no associated annual check, so this is entirely new work for GPs and must be remunerated as such.</w:t>
            </w:r>
          </w:p>
          <w:p w14:paraId="25D0BE75" w14:textId="77777777" w:rsidR="002D2A68" w:rsidRDefault="002D2A68" w:rsidP="0082451A">
            <w:pPr>
              <w:pStyle w:val="Tabletext"/>
            </w:pPr>
          </w:p>
          <w:p w14:paraId="5D33F0D0" w14:textId="542764E5" w:rsidR="002D2A68" w:rsidRPr="004B7BEF" w:rsidRDefault="002D2A68" w:rsidP="0082451A">
            <w:pPr>
              <w:pStyle w:val="Tabletext"/>
            </w:pPr>
            <w:r>
              <w:t>For this to have any utility it would need functional weight management services. This is not universally provided (particularly tertiary services including surgery and injectables). Until this is fully commissioned practices are essentially measuring people to inform them of the risks but with no to minimal real help to tackle their weight.</w:t>
            </w:r>
          </w:p>
        </w:tc>
        <w:tc>
          <w:tcPr>
            <w:tcW w:w="1485" w:type="pct"/>
            <w:tcBorders>
              <w:top w:val="nil"/>
              <w:left w:val="single" w:sz="4" w:space="0" w:color="auto"/>
              <w:bottom w:val="single" w:sz="4" w:space="0" w:color="auto"/>
              <w:right w:val="single" w:sz="4" w:space="0" w:color="auto"/>
            </w:tcBorders>
          </w:tcPr>
          <w:p w14:paraId="7B2F907F" w14:textId="22BD2F9D" w:rsidR="002D2A68" w:rsidRDefault="00A65C05" w:rsidP="0082451A">
            <w:pPr>
              <w:pStyle w:val="Tabletext"/>
            </w:pPr>
            <w:r>
              <w:t xml:space="preserve">Thank you for your comment. The committee considered that not all conditions proposed for inclusion in the indicator have an annual review. In </w:t>
            </w:r>
            <w:r w:rsidR="00EF01A4">
              <w:t>general,</w:t>
            </w:r>
            <w:r>
              <w:t xml:space="preserve"> they did not find this to be a reason for a condition not to be included, as other opportunities for recording would exist. Please note that both rheumatoid arthritis and PCOS have now been removed from the indicator. R</w:t>
            </w:r>
            <w:r w:rsidRPr="00A65C05">
              <w:t>heumatoid arthritis</w:t>
            </w:r>
            <w:r>
              <w:t xml:space="preserve"> was removed due to lack of relevant </w:t>
            </w:r>
            <w:r w:rsidR="00BF37C4">
              <w:t xml:space="preserve">NICE </w:t>
            </w:r>
            <w:r>
              <w:t>guidance</w:t>
            </w:r>
            <w:r w:rsidR="00BF37C4">
              <w:t xml:space="preserve"> supporting its inclusion</w:t>
            </w:r>
            <w:r>
              <w:t xml:space="preserve">. PCOS has been temporarily removed until </w:t>
            </w:r>
            <w:r w:rsidR="00BF37C4">
              <w:t xml:space="preserve">the NICE guideline on </w:t>
            </w:r>
            <w:hyperlink r:id="rId17" w:history="1">
              <w:r w:rsidRPr="00A65C05">
                <w:rPr>
                  <w:rStyle w:val="Hyperlink"/>
                </w:rPr>
                <w:t>Polycystic ovary syndrome: assessment and management</w:t>
              </w:r>
            </w:hyperlink>
            <w:r>
              <w:t xml:space="preserve"> is published and its inclusion can be reassessed based on the new guideline.</w:t>
            </w:r>
          </w:p>
          <w:p w14:paraId="7E60BEA8" w14:textId="77777777" w:rsidR="00A65C05" w:rsidRDefault="00A65C05" w:rsidP="0082451A">
            <w:pPr>
              <w:pStyle w:val="Tabletext"/>
            </w:pPr>
          </w:p>
          <w:p w14:paraId="423EAFFE" w14:textId="40C49FCC" w:rsidR="00A65C05" w:rsidRDefault="00A65C05" w:rsidP="0082451A">
            <w:pPr>
              <w:pStyle w:val="Tabletext"/>
            </w:pPr>
            <w:r w:rsidRPr="00A65C05">
              <w:t xml:space="preserve">Intervention and referral </w:t>
            </w:r>
            <w:proofErr w:type="gramStart"/>
            <w:r>
              <w:t>is</w:t>
            </w:r>
            <w:proofErr w:type="gramEnd"/>
            <w:r>
              <w:t xml:space="preserve"> not a focus of this indicator which </w:t>
            </w:r>
            <w:r w:rsidRPr="00A65C05">
              <w:t>support</w:t>
            </w:r>
            <w:r>
              <w:t>s</w:t>
            </w:r>
            <w:r w:rsidRPr="00A65C05">
              <w:t xml:space="preserve"> regular weight measurement in adults with long-term conditions enabling potential definition of overweight, obesity and, identification of changes in weight and central adiposity, and help in assessment and management of a long-term condition</w:t>
            </w:r>
            <w:r>
              <w:t xml:space="preserve">. </w:t>
            </w:r>
            <w:hyperlink r:id="rId18" w:history="1">
              <w:r w:rsidR="00436D18" w:rsidRPr="00436D18">
                <w:rPr>
                  <w:rStyle w:val="Hyperlink"/>
                </w:rPr>
                <w:t>IND220</w:t>
              </w:r>
            </w:hyperlink>
            <w:r w:rsidR="00436D18">
              <w:t xml:space="preserve"> and </w:t>
            </w:r>
            <w:hyperlink r:id="rId19" w:history="1">
              <w:r w:rsidRPr="00436D18">
                <w:rPr>
                  <w:rStyle w:val="Hyperlink"/>
                </w:rPr>
                <w:t>IND221</w:t>
              </w:r>
            </w:hyperlink>
            <w:r w:rsidR="00436D18">
              <w:t xml:space="preserve"> focus on </w:t>
            </w:r>
            <w:r w:rsidR="00436D18" w:rsidRPr="00436D18">
              <w:t>referral to weight management programmes for obesity</w:t>
            </w:r>
            <w:r w:rsidR="00436D18">
              <w:t>. While NICE is aware of gaps in service provision from consultation on other indicators and quality standards, indicators focused on identification still add value when present on our menu and available for use in QOF.</w:t>
            </w:r>
          </w:p>
        </w:tc>
      </w:tr>
      <w:tr w:rsidR="002D2A68" w:rsidRPr="00215444" w14:paraId="61C7BA10" w14:textId="79F27132" w:rsidTr="002D2A68">
        <w:tc>
          <w:tcPr>
            <w:tcW w:w="165" w:type="pct"/>
          </w:tcPr>
          <w:p w14:paraId="1CC198BC" w14:textId="656EC865" w:rsidR="002D2A68" w:rsidRPr="00B21341" w:rsidRDefault="002D2A68" w:rsidP="004B7BEF">
            <w:pPr>
              <w:pStyle w:val="Tabletext"/>
            </w:pPr>
            <w:r>
              <w:t>4</w:t>
            </w:r>
          </w:p>
        </w:tc>
        <w:tc>
          <w:tcPr>
            <w:tcW w:w="525" w:type="pct"/>
          </w:tcPr>
          <w:p w14:paraId="4A0D2077" w14:textId="5A043816" w:rsidR="002D2A68" w:rsidRPr="00B21341" w:rsidRDefault="002D2A68" w:rsidP="004B7BEF">
            <w:pPr>
              <w:pStyle w:val="Tabletext"/>
            </w:pPr>
            <w:r>
              <w:t>General</w:t>
            </w:r>
          </w:p>
        </w:tc>
        <w:tc>
          <w:tcPr>
            <w:tcW w:w="950" w:type="pct"/>
            <w:tcBorders>
              <w:top w:val="nil"/>
              <w:left w:val="single" w:sz="4" w:space="0" w:color="auto"/>
              <w:bottom w:val="single" w:sz="4" w:space="0" w:color="auto"/>
              <w:right w:val="single" w:sz="4" w:space="0" w:color="auto"/>
            </w:tcBorders>
          </w:tcPr>
          <w:p w14:paraId="74A34999" w14:textId="28490FE8" w:rsidR="002D2A68" w:rsidRPr="005B73E7" w:rsidRDefault="002D2A68" w:rsidP="004B7BEF">
            <w:pPr>
              <w:pStyle w:val="Tabletext"/>
            </w:pPr>
            <w:r w:rsidRPr="004B7BEF">
              <w:t>NHS England</w:t>
            </w:r>
          </w:p>
        </w:tc>
        <w:tc>
          <w:tcPr>
            <w:tcW w:w="1875" w:type="pct"/>
            <w:tcBorders>
              <w:top w:val="nil"/>
              <w:left w:val="single" w:sz="4" w:space="0" w:color="auto"/>
              <w:bottom w:val="single" w:sz="4" w:space="0" w:color="auto"/>
              <w:right w:val="single" w:sz="4" w:space="0" w:color="auto"/>
            </w:tcBorders>
          </w:tcPr>
          <w:p w14:paraId="374B60A7" w14:textId="234BE71B" w:rsidR="002D2A68" w:rsidRPr="00EE065C" w:rsidRDefault="002D2A68" w:rsidP="004B7BEF">
            <w:pPr>
              <w:pStyle w:val="Tabletext"/>
            </w:pPr>
            <w:r w:rsidRPr="004B7BEF">
              <w:t xml:space="preserve">It would be helpful to understand the full intention of this indicator. Whilst a consensus as to what constitutes a weight-related condition would be useful, it is important to recognise that almost any LTCs may be exacerbated by excess weight or obesity, particularly severe obesity. For example, a condition such as asthma is not generally considered a weight-related LTC but there is good evidence of a bidirectional relationship between asthma and obesity. If the intention is to support prioritisation of weight management interventions, it is perhaps more useful to consider this in the broader context, and not just specifically defined weight related comorbidities. Noting that SMI and LD are included. These are conditions that predispose to weight gain (rather than being weight-related comorbidities), Understanding the purpose of the indicator would help define the conditions that should be included. Clarity as to whether the list is intended to capture conditions arising </w:t>
            </w:r>
            <w:proofErr w:type="gramStart"/>
            <w:r w:rsidRPr="004B7BEF">
              <w:t>as a consequence of</w:t>
            </w:r>
            <w:proofErr w:type="gramEnd"/>
            <w:r w:rsidRPr="004B7BEF">
              <w:t xml:space="preserve"> excess weight gain (weight-related comorbidities), or conditions (or treatments) that predispose to weight gain. In most cases, whether weight-related, or predisposing to weight gain, living with excess weight or obesity in the context of a LTC is often associated with higher risk. It might be useful to draw that distinction but all need to be acknowledged as associated with higher risk. SMI and LD are particularly important in this regard, because of the very high burden of cardiometabolic disease experienced but other conditions, such as epilepsy, might also be considered here. Clarity over how the BMI result for each condition would be utilised and the evidence base underlying the decision to include said conditions would be of valuable context. Presumably any therapeutic intervention for the primary indication listed should be aimed at resolution of that clinical condition and the degree of weight loss needed to achieve this aim needs to be considered.</w:t>
            </w:r>
            <w:r w:rsidRPr="004B7BEF">
              <w:br/>
              <w:t>Note that BMI alone is not always a reliable indicator of excess weight although understood as a pragmatic and more readily applied approach than additional or other measurements.</w:t>
            </w:r>
            <w:r w:rsidRPr="004B7BEF">
              <w:br/>
              <w:t>It would be useful to understand how the conditions included in the proposed list were selected, whether because they are considered to be conditions caused by excess weight (some of them are and others not), or whether this relates to consequential risk for health (specifically CVD, but also other health risks, such as cancer), or other reason.</w:t>
            </w:r>
            <w:r w:rsidRPr="004B7BEF">
              <w:br/>
              <w:t>There are a number of conditions not included that have an interesting bidirectional link with excess weight, overweight and obesity.</w:t>
            </w:r>
            <w:r w:rsidRPr="004B7BEF">
              <w:br/>
              <w:t>There are a few international position statements now proposing slightly different approaches to defining weight related comorbidity but, as yet, we are not aware of any universally adopted international consensus, although the Lancet Commission on Obesity attracted a lot of interest (Lancet Commission on Obesity).</w:t>
            </w:r>
          </w:p>
        </w:tc>
        <w:tc>
          <w:tcPr>
            <w:tcW w:w="1485" w:type="pct"/>
            <w:tcBorders>
              <w:top w:val="nil"/>
              <w:left w:val="single" w:sz="4" w:space="0" w:color="auto"/>
              <w:bottom w:val="single" w:sz="4" w:space="0" w:color="auto"/>
              <w:right w:val="single" w:sz="4" w:space="0" w:color="auto"/>
            </w:tcBorders>
          </w:tcPr>
          <w:p w14:paraId="4CC4FA9A" w14:textId="377F24A6" w:rsidR="002D2A68" w:rsidRDefault="003C64E9" w:rsidP="004B7BEF">
            <w:pPr>
              <w:pStyle w:val="Tabletext"/>
            </w:pPr>
            <w:r>
              <w:t>Thank you for your comment. T</w:t>
            </w:r>
            <w:r w:rsidRPr="003C64E9">
              <w:t xml:space="preserve">he list of long-term conditions is aiming to capture </w:t>
            </w:r>
            <w:bookmarkStart w:id="2" w:name="_Hlk210989107"/>
            <w:r w:rsidRPr="003C64E9">
              <w:t xml:space="preserve">conditions where risk of exacerbation or complication is </w:t>
            </w:r>
            <w:r w:rsidR="00742D3C">
              <w:t>greater</w:t>
            </w:r>
            <w:r w:rsidR="00742D3C" w:rsidRPr="003C64E9">
              <w:t xml:space="preserve"> </w:t>
            </w:r>
            <w:r w:rsidRPr="003C64E9">
              <w:t xml:space="preserve">with a </w:t>
            </w:r>
            <w:r w:rsidR="00024FEF" w:rsidRPr="00024FEF">
              <w:t>higher BMI (e.g. stroke or TIA, COPD), as well as conditions that may have higher risk of and underdiagnosis of overweight and obesity (e.g. learning disability, schizophrenia, bipolar disorder or other psychoses)</w:t>
            </w:r>
            <w:bookmarkEnd w:id="2"/>
            <w:r>
              <w:t xml:space="preserve">. The conditions included are </w:t>
            </w:r>
            <w:r w:rsidR="006C14E7">
              <w:t>supported by</w:t>
            </w:r>
            <w:r>
              <w:t xml:space="preserve"> available NICE guidance</w:t>
            </w:r>
            <w:r w:rsidR="00BF37C4">
              <w:t xml:space="preserve"> that recommend measurement</w:t>
            </w:r>
            <w:r>
              <w:t xml:space="preserve"> and align with </w:t>
            </w:r>
            <w:hyperlink r:id="rId20" w:history="1">
              <w:r w:rsidRPr="002D2A68">
                <w:rPr>
                  <w:rStyle w:val="Hyperlink"/>
                </w:rPr>
                <w:t>QS212 Statement 1 Recording BMI and waist-to-height ratio in adults</w:t>
              </w:r>
            </w:hyperlink>
            <w:r>
              <w:t>.</w:t>
            </w:r>
            <w:r w:rsidR="00192EBC">
              <w:t xml:space="preserve"> We acknowledge that there may be other conditions with links to overweight and obesity.</w:t>
            </w:r>
          </w:p>
          <w:p w14:paraId="7B4D00E9" w14:textId="77777777" w:rsidR="003C64E9" w:rsidRDefault="003C64E9" w:rsidP="004B7BEF">
            <w:pPr>
              <w:pStyle w:val="Tabletext"/>
            </w:pPr>
            <w:r>
              <w:t xml:space="preserve">NICE indicators do not routinely set out the next steps after the </w:t>
            </w:r>
            <w:r w:rsidR="00192EBC">
              <w:t>action</w:t>
            </w:r>
            <w:r>
              <w:t xml:space="preserve"> in the indicator takes place</w:t>
            </w:r>
            <w:r w:rsidR="00192EBC">
              <w:t xml:space="preserve"> (in this case use of the results such as referral or intervention)</w:t>
            </w:r>
            <w:r>
              <w:t xml:space="preserve">. These details are often set out in </w:t>
            </w:r>
            <w:hyperlink r:id="rId21" w:history="1">
              <w:r w:rsidRPr="00192EBC">
                <w:rPr>
                  <w:rStyle w:val="Hyperlink"/>
                </w:rPr>
                <w:t>supporting guidance</w:t>
              </w:r>
            </w:hyperlink>
            <w:r>
              <w:t>.</w:t>
            </w:r>
          </w:p>
          <w:p w14:paraId="64ED87C5" w14:textId="0065CA38" w:rsidR="0079335B" w:rsidRPr="004B7BEF" w:rsidRDefault="0079335B" w:rsidP="004B7BEF">
            <w:pPr>
              <w:pStyle w:val="Tabletext"/>
            </w:pPr>
            <w:r w:rsidRPr="0079335B">
              <w:t xml:space="preserve">The NICE team acknowledges the role of central adiposity and waist-to-height ratio in assessing overweight and obesity related risk. This has been discussed with our indicator advisory committee (IAC) previously at the meeting on 03/06/25. It was agreed that the NICE team will review all published weight management indicators and propose an approach to waist-to-height measurement that can be applied across all of them to ensure consistency. That review will include the updated IND151 (now IND320). Please note that we have recently published </w:t>
            </w:r>
            <w:hyperlink r:id="rId22" w:history="1">
              <w:r w:rsidRPr="0079335B">
                <w:rPr>
                  <w:rStyle w:val="Hyperlink"/>
                </w:rPr>
                <w:t>QS212 Statement 1 Recording BMI and waist-to-height ratio in adults</w:t>
              </w:r>
            </w:hyperlink>
            <w:r w:rsidRPr="0079335B">
              <w:t xml:space="preserve"> that does include BMI and waist-to-height ratio measurement.</w:t>
            </w:r>
          </w:p>
        </w:tc>
      </w:tr>
      <w:tr w:rsidR="002D2A68" w:rsidRPr="00215444" w14:paraId="1AD4AAA3" w14:textId="077E6D1B" w:rsidTr="002D2A68">
        <w:tc>
          <w:tcPr>
            <w:tcW w:w="165" w:type="pct"/>
          </w:tcPr>
          <w:p w14:paraId="1CAA2B7B" w14:textId="660AA487" w:rsidR="002D2A68" w:rsidRPr="00B21341" w:rsidRDefault="002D2A68" w:rsidP="004B7BEF">
            <w:pPr>
              <w:pStyle w:val="Tabletext"/>
            </w:pPr>
            <w:r>
              <w:t>5</w:t>
            </w:r>
          </w:p>
        </w:tc>
        <w:tc>
          <w:tcPr>
            <w:tcW w:w="525" w:type="pct"/>
          </w:tcPr>
          <w:p w14:paraId="4752C787" w14:textId="1DF4A863" w:rsidR="002D2A68" w:rsidRPr="00B21341" w:rsidRDefault="002D2A68" w:rsidP="004B7BEF">
            <w:pPr>
              <w:pStyle w:val="Tabletext"/>
            </w:pPr>
            <w:r>
              <w:t>Specification</w:t>
            </w:r>
          </w:p>
        </w:tc>
        <w:tc>
          <w:tcPr>
            <w:tcW w:w="950" w:type="pct"/>
            <w:tcBorders>
              <w:top w:val="nil"/>
              <w:left w:val="single" w:sz="4" w:space="0" w:color="auto"/>
              <w:bottom w:val="single" w:sz="4" w:space="0" w:color="auto"/>
              <w:right w:val="single" w:sz="4" w:space="0" w:color="auto"/>
            </w:tcBorders>
          </w:tcPr>
          <w:p w14:paraId="4DBD6893" w14:textId="15F401B0" w:rsidR="002D2A68" w:rsidRPr="005B73E7" w:rsidRDefault="002D2A68" w:rsidP="004B7BEF">
            <w:pPr>
              <w:pStyle w:val="Tabletext"/>
            </w:pPr>
            <w:r w:rsidRPr="004B7BEF">
              <w:t>NHS England</w:t>
            </w:r>
          </w:p>
        </w:tc>
        <w:tc>
          <w:tcPr>
            <w:tcW w:w="1875" w:type="pct"/>
            <w:tcBorders>
              <w:top w:val="nil"/>
              <w:left w:val="single" w:sz="4" w:space="0" w:color="auto"/>
              <w:bottom w:val="single" w:sz="4" w:space="0" w:color="auto"/>
              <w:right w:val="single" w:sz="4" w:space="0" w:color="auto"/>
            </w:tcBorders>
          </w:tcPr>
          <w:p w14:paraId="7661A3C5" w14:textId="31EDC961" w:rsidR="002D2A68" w:rsidRPr="00EE065C" w:rsidRDefault="002D2A68" w:rsidP="004B7BEF">
            <w:pPr>
              <w:pStyle w:val="Tabletext"/>
            </w:pPr>
            <w:r w:rsidRPr="004B7BEF">
              <w:t>NHSE Obesity team are supportive in principle of the proposal to expand the list of clinical conditions in which annual measurement of BMI is undertaken. This should serve as a method to improve data quality with regards to annual recordings of BMI across the proposed conditions. Depending on the aim of the additions to the indicator, consideration may be made to the LTCs noted in NHSE Obesity team's response.</w:t>
            </w:r>
          </w:p>
        </w:tc>
        <w:tc>
          <w:tcPr>
            <w:tcW w:w="1485" w:type="pct"/>
            <w:tcBorders>
              <w:top w:val="nil"/>
              <w:left w:val="single" w:sz="4" w:space="0" w:color="auto"/>
              <w:bottom w:val="single" w:sz="4" w:space="0" w:color="auto"/>
              <w:right w:val="single" w:sz="4" w:space="0" w:color="auto"/>
            </w:tcBorders>
          </w:tcPr>
          <w:p w14:paraId="182C64CD" w14:textId="261D1489" w:rsidR="002D2A68" w:rsidRPr="004B7BEF" w:rsidRDefault="00192EBC" w:rsidP="004B7BEF">
            <w:pPr>
              <w:pStyle w:val="Tabletext"/>
            </w:pPr>
            <w:r>
              <w:t>Thank you for your comment.</w:t>
            </w:r>
          </w:p>
        </w:tc>
      </w:tr>
      <w:tr w:rsidR="002D2A68" w:rsidRPr="00215444" w14:paraId="57E0139D" w14:textId="7A23C497" w:rsidTr="002D2A68">
        <w:tc>
          <w:tcPr>
            <w:tcW w:w="165" w:type="pct"/>
          </w:tcPr>
          <w:p w14:paraId="57CAFB65" w14:textId="4156C714" w:rsidR="002D2A68" w:rsidRPr="00B21341" w:rsidRDefault="002D2A68" w:rsidP="004B7BEF">
            <w:pPr>
              <w:pStyle w:val="Tabletext"/>
            </w:pPr>
            <w:r>
              <w:t>6</w:t>
            </w:r>
          </w:p>
        </w:tc>
        <w:tc>
          <w:tcPr>
            <w:tcW w:w="525" w:type="pct"/>
          </w:tcPr>
          <w:p w14:paraId="211B2504" w14:textId="7B28D1FB" w:rsidR="002D2A68" w:rsidRPr="00B21341" w:rsidRDefault="002D2A68" w:rsidP="004B7BEF">
            <w:pPr>
              <w:pStyle w:val="Tabletext"/>
            </w:pPr>
            <w:r>
              <w:t>Specification</w:t>
            </w:r>
          </w:p>
        </w:tc>
        <w:tc>
          <w:tcPr>
            <w:tcW w:w="950" w:type="pct"/>
            <w:tcBorders>
              <w:top w:val="nil"/>
              <w:left w:val="single" w:sz="4" w:space="0" w:color="auto"/>
              <w:bottom w:val="single" w:sz="4" w:space="0" w:color="auto"/>
              <w:right w:val="single" w:sz="4" w:space="0" w:color="auto"/>
            </w:tcBorders>
          </w:tcPr>
          <w:p w14:paraId="2967BD55" w14:textId="4CF17E93" w:rsidR="002D2A68" w:rsidRPr="005B73E7" w:rsidRDefault="002D2A68" w:rsidP="004B7BEF">
            <w:pPr>
              <w:pStyle w:val="Tabletext"/>
            </w:pPr>
            <w:r w:rsidRPr="004B7BEF">
              <w:t>NHS England</w:t>
            </w:r>
          </w:p>
        </w:tc>
        <w:tc>
          <w:tcPr>
            <w:tcW w:w="1875" w:type="pct"/>
            <w:tcBorders>
              <w:top w:val="nil"/>
              <w:left w:val="single" w:sz="4" w:space="0" w:color="auto"/>
              <w:bottom w:val="single" w:sz="4" w:space="0" w:color="auto"/>
              <w:right w:val="single" w:sz="4" w:space="0" w:color="auto"/>
            </w:tcBorders>
          </w:tcPr>
          <w:p w14:paraId="0BD7262C" w14:textId="0A536E86" w:rsidR="002D2A68" w:rsidRPr="00EE065C" w:rsidRDefault="002D2A68" w:rsidP="004B7BEF">
            <w:pPr>
              <w:pStyle w:val="Tabletext"/>
            </w:pPr>
            <w:r w:rsidRPr="004B7BEF">
              <w:t xml:space="preserve">It would be helpful to understand what modelling has been undertaken to determine the cohort size across all the proposed comorbidities, and the impact on time and capacity to take and record BMI for this cohort in primary care. Even though such an initiative is clinically desirable, it is still helpful to understand the impact on time and capacity in primary care to undertake measurements and record </w:t>
            </w:r>
            <w:proofErr w:type="gramStart"/>
            <w:r w:rsidRPr="004B7BEF">
              <w:t>data, and</w:t>
            </w:r>
            <w:proofErr w:type="gramEnd"/>
            <w:r w:rsidRPr="004B7BEF">
              <w:t xml:space="preserve"> offer healthcare advice/interventions/referrals.</w:t>
            </w:r>
            <w:r w:rsidRPr="004B7BEF">
              <w:br/>
              <w:t>It would be useful to understand the process used in determining the proposed clinical conditions to be included. Other well-known weight-related conditions have not been included, including such as MASLD, osteoarthritis (particularly hip and knee), idiopathic intracranial hypertension, and chronic kidney disease. In addition, asthma and epilepsy are not included. Further, long term conditions that are often associated with reduced mobility such as Myalgic Encephalomyelitis (ME), fibromyalgia could be considered.</w:t>
            </w:r>
            <w:r w:rsidRPr="004B7BEF">
              <w:br/>
              <w:t xml:space="preserve">There are many LTCs with good evidence base for associations with excess weight and obesity and either the condition itself, or obesity arising </w:t>
            </w:r>
            <w:proofErr w:type="gramStart"/>
            <w:r w:rsidRPr="004B7BEF">
              <w:t>as a consequence of</w:t>
            </w:r>
            <w:proofErr w:type="gramEnd"/>
            <w:r w:rsidRPr="004B7BEF">
              <w:t xml:space="preserve"> treatment for that condition (such as Epilepsy), that are not included here. </w:t>
            </w:r>
            <w:r w:rsidRPr="004B7BEF">
              <w:br/>
              <w:t>Several other weight related conditions: metabolic liver disease (MASLD/NAFLD and all progressive forms), IIH, CKD, asthma, epilepsy (particularly on medications), Endometrial hyperplasia, weight-related cancer (there are now at least 13 cancers considered weight-related).</w:t>
            </w:r>
          </w:p>
        </w:tc>
        <w:tc>
          <w:tcPr>
            <w:tcW w:w="1485" w:type="pct"/>
            <w:tcBorders>
              <w:top w:val="nil"/>
              <w:left w:val="single" w:sz="4" w:space="0" w:color="auto"/>
              <w:bottom w:val="single" w:sz="4" w:space="0" w:color="auto"/>
              <w:right w:val="single" w:sz="4" w:space="0" w:color="auto"/>
            </w:tcBorders>
          </w:tcPr>
          <w:p w14:paraId="0DDB6475" w14:textId="0715D306" w:rsidR="0079335B" w:rsidRDefault="00192EBC" w:rsidP="004B7BEF">
            <w:pPr>
              <w:pStyle w:val="Tabletext"/>
            </w:pPr>
            <w:r>
              <w:t>Thank you for your comment. Details of estimate patients per practice can be found in the validity assessment published alongside the final indicator. It was not possible to determine cohort size for each individual long-term condition.</w:t>
            </w:r>
            <w:r w:rsidR="00D773A7">
              <w:t xml:space="preserve"> The committee did not believe that the additional conditions would have a substantial impact on the total numbers of patients per practice.</w:t>
            </w:r>
          </w:p>
          <w:p w14:paraId="4A2E98C6" w14:textId="025C21A2" w:rsidR="002156C6" w:rsidRDefault="002156C6" w:rsidP="002156C6">
            <w:pPr>
              <w:pStyle w:val="Tabletext"/>
            </w:pPr>
            <w:r>
              <w:t>T</w:t>
            </w:r>
            <w:r w:rsidRPr="003C64E9">
              <w:t xml:space="preserve">he long-term conditions </w:t>
            </w:r>
            <w:r>
              <w:t xml:space="preserve">included in the indicator are supported by available NICE guidance </w:t>
            </w:r>
            <w:r w:rsidR="002A5123">
              <w:t xml:space="preserve">that recommend measurement </w:t>
            </w:r>
            <w:r>
              <w:t xml:space="preserve">for the conditions identified and aligns with </w:t>
            </w:r>
            <w:hyperlink r:id="rId23" w:history="1">
              <w:r w:rsidRPr="002D2A68">
                <w:rPr>
                  <w:rStyle w:val="Hyperlink"/>
                </w:rPr>
                <w:t>QS212 Statement 1 Recording BMI and waist-to-height ratio in adults</w:t>
              </w:r>
            </w:hyperlink>
            <w:r>
              <w:t xml:space="preserve">. </w:t>
            </w:r>
          </w:p>
          <w:p w14:paraId="18254F41" w14:textId="0055E601" w:rsidR="00192EBC" w:rsidRDefault="002156C6" w:rsidP="004B7BEF">
            <w:pPr>
              <w:pStyle w:val="Tabletext"/>
            </w:pPr>
            <w:r>
              <w:t xml:space="preserve">During development of the relevant NICE guidance topics considerations of resource impact are made. </w:t>
            </w:r>
            <w:r w:rsidR="00D773A7">
              <w:t>R</w:t>
            </w:r>
            <w:r w:rsidR="00192EBC" w:rsidRPr="00192EBC">
              <w:t>esource impact assessment</w:t>
            </w:r>
            <w:r w:rsidR="00D773A7">
              <w:t>s</w:t>
            </w:r>
            <w:r w:rsidR="00192EBC" w:rsidRPr="00192EBC">
              <w:t xml:space="preserve"> </w:t>
            </w:r>
            <w:r w:rsidR="00D773A7">
              <w:t>have</w:t>
            </w:r>
            <w:r w:rsidR="00192EBC" w:rsidRPr="00192EBC">
              <w:t xml:space="preserve"> been published for</w:t>
            </w:r>
            <w:r w:rsidR="00D773A7">
              <w:t xml:space="preserve"> </w:t>
            </w:r>
            <w:r w:rsidR="00192EBC" w:rsidRPr="00192EBC">
              <w:t>guideline</w:t>
            </w:r>
            <w:r w:rsidR="00D773A7">
              <w:t>s underpinning individual conditions, where available</w:t>
            </w:r>
            <w:r w:rsidR="00192EBC" w:rsidRPr="00192EBC">
              <w:t>.</w:t>
            </w:r>
          </w:p>
          <w:p w14:paraId="2E5C1791" w14:textId="24C08ED3" w:rsidR="00095881" w:rsidRDefault="00095881" w:rsidP="004B7BEF">
            <w:pPr>
              <w:pStyle w:val="Tabletext"/>
            </w:pPr>
            <w:r>
              <w:t>A r</w:t>
            </w:r>
            <w:r w:rsidR="002156C6">
              <w:t xml:space="preserve">esource impact assessment for </w:t>
            </w:r>
            <w:r>
              <w:t xml:space="preserve">this </w:t>
            </w:r>
            <w:r w:rsidR="002156C6">
              <w:t xml:space="preserve">indicator is </w:t>
            </w:r>
            <w:r w:rsidRPr="00095881">
              <w:t xml:space="preserve">published on the </w:t>
            </w:r>
            <w:r>
              <w:t>T</w:t>
            </w:r>
            <w:r w:rsidRPr="00095881">
              <w:t>ools and resources tab</w:t>
            </w:r>
            <w:r w:rsidR="002156C6">
              <w:t xml:space="preserve">. </w:t>
            </w:r>
          </w:p>
          <w:p w14:paraId="4939D6EE" w14:textId="14AC3AE5" w:rsidR="00D773A7" w:rsidRPr="004B7BEF" w:rsidRDefault="00024FEF" w:rsidP="004B7BEF">
            <w:pPr>
              <w:pStyle w:val="Tabletext"/>
            </w:pPr>
            <w:r>
              <w:t>We acknowledge that there may be other conditions with links to overweight and obesity</w:t>
            </w:r>
            <w:r w:rsidR="000C4C59">
              <w:t>, however it was not the aim of this consultation to generate suggestions</w:t>
            </w:r>
            <w:r w:rsidR="006C14E7">
              <w:t xml:space="preserve"> that are not supported by NICE guidance</w:t>
            </w:r>
            <w:r w:rsidR="000C4C59">
              <w:t>.</w:t>
            </w:r>
          </w:p>
        </w:tc>
      </w:tr>
      <w:tr w:rsidR="002D2A68" w:rsidRPr="00215444" w14:paraId="34F0F631" w14:textId="4AF74EE3" w:rsidTr="002D2A68">
        <w:tc>
          <w:tcPr>
            <w:tcW w:w="165" w:type="pct"/>
          </w:tcPr>
          <w:p w14:paraId="7F978C48" w14:textId="392023A8" w:rsidR="002D2A68" w:rsidRPr="00B21341" w:rsidRDefault="002D2A68" w:rsidP="004B7BEF">
            <w:pPr>
              <w:pStyle w:val="Tabletext"/>
            </w:pPr>
            <w:r>
              <w:t>7</w:t>
            </w:r>
          </w:p>
        </w:tc>
        <w:tc>
          <w:tcPr>
            <w:tcW w:w="525" w:type="pct"/>
          </w:tcPr>
          <w:p w14:paraId="73EDACA6" w14:textId="78DE5B03" w:rsidR="002D2A68" w:rsidRPr="00B21341" w:rsidRDefault="002D2A68" w:rsidP="004B7BEF">
            <w:pPr>
              <w:pStyle w:val="Tabletext"/>
            </w:pPr>
            <w:r>
              <w:t>Specification</w:t>
            </w:r>
          </w:p>
        </w:tc>
        <w:tc>
          <w:tcPr>
            <w:tcW w:w="950" w:type="pct"/>
            <w:tcBorders>
              <w:top w:val="nil"/>
              <w:left w:val="single" w:sz="4" w:space="0" w:color="auto"/>
              <w:bottom w:val="single" w:sz="4" w:space="0" w:color="auto"/>
              <w:right w:val="single" w:sz="4" w:space="0" w:color="auto"/>
            </w:tcBorders>
          </w:tcPr>
          <w:p w14:paraId="00055E4F" w14:textId="6791ABBC" w:rsidR="002D2A68" w:rsidRPr="005B73E7" w:rsidRDefault="002D2A68" w:rsidP="004B7BEF">
            <w:pPr>
              <w:pStyle w:val="Tabletext"/>
            </w:pPr>
            <w:r w:rsidRPr="004B7BEF">
              <w:t>NHS England</w:t>
            </w:r>
          </w:p>
        </w:tc>
        <w:tc>
          <w:tcPr>
            <w:tcW w:w="1875" w:type="pct"/>
            <w:tcBorders>
              <w:top w:val="nil"/>
              <w:left w:val="single" w:sz="4" w:space="0" w:color="auto"/>
              <w:bottom w:val="single" w:sz="4" w:space="0" w:color="auto"/>
              <w:right w:val="single" w:sz="4" w:space="0" w:color="auto"/>
            </w:tcBorders>
          </w:tcPr>
          <w:p w14:paraId="68FFB5DE" w14:textId="3DC3CDD1" w:rsidR="002D2A68" w:rsidRPr="00EE065C" w:rsidRDefault="002D2A68" w:rsidP="004B7BEF">
            <w:pPr>
              <w:pStyle w:val="Tabletext"/>
            </w:pPr>
            <w:r w:rsidRPr="004B7BEF">
              <w:t>This omits women with previous history of gestational diabetes mellitus, who have the highest risk for progression to type 2 diabetes mellitus and premature cardiovascular disease of all groups at high risk of developing diabetes, with additional intergenerational risk in offspring. Women with history of GDM should be included in this priority cohort.</w:t>
            </w:r>
            <w:r w:rsidRPr="004B7BEF">
              <w:br/>
              <w:t xml:space="preserve">The conditions listed should align with NICE products. The NICE guidelines for the following conditions specifically advise on reviews with BMI checks:  </w:t>
            </w:r>
            <w:r w:rsidRPr="004B7BEF">
              <w:br/>
              <w:t xml:space="preserve">• people at high risk of developing type 2 diabetes </w:t>
            </w:r>
            <w:r w:rsidRPr="004B7BEF">
              <w:br/>
              <w:t>• polycystic ovary syndrome</w:t>
            </w:r>
            <w:r w:rsidRPr="004B7BEF">
              <w:br/>
              <w:t xml:space="preserve">There is no specific guideline for dyslipidaemia, however on review of the following guideline: Scenario: Secondary prevention of CVD | Management | Lipid modification - CVD prevention | CKS | NICE. Checking BMI is explicitly mentioned in the ‘initial assessment section’, not in further follow up. </w:t>
            </w:r>
            <w:r w:rsidRPr="004B7BEF">
              <w:br/>
              <w:t xml:space="preserve">The guideline for 1 Obstructive sleep apnoea/hypopnoea syndrome | Obstructive sleep apnoea/hypopnoea syndrome and obesity hypoventilation syndrome in over 16s | Guidance | </w:t>
            </w:r>
            <w:proofErr w:type="gramStart"/>
            <w:r w:rsidRPr="004B7BEF">
              <w:t>NICE,  recommends</w:t>
            </w:r>
            <w:proofErr w:type="gramEnd"/>
            <w:r w:rsidRPr="004B7BEF">
              <w:t xml:space="preserve"> “Once CPAP is optimised, consider annual follow-up for people with OSAHS” but does not state what should be considered at this follow up. </w:t>
            </w:r>
            <w:r w:rsidRPr="004B7BEF">
              <w:br/>
              <w:t xml:space="preserve">NICE guideline for schizophrenia, bipolar disorder or other psychoses states only to record weight at the annual review, not height – recommendation 1.5.3.2. Consider adjusting to include height to align with the proposed indicator. </w:t>
            </w:r>
            <w:r w:rsidRPr="004B7BEF">
              <w:br/>
              <w:t xml:space="preserve">NICE quality standard Quality statement 4: Annual health check | Learning disability: care and support of people growing older | Quality standards | NICE does not specifically state weight/BMI but states ‘a collaborative review of physical and mental health’ should be undertaken. </w:t>
            </w:r>
            <w:r w:rsidRPr="004B7BEF">
              <w:br/>
              <w:t>Whilst most clinicians would consider BMI measurement to be a holistic aspect of long-term condition review appointments for the listed conditions, the proposed indicator should align with current NICE guidelines and avoid conflicting information across various resources to avoid confusion for clinicians. Risk should be considered in terms of health and health related outcomes, rather than by weight or BMI alone.</w:t>
            </w:r>
          </w:p>
        </w:tc>
        <w:tc>
          <w:tcPr>
            <w:tcW w:w="1485" w:type="pct"/>
            <w:tcBorders>
              <w:top w:val="nil"/>
              <w:left w:val="single" w:sz="4" w:space="0" w:color="auto"/>
              <w:bottom w:val="single" w:sz="4" w:space="0" w:color="auto"/>
              <w:right w:val="single" w:sz="4" w:space="0" w:color="auto"/>
            </w:tcBorders>
          </w:tcPr>
          <w:p w14:paraId="68B16D7E" w14:textId="77777777" w:rsidR="002D2A68" w:rsidRDefault="000C4C59" w:rsidP="004B7BEF">
            <w:pPr>
              <w:pStyle w:val="Tabletext"/>
            </w:pPr>
            <w:r>
              <w:t xml:space="preserve">Thank you for your comment.  </w:t>
            </w:r>
            <w:r w:rsidRPr="000C4C59">
              <w:t>The NICE team has reviewed the relevant guidance and are satisfied that BMI recording is supported</w:t>
            </w:r>
            <w:r>
              <w:t>.</w:t>
            </w:r>
          </w:p>
          <w:p w14:paraId="0D932F4D" w14:textId="77777777" w:rsidR="003C0E4C" w:rsidRDefault="003C0E4C" w:rsidP="004B7BEF">
            <w:pPr>
              <w:pStyle w:val="Tabletext"/>
            </w:pPr>
          </w:p>
          <w:p w14:paraId="74A56593" w14:textId="77777777" w:rsidR="0079335B" w:rsidRPr="0079335B" w:rsidRDefault="0079335B" w:rsidP="0079335B">
            <w:pPr>
              <w:pStyle w:val="Tabletext"/>
              <w:numPr>
                <w:ilvl w:val="0"/>
                <w:numId w:val="31"/>
              </w:numPr>
              <w:rPr>
                <w:lang w:val="en-US"/>
              </w:rPr>
            </w:pPr>
            <w:r w:rsidRPr="0079335B">
              <w:rPr>
                <w:lang w:val="en-US"/>
              </w:rPr>
              <w:t xml:space="preserve">chronic obstructive pulmonary disease - </w:t>
            </w:r>
            <w:hyperlink r:id="rId24" w:history="1">
              <w:r w:rsidRPr="0079335B">
                <w:rPr>
                  <w:rStyle w:val="Hyperlink"/>
                  <w:lang w:val="en-US"/>
                </w:rPr>
                <w:t>NICE's guideline on chronic obstructive pulmonary disease in over 16s</w:t>
              </w:r>
            </w:hyperlink>
            <w:r w:rsidRPr="0079335B">
              <w:rPr>
                <w:lang w:val="en-US"/>
              </w:rPr>
              <w:t>, recommendation 1.2.103​</w:t>
            </w:r>
          </w:p>
          <w:p w14:paraId="0836ACFF" w14:textId="6F813C23" w:rsidR="0079335B" w:rsidRPr="0079335B" w:rsidRDefault="0079335B" w:rsidP="003C0E4C">
            <w:pPr>
              <w:pStyle w:val="Tabletext"/>
              <w:ind w:left="720"/>
              <w:rPr>
                <w:lang w:val="en-US"/>
              </w:rPr>
            </w:pPr>
          </w:p>
          <w:p w14:paraId="34975807" w14:textId="77777777" w:rsidR="0079335B" w:rsidRPr="0079335B" w:rsidRDefault="0079335B" w:rsidP="0079335B">
            <w:pPr>
              <w:pStyle w:val="Tabletext"/>
              <w:numPr>
                <w:ilvl w:val="0"/>
                <w:numId w:val="31"/>
              </w:numPr>
              <w:rPr>
                <w:lang w:val="en-US"/>
              </w:rPr>
            </w:pPr>
            <w:r w:rsidRPr="0079335B">
              <w:rPr>
                <w:lang w:val="en-US"/>
              </w:rPr>
              <w:t xml:space="preserve">coronary heart disease - </w:t>
            </w:r>
            <w:hyperlink r:id="rId25" w:history="1">
              <w:r w:rsidRPr="0079335B">
                <w:rPr>
                  <w:rStyle w:val="Hyperlink"/>
                  <w:lang w:val="en-US"/>
                </w:rPr>
                <w:t>NICE's technology appraisal guidance on tirzepatide for managing overweight and obesity</w:t>
              </w:r>
            </w:hyperlink>
            <w:r w:rsidRPr="0079335B">
              <w:rPr>
                <w:lang w:val="en-US"/>
              </w:rPr>
              <w:t>​</w:t>
            </w:r>
          </w:p>
          <w:p w14:paraId="2D18D086" w14:textId="28811171" w:rsidR="0079335B" w:rsidRPr="0079335B" w:rsidRDefault="0079335B" w:rsidP="003C0E4C">
            <w:pPr>
              <w:pStyle w:val="Tabletext"/>
              <w:ind w:left="720"/>
              <w:rPr>
                <w:lang w:val="en-US"/>
              </w:rPr>
            </w:pPr>
          </w:p>
          <w:p w14:paraId="2C045F33" w14:textId="1490A175" w:rsidR="0079335B" w:rsidRPr="0079335B" w:rsidRDefault="0079335B" w:rsidP="0079335B">
            <w:pPr>
              <w:pStyle w:val="Tabletext"/>
              <w:numPr>
                <w:ilvl w:val="0"/>
                <w:numId w:val="31"/>
              </w:numPr>
              <w:rPr>
                <w:lang w:val="en-US"/>
              </w:rPr>
            </w:pPr>
            <w:r>
              <w:rPr>
                <w:lang w:val="en-US"/>
              </w:rPr>
              <w:t>h</w:t>
            </w:r>
            <w:r w:rsidRPr="0079335B">
              <w:rPr>
                <w:lang w:val="en-US"/>
              </w:rPr>
              <w:t xml:space="preserve">ypertension - </w:t>
            </w:r>
            <w:hyperlink r:id="rId26" w:history="1">
              <w:r w:rsidRPr="003C0E4C">
                <w:rPr>
                  <w:rStyle w:val="Hyperlink"/>
                  <w:lang w:val="en-US"/>
                </w:rPr>
                <w:t>NICE's technology appraisal guidance on tirzepatide for managing overweight and obesity</w:t>
              </w:r>
            </w:hyperlink>
            <w:r w:rsidRPr="0079335B">
              <w:rPr>
                <w:lang w:val="en-US"/>
              </w:rPr>
              <w:t>​</w:t>
            </w:r>
          </w:p>
          <w:p w14:paraId="3EC4FC0C" w14:textId="5C09B200" w:rsidR="0079335B" w:rsidRPr="0079335B" w:rsidRDefault="0079335B" w:rsidP="003C0E4C">
            <w:pPr>
              <w:pStyle w:val="Tabletext"/>
              <w:ind w:left="720"/>
              <w:rPr>
                <w:lang w:val="en-US"/>
              </w:rPr>
            </w:pPr>
          </w:p>
          <w:p w14:paraId="26062E01" w14:textId="77777777" w:rsidR="0079335B" w:rsidRPr="0079335B" w:rsidRDefault="0079335B" w:rsidP="0079335B">
            <w:pPr>
              <w:pStyle w:val="Tabletext"/>
              <w:numPr>
                <w:ilvl w:val="0"/>
                <w:numId w:val="31"/>
              </w:numPr>
              <w:rPr>
                <w:lang w:val="en-US"/>
              </w:rPr>
            </w:pPr>
            <w:r w:rsidRPr="0079335B">
              <w:rPr>
                <w:lang w:val="en-US"/>
              </w:rPr>
              <w:t xml:space="preserve">diabetes: type 1 or type 2 diabetes or at high risk of developing type 2 diabetes - </w:t>
            </w:r>
            <w:hyperlink r:id="rId27" w:history="1">
              <w:r w:rsidRPr="0079335B">
                <w:rPr>
                  <w:rStyle w:val="Hyperlink"/>
                  <w:lang w:val="en-US"/>
                </w:rPr>
                <w:t>NICE's guideline on type 2 diabetes: prevention in people at high risk</w:t>
              </w:r>
            </w:hyperlink>
            <w:r w:rsidRPr="0079335B">
              <w:rPr>
                <w:lang w:val="en-US"/>
              </w:rPr>
              <w:t>, recommendation 1.6.5​</w:t>
            </w:r>
          </w:p>
          <w:p w14:paraId="561FA771" w14:textId="1D5552F1" w:rsidR="0079335B" w:rsidRPr="0079335B" w:rsidRDefault="0079335B" w:rsidP="003C0E4C">
            <w:pPr>
              <w:pStyle w:val="Tabletext"/>
              <w:ind w:left="720"/>
              <w:rPr>
                <w:lang w:val="en-US"/>
              </w:rPr>
            </w:pPr>
          </w:p>
          <w:p w14:paraId="1767740B" w14:textId="77777777" w:rsidR="0079335B" w:rsidRPr="0079335B" w:rsidRDefault="0079335B" w:rsidP="0079335B">
            <w:pPr>
              <w:pStyle w:val="Tabletext"/>
              <w:numPr>
                <w:ilvl w:val="0"/>
                <w:numId w:val="31"/>
              </w:numPr>
              <w:rPr>
                <w:lang w:val="en-US"/>
              </w:rPr>
            </w:pPr>
            <w:r w:rsidRPr="0079335B">
              <w:rPr>
                <w:lang w:val="en-US"/>
              </w:rPr>
              <w:t xml:space="preserve">Dyslipidaemia - </w:t>
            </w:r>
            <w:hyperlink r:id="rId28" w:history="1">
              <w:r w:rsidRPr="0079335B">
                <w:rPr>
                  <w:rStyle w:val="Hyperlink"/>
                  <w:lang w:val="en-US"/>
                </w:rPr>
                <w:t>NICE's technology appraisal guidance on tirzepatide for managing overweight and obesity</w:t>
              </w:r>
            </w:hyperlink>
            <w:r w:rsidRPr="0079335B">
              <w:rPr>
                <w:lang w:val="en-US"/>
              </w:rPr>
              <w:t>​</w:t>
            </w:r>
          </w:p>
          <w:p w14:paraId="76DB833D" w14:textId="064EEC77" w:rsidR="0079335B" w:rsidRPr="0079335B" w:rsidRDefault="0079335B" w:rsidP="003C0E4C">
            <w:pPr>
              <w:pStyle w:val="Tabletext"/>
              <w:ind w:left="720"/>
              <w:rPr>
                <w:lang w:val="en-US"/>
              </w:rPr>
            </w:pPr>
          </w:p>
          <w:p w14:paraId="5E46B2AB" w14:textId="77777777" w:rsidR="0079335B" w:rsidRPr="0079335B" w:rsidRDefault="0079335B" w:rsidP="0079335B">
            <w:pPr>
              <w:pStyle w:val="Tabletext"/>
              <w:numPr>
                <w:ilvl w:val="0"/>
                <w:numId w:val="31"/>
              </w:numPr>
              <w:rPr>
                <w:lang w:val="en-US"/>
              </w:rPr>
            </w:pPr>
            <w:r w:rsidRPr="0079335B">
              <w:rPr>
                <w:lang w:val="en-US"/>
              </w:rPr>
              <w:t xml:space="preserve">heart failure - </w:t>
            </w:r>
            <w:hyperlink r:id="rId29" w:history="1">
              <w:r w:rsidRPr="0079335B">
                <w:rPr>
                  <w:rStyle w:val="Hyperlink"/>
                  <w:lang w:val="en-US"/>
                </w:rPr>
                <w:t>NICE's technology appraisal guidance on tirzepatide for managing overweight and obesity</w:t>
              </w:r>
            </w:hyperlink>
            <w:r w:rsidRPr="0079335B">
              <w:rPr>
                <w:lang w:val="en-US"/>
              </w:rPr>
              <w:t>​</w:t>
            </w:r>
          </w:p>
          <w:p w14:paraId="59413F88" w14:textId="7CE6A8A3" w:rsidR="0079335B" w:rsidRPr="0079335B" w:rsidRDefault="0079335B" w:rsidP="003C0E4C">
            <w:pPr>
              <w:pStyle w:val="Tabletext"/>
              <w:ind w:left="720"/>
              <w:rPr>
                <w:lang w:val="en-US"/>
              </w:rPr>
            </w:pPr>
          </w:p>
          <w:p w14:paraId="372F3673" w14:textId="13601627" w:rsidR="0079335B" w:rsidRPr="0079335B" w:rsidRDefault="0079335B" w:rsidP="0079335B">
            <w:pPr>
              <w:pStyle w:val="Tabletext"/>
              <w:numPr>
                <w:ilvl w:val="0"/>
                <w:numId w:val="31"/>
              </w:numPr>
              <w:rPr>
                <w:lang w:val="en-US"/>
              </w:rPr>
            </w:pPr>
            <w:proofErr w:type="gramStart"/>
            <w:r w:rsidRPr="0079335B">
              <w:rPr>
                <w:lang w:val="en-US"/>
              </w:rPr>
              <w:t>learning</w:t>
            </w:r>
            <w:proofErr w:type="gramEnd"/>
            <w:r w:rsidRPr="0079335B">
              <w:rPr>
                <w:lang w:val="en-US"/>
              </w:rPr>
              <w:t xml:space="preserve"> disability -  </w:t>
            </w:r>
            <w:hyperlink r:id="rId30" w:history="1">
              <w:r w:rsidRPr="003C0E4C">
                <w:rPr>
                  <w:rStyle w:val="Hyperlink"/>
                  <w:lang w:val="en-US"/>
                </w:rPr>
                <w:t>NICE's CKS on polycystic ovarian syndrome​</w:t>
              </w:r>
            </w:hyperlink>
          </w:p>
          <w:p w14:paraId="29489ECA" w14:textId="77C77ECF" w:rsidR="0079335B" w:rsidRPr="0079335B" w:rsidRDefault="0079335B" w:rsidP="003C0E4C">
            <w:pPr>
              <w:pStyle w:val="Tabletext"/>
              <w:ind w:left="720"/>
              <w:rPr>
                <w:lang w:val="en-US"/>
              </w:rPr>
            </w:pPr>
          </w:p>
          <w:p w14:paraId="62006A05" w14:textId="556E054C" w:rsidR="0079335B" w:rsidRPr="0079335B" w:rsidRDefault="0079335B" w:rsidP="0079335B">
            <w:pPr>
              <w:pStyle w:val="Tabletext"/>
              <w:numPr>
                <w:ilvl w:val="0"/>
                <w:numId w:val="31"/>
              </w:numPr>
              <w:rPr>
                <w:lang w:val="en-US"/>
              </w:rPr>
            </w:pPr>
            <w:r w:rsidRPr="0079335B">
              <w:rPr>
                <w:lang w:val="en-US"/>
              </w:rPr>
              <w:t xml:space="preserve">obstructive sleep apnoea - </w:t>
            </w:r>
            <w:hyperlink r:id="rId31" w:history="1">
              <w:r w:rsidRPr="003C0E4C">
                <w:rPr>
                  <w:rStyle w:val="Hyperlink"/>
                  <w:lang w:val="en-US"/>
                </w:rPr>
                <w:t>NICE's technology appraisal guidance on tirzepatide for managing overweight and obesity​</w:t>
              </w:r>
            </w:hyperlink>
          </w:p>
          <w:p w14:paraId="44F03C53" w14:textId="1DC718EE" w:rsidR="0079335B" w:rsidRPr="0079335B" w:rsidRDefault="0079335B" w:rsidP="003C0E4C">
            <w:pPr>
              <w:pStyle w:val="Tabletext"/>
              <w:ind w:left="720"/>
              <w:rPr>
                <w:lang w:val="en-US"/>
              </w:rPr>
            </w:pPr>
          </w:p>
          <w:p w14:paraId="4F471551" w14:textId="5B1B3C03" w:rsidR="0079335B" w:rsidRPr="0079335B" w:rsidRDefault="0079335B" w:rsidP="0079335B">
            <w:pPr>
              <w:pStyle w:val="Tabletext"/>
              <w:numPr>
                <w:ilvl w:val="0"/>
                <w:numId w:val="31"/>
              </w:numPr>
              <w:rPr>
                <w:lang w:val="en-US"/>
              </w:rPr>
            </w:pPr>
            <w:r w:rsidRPr="0079335B">
              <w:rPr>
                <w:lang w:val="en-US"/>
              </w:rPr>
              <w:t xml:space="preserve">peripheral arterial disease - </w:t>
            </w:r>
            <w:hyperlink r:id="rId32" w:history="1">
              <w:r w:rsidRPr="003C0E4C">
                <w:rPr>
                  <w:rStyle w:val="Hyperlink"/>
                  <w:lang w:val="en-US"/>
                </w:rPr>
                <w:t>NICE's technology appraisal guidance on tirzepatide for managing overweight and obesity​</w:t>
              </w:r>
            </w:hyperlink>
          </w:p>
          <w:p w14:paraId="7509A41B" w14:textId="40ED3771" w:rsidR="0079335B" w:rsidRPr="0079335B" w:rsidRDefault="0079335B" w:rsidP="003C0E4C">
            <w:pPr>
              <w:pStyle w:val="Tabletext"/>
              <w:ind w:left="720"/>
              <w:rPr>
                <w:lang w:val="en-US"/>
              </w:rPr>
            </w:pPr>
          </w:p>
          <w:p w14:paraId="5B5D7EFE" w14:textId="133D355E" w:rsidR="0079335B" w:rsidRPr="0079335B" w:rsidRDefault="0079335B" w:rsidP="003C0E4C">
            <w:pPr>
              <w:pStyle w:val="Tabletext"/>
              <w:rPr>
                <w:lang w:val="en-US"/>
              </w:rPr>
            </w:pPr>
          </w:p>
          <w:p w14:paraId="2CDDCCA9" w14:textId="77777777" w:rsidR="0079335B" w:rsidRPr="0079335B" w:rsidRDefault="0079335B" w:rsidP="0079335B">
            <w:pPr>
              <w:pStyle w:val="Tabletext"/>
              <w:numPr>
                <w:ilvl w:val="0"/>
                <w:numId w:val="31"/>
              </w:numPr>
              <w:rPr>
                <w:lang w:val="en-US"/>
              </w:rPr>
            </w:pPr>
            <w:r w:rsidRPr="0079335B">
              <w:rPr>
                <w:lang w:val="en-US"/>
              </w:rPr>
              <w:t xml:space="preserve">schizophrenia, bipolar disorder or other psychoses - </w:t>
            </w:r>
            <w:hyperlink r:id="rId33" w:history="1">
              <w:r w:rsidRPr="0079335B">
                <w:rPr>
                  <w:rStyle w:val="Hyperlink"/>
                  <w:lang w:val="en-US"/>
                </w:rPr>
                <w:t>NICE's guideline on psychosis and schizophrenia in adults</w:t>
              </w:r>
            </w:hyperlink>
            <w:r w:rsidRPr="0079335B">
              <w:rPr>
                <w:lang w:val="en-US"/>
              </w:rPr>
              <w:t>, recommendation 1.1.2.5; </w:t>
            </w:r>
            <w:hyperlink r:id="rId34" w:history="1">
              <w:r w:rsidRPr="0079335B">
                <w:rPr>
                  <w:rStyle w:val="Hyperlink"/>
                  <w:lang w:val="en-US"/>
                </w:rPr>
                <w:t>NICE's guideline on bipolar disorder</w:t>
              </w:r>
            </w:hyperlink>
            <w:r w:rsidRPr="0079335B">
              <w:rPr>
                <w:lang w:val="en-US"/>
              </w:rPr>
              <w:t>​</w:t>
            </w:r>
          </w:p>
          <w:p w14:paraId="540148EF" w14:textId="6DB2AFE4" w:rsidR="0079335B" w:rsidRPr="0079335B" w:rsidRDefault="0079335B" w:rsidP="003C0E4C">
            <w:pPr>
              <w:pStyle w:val="Tabletext"/>
              <w:ind w:left="720"/>
              <w:rPr>
                <w:lang w:val="en-US"/>
              </w:rPr>
            </w:pPr>
          </w:p>
          <w:p w14:paraId="5057D4FC" w14:textId="77777777" w:rsidR="0079335B" w:rsidRPr="0079335B" w:rsidRDefault="0079335B" w:rsidP="0079335B">
            <w:pPr>
              <w:pStyle w:val="Tabletext"/>
              <w:numPr>
                <w:ilvl w:val="0"/>
                <w:numId w:val="31"/>
              </w:numPr>
              <w:rPr>
                <w:lang w:val="en-US"/>
              </w:rPr>
            </w:pPr>
            <w:r w:rsidRPr="0079335B">
              <w:rPr>
                <w:lang w:val="en-US"/>
              </w:rPr>
              <w:t xml:space="preserve">stroke or transient ischemic attack. - </w:t>
            </w:r>
            <w:hyperlink r:id="rId35" w:history="1">
              <w:r w:rsidRPr="0079335B">
                <w:rPr>
                  <w:rStyle w:val="Hyperlink"/>
                  <w:lang w:val="en-US"/>
                </w:rPr>
                <w:t>NICE's technology appraisal guidance on tirzepatide for managing overweight and obesity</w:t>
              </w:r>
            </w:hyperlink>
          </w:p>
          <w:p w14:paraId="0C9A3FEC" w14:textId="57AAEBFD" w:rsidR="0079335B" w:rsidRPr="004B7BEF" w:rsidRDefault="0079335B" w:rsidP="004B7BEF">
            <w:pPr>
              <w:pStyle w:val="Tabletext"/>
            </w:pPr>
          </w:p>
        </w:tc>
      </w:tr>
      <w:tr w:rsidR="002D2A68" w:rsidRPr="00215444" w14:paraId="25D5C15C" w14:textId="1492F1F7" w:rsidTr="002D2A68">
        <w:tc>
          <w:tcPr>
            <w:tcW w:w="165" w:type="pct"/>
          </w:tcPr>
          <w:p w14:paraId="63B57BA4" w14:textId="2104B242" w:rsidR="002D2A68" w:rsidRPr="00B21341" w:rsidRDefault="002D2A68" w:rsidP="004B7BEF">
            <w:pPr>
              <w:pStyle w:val="Tabletext"/>
            </w:pPr>
            <w:r>
              <w:t>8</w:t>
            </w:r>
          </w:p>
        </w:tc>
        <w:tc>
          <w:tcPr>
            <w:tcW w:w="525" w:type="pct"/>
          </w:tcPr>
          <w:p w14:paraId="445533F2" w14:textId="03AF2F12" w:rsidR="002D2A68" w:rsidRPr="00B21341" w:rsidRDefault="002D2A68" w:rsidP="004B7BEF">
            <w:pPr>
              <w:pStyle w:val="Tabletext"/>
            </w:pPr>
            <w:r>
              <w:t>General</w:t>
            </w:r>
          </w:p>
        </w:tc>
        <w:tc>
          <w:tcPr>
            <w:tcW w:w="950" w:type="pct"/>
            <w:tcBorders>
              <w:top w:val="nil"/>
              <w:left w:val="single" w:sz="4" w:space="0" w:color="auto"/>
              <w:bottom w:val="single" w:sz="4" w:space="0" w:color="auto"/>
              <w:right w:val="single" w:sz="4" w:space="0" w:color="auto"/>
            </w:tcBorders>
          </w:tcPr>
          <w:p w14:paraId="13B69DF0" w14:textId="5A763F6F" w:rsidR="002D2A68" w:rsidRPr="005B73E7" w:rsidRDefault="002D2A68" w:rsidP="004B7BEF">
            <w:pPr>
              <w:pStyle w:val="Tabletext"/>
            </w:pPr>
            <w:r w:rsidRPr="004B7BEF">
              <w:t>Primary Care Respiratory Society (PCRS)</w:t>
            </w:r>
          </w:p>
        </w:tc>
        <w:tc>
          <w:tcPr>
            <w:tcW w:w="1875" w:type="pct"/>
            <w:tcBorders>
              <w:top w:val="nil"/>
              <w:left w:val="single" w:sz="4" w:space="0" w:color="auto"/>
              <w:bottom w:val="single" w:sz="4" w:space="0" w:color="auto"/>
              <w:right w:val="single" w:sz="4" w:space="0" w:color="auto"/>
            </w:tcBorders>
          </w:tcPr>
          <w:p w14:paraId="5FD5BD8D" w14:textId="1BBB9B2D" w:rsidR="002D2A68" w:rsidRPr="00EE065C" w:rsidRDefault="002D2A68" w:rsidP="004B7BEF">
            <w:pPr>
              <w:pStyle w:val="Tabletext"/>
            </w:pPr>
            <w:r w:rsidRPr="004B7BEF">
              <w:t>Section 1.6: In children with asthma, a major risk factor for poor outcomes is obesity.</w:t>
            </w:r>
            <w:r w:rsidRPr="004B7BEF">
              <w:br/>
            </w:r>
            <w:r w:rsidRPr="004B7BEF">
              <w:br/>
              <w:t>Yet in a UK study of over 100,000 children, BMI was not measured in 40% of children with asthma.</w:t>
            </w:r>
            <w:r w:rsidRPr="004B7BEF">
              <w:br/>
            </w:r>
            <w:r w:rsidRPr="004B7BEF">
              <w:br/>
              <w:t>PMID: 38071524</w:t>
            </w:r>
          </w:p>
        </w:tc>
        <w:tc>
          <w:tcPr>
            <w:tcW w:w="1485" w:type="pct"/>
            <w:tcBorders>
              <w:top w:val="nil"/>
              <w:left w:val="single" w:sz="4" w:space="0" w:color="auto"/>
              <w:bottom w:val="single" w:sz="4" w:space="0" w:color="auto"/>
              <w:right w:val="single" w:sz="4" w:space="0" w:color="auto"/>
            </w:tcBorders>
          </w:tcPr>
          <w:p w14:paraId="6459512B" w14:textId="79AA122F" w:rsidR="002D2A68" w:rsidRPr="004B7BEF" w:rsidRDefault="000C4C59" w:rsidP="004B7BEF">
            <w:pPr>
              <w:pStyle w:val="Tabletext"/>
            </w:pPr>
            <w:r>
              <w:t>Thank you for your comment. The committee agreed that asthma should not be included in the indicator at this time due to a lack of NICE source guidance.</w:t>
            </w:r>
          </w:p>
        </w:tc>
      </w:tr>
      <w:tr w:rsidR="002D2A68" w:rsidRPr="00215444" w14:paraId="580FA0D6" w14:textId="518BC08D" w:rsidTr="002D2A68">
        <w:tc>
          <w:tcPr>
            <w:tcW w:w="165" w:type="pct"/>
          </w:tcPr>
          <w:p w14:paraId="6FB0C862" w14:textId="4C3759BB" w:rsidR="002D2A68" w:rsidRPr="00B21341" w:rsidRDefault="002D2A68" w:rsidP="004B7BEF">
            <w:pPr>
              <w:pStyle w:val="Tabletext"/>
            </w:pPr>
            <w:r>
              <w:t>9</w:t>
            </w:r>
          </w:p>
        </w:tc>
        <w:tc>
          <w:tcPr>
            <w:tcW w:w="525" w:type="pct"/>
          </w:tcPr>
          <w:p w14:paraId="6C0449F1" w14:textId="7669D0AA" w:rsidR="002D2A68" w:rsidRPr="00B21341" w:rsidRDefault="002D2A68" w:rsidP="004B7BEF">
            <w:pPr>
              <w:pStyle w:val="Tabletext"/>
            </w:pPr>
            <w:r>
              <w:t>General</w:t>
            </w:r>
          </w:p>
        </w:tc>
        <w:tc>
          <w:tcPr>
            <w:tcW w:w="950" w:type="pct"/>
            <w:tcBorders>
              <w:top w:val="nil"/>
              <w:left w:val="single" w:sz="4" w:space="0" w:color="auto"/>
              <w:bottom w:val="single" w:sz="4" w:space="0" w:color="auto"/>
              <w:right w:val="single" w:sz="4" w:space="0" w:color="auto"/>
            </w:tcBorders>
          </w:tcPr>
          <w:p w14:paraId="7B958394" w14:textId="056C73FF" w:rsidR="002D2A68" w:rsidRPr="005B73E7" w:rsidRDefault="002D2A68" w:rsidP="004B7BEF">
            <w:pPr>
              <w:pStyle w:val="Tabletext"/>
            </w:pPr>
            <w:r w:rsidRPr="004B7BEF">
              <w:t>Primary Care Respiratory Society (PCRS)</w:t>
            </w:r>
          </w:p>
        </w:tc>
        <w:tc>
          <w:tcPr>
            <w:tcW w:w="1875" w:type="pct"/>
            <w:tcBorders>
              <w:top w:val="nil"/>
              <w:left w:val="single" w:sz="4" w:space="0" w:color="auto"/>
              <w:bottom w:val="single" w:sz="4" w:space="0" w:color="auto"/>
              <w:right w:val="single" w:sz="4" w:space="0" w:color="auto"/>
            </w:tcBorders>
          </w:tcPr>
          <w:p w14:paraId="31E5CDA9" w14:textId="073CD56F" w:rsidR="002D2A68" w:rsidRPr="00EE065C" w:rsidRDefault="002D2A68" w:rsidP="004B7BEF">
            <w:pPr>
              <w:pStyle w:val="Tabletext"/>
            </w:pPr>
            <w:r w:rsidRPr="004B7BEF">
              <w:t xml:space="preserve">Section 1.7 (bullet point 2): Why are children excluded? </w:t>
            </w:r>
            <w:r w:rsidRPr="004B7BEF">
              <w:br/>
            </w:r>
            <w:r w:rsidRPr="004B7BEF">
              <w:br/>
              <w:t>It is important to educate on weight management from an early age. Overweight/obese children remain so into adult life so highlighting it early is important. Under 5 years of age is critical time for weight education for families.</w:t>
            </w:r>
          </w:p>
        </w:tc>
        <w:tc>
          <w:tcPr>
            <w:tcW w:w="1485" w:type="pct"/>
            <w:tcBorders>
              <w:top w:val="nil"/>
              <w:left w:val="single" w:sz="4" w:space="0" w:color="auto"/>
              <w:bottom w:val="single" w:sz="4" w:space="0" w:color="auto"/>
              <w:right w:val="single" w:sz="4" w:space="0" w:color="auto"/>
            </w:tcBorders>
          </w:tcPr>
          <w:p w14:paraId="7966CA92" w14:textId="7B89BDEC" w:rsidR="002D2A68" w:rsidRPr="004B7BEF" w:rsidRDefault="000C4C59" w:rsidP="004B7BEF">
            <w:pPr>
              <w:pStyle w:val="Tabletext"/>
            </w:pPr>
            <w:r>
              <w:t xml:space="preserve">Thank you for your comment. The committee </w:t>
            </w:r>
            <w:r w:rsidR="00742D3C">
              <w:t>agreed</w:t>
            </w:r>
            <w:r>
              <w:t xml:space="preserve"> that they should be included (the exclusion has been </w:t>
            </w:r>
            <w:r w:rsidR="00EF01A4">
              <w:t>removed,</w:t>
            </w:r>
            <w:r>
              <w:t xml:space="preserve"> and relevant source recommendations have been added).</w:t>
            </w:r>
          </w:p>
        </w:tc>
      </w:tr>
      <w:tr w:rsidR="002D2A68" w:rsidRPr="00215444" w14:paraId="25C5773F" w14:textId="77762BB6" w:rsidTr="002D2A68">
        <w:tc>
          <w:tcPr>
            <w:tcW w:w="165" w:type="pct"/>
          </w:tcPr>
          <w:p w14:paraId="4C3F724F" w14:textId="027A26EA" w:rsidR="002D2A68" w:rsidRDefault="002D2A68" w:rsidP="000A32E4">
            <w:pPr>
              <w:pStyle w:val="Tabletext"/>
            </w:pPr>
            <w:r>
              <w:t>10</w:t>
            </w:r>
          </w:p>
        </w:tc>
        <w:tc>
          <w:tcPr>
            <w:tcW w:w="525" w:type="pct"/>
          </w:tcPr>
          <w:p w14:paraId="39112ED8" w14:textId="022AF38A" w:rsidR="002D2A68" w:rsidRDefault="002D2A68" w:rsidP="000A32E4">
            <w:pPr>
              <w:pStyle w:val="Tabletext"/>
              <w:rPr>
                <w:color w:val="000000"/>
              </w:rPr>
            </w:pPr>
            <w:r>
              <w:rPr>
                <w:color w:val="000000"/>
              </w:rPr>
              <w:t xml:space="preserve">1 </w:t>
            </w:r>
            <w:r w:rsidRPr="00077115">
              <w:rPr>
                <w:color w:val="000000"/>
              </w:rPr>
              <w:t>Do you agree with the addition of the following long-term conditions to the existing indicator IND15</w:t>
            </w:r>
            <w:r>
              <w:rPr>
                <w:color w:val="000000"/>
              </w:rPr>
              <w:t>1?</w:t>
            </w:r>
          </w:p>
        </w:tc>
        <w:tc>
          <w:tcPr>
            <w:tcW w:w="950" w:type="pct"/>
          </w:tcPr>
          <w:p w14:paraId="633EEEC1" w14:textId="33E1DE4E" w:rsidR="002D2A68" w:rsidRPr="004B7BEF" w:rsidRDefault="002D2A68" w:rsidP="000A32E4">
            <w:pPr>
              <w:pStyle w:val="Tabletext"/>
            </w:pPr>
            <w:r w:rsidRPr="004B7BEF">
              <w:t>AstraZeneca UK Ltd.</w:t>
            </w:r>
          </w:p>
        </w:tc>
        <w:tc>
          <w:tcPr>
            <w:tcW w:w="1875" w:type="pct"/>
          </w:tcPr>
          <w:p w14:paraId="7884A17C" w14:textId="77777777" w:rsidR="002D2A68" w:rsidRPr="004B7BEF" w:rsidRDefault="002D2A68" w:rsidP="004B7BEF">
            <w:pPr>
              <w:pStyle w:val="Tabletext"/>
            </w:pPr>
            <w:r w:rsidRPr="004B7BEF">
              <w:t xml:space="preserve">AstraZeneca are very supportive of NICE listing specific long-term conditions associated with overweight and obesity and relevant to this </w:t>
            </w:r>
            <w:proofErr w:type="gramStart"/>
            <w:r w:rsidRPr="004B7BEF">
              <w:t>indicator, and</w:t>
            </w:r>
            <w:proofErr w:type="gramEnd"/>
            <w:r w:rsidRPr="004B7BEF">
              <w:t xml:space="preserve"> </w:t>
            </w:r>
            <w:proofErr w:type="gramStart"/>
            <w:r w:rsidRPr="004B7BEF">
              <w:t>are in agreement</w:t>
            </w:r>
            <w:proofErr w:type="gramEnd"/>
            <w:r w:rsidRPr="004B7BEF">
              <w:t xml:space="preserve"> with the relevance of the long-term conditions already included, particularly COPD given the increasing evidence on cardiopulmonary risk in these patients [1,2]. However, AstraZeneca would request for the list to also include chronic kidney disease (CKD), since obesity has also emerged as a risk factor for its onset and progression [3]. The Health Survey for England has reported that 25% of adults living with obesity and aged 35 to have CKD (stage 1 to 5) compared with 15% of adults who are a healthy weight or underweight [4]. Including CKD would encourage the recognition of the directly interlinked nature of the two diseases, and the potential for obesity management to prevent the development and advancement of CKD [3]. This amendment would also ensure consistency with the NICE Chronic Kidney Disease: Assessment and Management guideline (NG203) which states that: ‘Encourage adults with CKD to take exercise, achieve a healthy weight and stop smoking’ [5]. </w:t>
            </w:r>
            <w:r w:rsidRPr="004B7BEF">
              <w:br/>
            </w:r>
            <w:r w:rsidRPr="004B7BEF">
              <w:br/>
              <w:t>Additionally, AstraZeneca note that although previously included in IND151, asthma has now been removed from the list of long-term conditions as stated in the denominator section. Research has evidenced that people with asthma are at a higher risk of becoming obese [6]. that obesity can independently drive respiratory symptoms and impact asthma control and clinical remission [7], and that in adult-onset asthma, obese patients have more exacerbations and respiratory-related hospital admissions compared to normal-weight patients during 12-year follow-up [8]. Therefore, AstraZeneca recommend that asthma should be included in this list of relevant long-term conditions due to the robust clinical evidence demonstrating asthma and obesity are concurrent conditions.</w:t>
            </w:r>
            <w:r w:rsidRPr="004B7BEF">
              <w:br/>
            </w:r>
            <w:r w:rsidRPr="004B7BEF">
              <w:br/>
              <w:t>References:</w:t>
            </w:r>
            <w:r w:rsidRPr="004B7BEF">
              <w:br/>
              <w:t>1. Donaldson, G.C., et al., “Increased risk of myocardial infarction and stroke following exacerbation of COPD,” Chest, 137(5): p. 1091-7, 2010.</w:t>
            </w:r>
            <w:r w:rsidRPr="004B7BEF">
              <w:br/>
              <w:t>2. Kunisaki, K.M., et al., “Exacerbations of Chronic Obstructive Pulmonary Disease and Cardiac Events. A Post Hoc Cohort Analysis from the SUMMIT Randomized Clinical Trial,” Am J Respir Crit Care Med, 198(1): p. 51-57, 2018.</w:t>
            </w:r>
            <w:r w:rsidRPr="004B7BEF">
              <w:br/>
              <w:t>3. Nawaz, S., et al., “Obesity and chronic kidney disease: A current review,” Obes Sci Pract, 9(2): p. 61-74, 2023.</w:t>
            </w:r>
            <w:r w:rsidRPr="004B7BEF">
              <w:br/>
              <w:t>4. NHS Digital. “Health Survey for England, 2022 Part 2,” 2022. [Online]. Available: https://digital.nhs.uk/data-and-information/publications/statistical/health-survey-for-england/2022-part-2/kidney-disease.</w:t>
            </w:r>
            <w:r w:rsidRPr="004B7BEF">
              <w:br/>
              <w:t>5. National Institute for Health and Care Excellence, “</w:t>
            </w:r>
            <w:proofErr w:type="gramStart"/>
            <w:r w:rsidRPr="004B7BEF">
              <w:t>Chronic kidney disease</w:t>
            </w:r>
            <w:proofErr w:type="gramEnd"/>
            <w:r w:rsidRPr="004B7BEF">
              <w:t>: assessment and management [NG203],” 2021.</w:t>
            </w:r>
            <w:r w:rsidRPr="004B7BEF">
              <w:br/>
              <w:t>6. Moitra, S., et al., “Long-term effect of asthma on the development of obesity among adults: an international cohort study, ECRHS,” Thorax, 78(2): p. 128-135, 2023.</w:t>
            </w:r>
            <w:r w:rsidRPr="004B7BEF">
              <w:br/>
              <w:t>7. Lommatzsch, M., et al., “Clinical remission by BMI in patients with severe eosinophilic asthma (SEA) over 1 year post benralizumab: real-world XALOC-2 programme,” European Respiratory Journal, 64(suppl 68): p. PA3932, 2024.</w:t>
            </w:r>
            <w:r w:rsidRPr="004B7BEF">
              <w:br/>
              <w:t>8. Ilmarinen, P., et al., “Long-term prognosis of new adult-onset asthma in obese patients. European Respiratory Journal, 57(4): p. 2001209, 2021.</w:t>
            </w:r>
          </w:p>
          <w:p w14:paraId="005A5D99" w14:textId="77777777" w:rsidR="002D2A68" w:rsidRDefault="002D2A68" w:rsidP="004B7BEF">
            <w:pPr>
              <w:pStyle w:val="Tabletext"/>
            </w:pPr>
          </w:p>
        </w:tc>
        <w:tc>
          <w:tcPr>
            <w:tcW w:w="1485" w:type="pct"/>
          </w:tcPr>
          <w:p w14:paraId="0B77DBE2" w14:textId="03142557" w:rsidR="002D2A68" w:rsidRPr="004B7BEF" w:rsidRDefault="000C4C59" w:rsidP="004B7BEF">
            <w:pPr>
              <w:pStyle w:val="Tabletext"/>
            </w:pPr>
            <w:r>
              <w:t>Thank you for your comment. T</w:t>
            </w:r>
            <w:r w:rsidRPr="003C64E9">
              <w:t xml:space="preserve">he list of long-term conditions </w:t>
            </w:r>
            <w:r>
              <w:t xml:space="preserve">is based on available NICE guidance </w:t>
            </w:r>
            <w:r w:rsidR="002A5123">
              <w:t xml:space="preserve">that recommend measurement </w:t>
            </w:r>
            <w:r>
              <w:t xml:space="preserve">and aligns with </w:t>
            </w:r>
            <w:hyperlink r:id="rId36" w:history="1">
              <w:r w:rsidRPr="002D2A68">
                <w:rPr>
                  <w:rStyle w:val="Hyperlink"/>
                </w:rPr>
                <w:t>QS212 Statement 1 Recording BMI and waist-to-height ratio in adults</w:t>
              </w:r>
            </w:hyperlink>
            <w:r>
              <w:t>. We acknowledge that there may be other conditions with links to overweight and obesity, however it was not the aim of this consultation to generate suggestions.</w:t>
            </w:r>
            <w:r w:rsidR="004845A5">
              <w:t xml:space="preserve"> </w:t>
            </w:r>
            <w:r w:rsidR="004845A5" w:rsidRPr="004845A5">
              <w:t>The committee agreed that asthma should not be included in the indicator at this time due to a lack of NICE source guidance</w:t>
            </w:r>
            <w:r w:rsidR="004845A5">
              <w:t>.</w:t>
            </w:r>
          </w:p>
        </w:tc>
      </w:tr>
      <w:tr w:rsidR="002D2A68" w:rsidRPr="00215444" w14:paraId="6DEC72C6" w14:textId="103B1CD6" w:rsidTr="002D2A68">
        <w:tc>
          <w:tcPr>
            <w:tcW w:w="165" w:type="pct"/>
            <w:hideMark/>
          </w:tcPr>
          <w:p w14:paraId="4EFEF8E8" w14:textId="23339987" w:rsidR="002D2A68" w:rsidRPr="005B73E7" w:rsidRDefault="002D2A68" w:rsidP="000A32E4">
            <w:pPr>
              <w:pStyle w:val="Tabletext"/>
              <w:rPr>
                <w:color w:val="000000"/>
                <w:lang w:eastAsia="en-GB"/>
              </w:rPr>
            </w:pPr>
            <w:r>
              <w:t>11</w:t>
            </w:r>
          </w:p>
        </w:tc>
        <w:tc>
          <w:tcPr>
            <w:tcW w:w="525" w:type="pct"/>
            <w:hideMark/>
          </w:tcPr>
          <w:p w14:paraId="269FAA82" w14:textId="4EF84A2B" w:rsidR="002D2A68" w:rsidRPr="005B73E7" w:rsidRDefault="002D2A68" w:rsidP="000A32E4">
            <w:pPr>
              <w:pStyle w:val="Tabletext"/>
              <w:rPr>
                <w:color w:val="000000"/>
                <w:lang w:eastAsia="en-GB"/>
              </w:rPr>
            </w:pPr>
            <w:r>
              <w:rPr>
                <w:color w:val="000000"/>
              </w:rPr>
              <w:t xml:space="preserve">1 </w:t>
            </w:r>
            <w:r w:rsidRPr="00077115">
              <w:rPr>
                <w:color w:val="000000"/>
              </w:rPr>
              <w:t>Do you agree with the addition of the following long-term conditions to the existing indicator IND151</w:t>
            </w:r>
            <w:r>
              <w:rPr>
                <w:color w:val="000000"/>
              </w:rPr>
              <w:t>?</w:t>
            </w:r>
          </w:p>
        </w:tc>
        <w:tc>
          <w:tcPr>
            <w:tcW w:w="950" w:type="pct"/>
            <w:hideMark/>
          </w:tcPr>
          <w:p w14:paraId="565D08FA" w14:textId="71401C19" w:rsidR="002D2A68" w:rsidRPr="005B73E7" w:rsidRDefault="002D2A68" w:rsidP="000A32E4">
            <w:pPr>
              <w:pStyle w:val="Tabletext"/>
            </w:pPr>
            <w:r w:rsidRPr="004B7BEF">
              <w:t>The Obesity Specialist Group of the British Dietetic Association</w:t>
            </w:r>
          </w:p>
        </w:tc>
        <w:tc>
          <w:tcPr>
            <w:tcW w:w="1875" w:type="pct"/>
            <w:hideMark/>
          </w:tcPr>
          <w:p w14:paraId="5AD5A29D" w14:textId="77777777" w:rsidR="002D2A68" w:rsidRDefault="002D2A68" w:rsidP="004B7BEF">
            <w:pPr>
              <w:pStyle w:val="Tabletext"/>
            </w:pPr>
            <w:r>
              <w:t>The Obesity Specialist group of the BDA agree with the addition of the following</w:t>
            </w:r>
          </w:p>
          <w:p w14:paraId="50CC54B9" w14:textId="77777777" w:rsidR="002D2A68" w:rsidRDefault="002D2A68" w:rsidP="004B7BEF">
            <w:pPr>
              <w:pStyle w:val="Tabletext"/>
            </w:pPr>
            <w:r>
              <w:t>● high risk of developing type 2 diabetes</w:t>
            </w:r>
          </w:p>
          <w:p w14:paraId="49DB286E" w14:textId="77777777" w:rsidR="002D2A68" w:rsidRDefault="002D2A68" w:rsidP="004B7BEF">
            <w:pPr>
              <w:pStyle w:val="Tabletext"/>
            </w:pPr>
            <w:r>
              <w:t>● dyslipidaemia</w:t>
            </w:r>
          </w:p>
          <w:p w14:paraId="77AADB06" w14:textId="77777777" w:rsidR="002D2A68" w:rsidRDefault="002D2A68" w:rsidP="004B7BEF">
            <w:pPr>
              <w:pStyle w:val="Tabletext"/>
            </w:pPr>
            <w:r>
              <w:t>● learning disability</w:t>
            </w:r>
          </w:p>
          <w:p w14:paraId="70A177ED" w14:textId="77777777" w:rsidR="002D2A68" w:rsidRDefault="002D2A68" w:rsidP="004B7BEF">
            <w:pPr>
              <w:pStyle w:val="Tabletext"/>
            </w:pPr>
            <w:r>
              <w:t>● obstructive sleep apnoea</w:t>
            </w:r>
          </w:p>
          <w:p w14:paraId="7D82BDF3" w14:textId="77777777" w:rsidR="002D2A68" w:rsidRDefault="002D2A68" w:rsidP="004B7BEF">
            <w:pPr>
              <w:pStyle w:val="Tabletext"/>
            </w:pPr>
            <w:r>
              <w:t>● polycystic ovary syndrome</w:t>
            </w:r>
          </w:p>
          <w:p w14:paraId="1BBE010D" w14:textId="77777777" w:rsidR="002D2A68" w:rsidRDefault="002D2A68" w:rsidP="004B7BEF">
            <w:pPr>
              <w:pStyle w:val="Tabletext"/>
            </w:pPr>
            <w:r>
              <w:t>● schizophrenia, bipolar disorder or other psychoses</w:t>
            </w:r>
          </w:p>
          <w:p w14:paraId="633B073E" w14:textId="77777777" w:rsidR="002D2A68" w:rsidRDefault="002D2A68" w:rsidP="004B7BEF">
            <w:pPr>
              <w:pStyle w:val="Tabletext"/>
            </w:pPr>
          </w:p>
          <w:p w14:paraId="6A91C637" w14:textId="77777777" w:rsidR="002D2A68" w:rsidRDefault="002D2A68" w:rsidP="004B7BEF">
            <w:pPr>
              <w:pStyle w:val="Tabletext"/>
            </w:pPr>
            <w:r>
              <w:t xml:space="preserve">We would like to share one example of best practice here - In the Leeds tier 3 obesity care service, liaison psychiatry provides the support to the service, and over the years they have been able to support people with severe mental illness in specialist weight management and metabolic bariatric surgery. </w:t>
            </w:r>
          </w:p>
          <w:p w14:paraId="756E0D02" w14:textId="77777777" w:rsidR="002D2A68" w:rsidRDefault="002D2A68" w:rsidP="004B7BEF">
            <w:pPr>
              <w:pStyle w:val="Tabletext"/>
            </w:pPr>
          </w:p>
          <w:p w14:paraId="4A2E5129" w14:textId="19F60E8C" w:rsidR="002D2A68" w:rsidRPr="00EE065C" w:rsidRDefault="002D2A68" w:rsidP="004B7BEF">
            <w:pPr>
              <w:pStyle w:val="Tabletext"/>
            </w:pPr>
            <w:r>
              <w:t>We are especially pleased to see the addition of severe mental illness as this group is often neglected in mainstream services and has the additional stigma of mental health in addition to obesity. Many of the psychotropic medications for severe mental illness are associated with weight gain. There needs to be extra care in how this association is discussed with people, to avoid medication discontinuation.</w:t>
            </w:r>
          </w:p>
        </w:tc>
        <w:tc>
          <w:tcPr>
            <w:tcW w:w="1485" w:type="pct"/>
          </w:tcPr>
          <w:p w14:paraId="46CDE5E7" w14:textId="0CEC64ED" w:rsidR="002D2A68" w:rsidRDefault="004845A5" w:rsidP="004B7BEF">
            <w:pPr>
              <w:pStyle w:val="Tabletext"/>
            </w:pPr>
            <w:r>
              <w:t>Thank you for your comment</w:t>
            </w:r>
            <w:r w:rsidR="00691F18">
              <w:t xml:space="preserve"> and practice example</w:t>
            </w:r>
            <w:r>
              <w:t>.</w:t>
            </w:r>
            <w:r w:rsidR="0079335B" w:rsidRPr="0079335B">
              <w:rPr>
                <w:rFonts w:ascii="Times New Roman" w:hAnsi="Times New Roman"/>
                <w:sz w:val="24"/>
                <w:lang w:eastAsia="en-GB"/>
              </w:rPr>
              <w:t xml:space="preserve"> </w:t>
            </w:r>
            <w:r w:rsidR="0079335B" w:rsidRPr="0079335B">
              <w:t xml:space="preserve">Please note that both rheumatoid arthritis and PCOS have now been removed from the indicator. Rheumatoid arthritis was removed due to lack of relevant NICE guidance supporting its inclusion. PCOS has been temporarily removed until the NICE guideline on </w:t>
            </w:r>
            <w:hyperlink r:id="rId37" w:history="1">
              <w:r w:rsidR="0079335B" w:rsidRPr="0079335B">
                <w:rPr>
                  <w:rStyle w:val="Hyperlink"/>
                </w:rPr>
                <w:t>Polycystic ovary syndrome: assessment and management</w:t>
              </w:r>
            </w:hyperlink>
            <w:r w:rsidR="0079335B" w:rsidRPr="0079335B">
              <w:t xml:space="preserve"> is published and its inclusion can be reassessed based on the new guideline.</w:t>
            </w:r>
          </w:p>
        </w:tc>
      </w:tr>
    </w:tbl>
    <w:p w14:paraId="17B1B744" w14:textId="77777777" w:rsidR="00D712FC" w:rsidRPr="00CF2E5C" w:rsidRDefault="00D712FC" w:rsidP="002E482A">
      <w:pPr>
        <w:pStyle w:val="Paragraph"/>
      </w:pPr>
    </w:p>
    <w:sectPr w:rsidR="00D712FC" w:rsidRPr="00CF2E5C" w:rsidSect="00D712FC">
      <w:pgSz w:w="16838" w:h="11906" w:orient="landscape"/>
      <w:pgMar w:top="1797" w:right="1440" w:bottom="179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CBB47" w14:textId="77777777" w:rsidR="00706246" w:rsidRDefault="00706246" w:rsidP="00446BEE">
      <w:r>
        <w:separator/>
      </w:r>
    </w:p>
  </w:endnote>
  <w:endnote w:type="continuationSeparator" w:id="0">
    <w:p w14:paraId="539AD410" w14:textId="77777777" w:rsidR="00706246" w:rsidRDefault="00706246"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ora SemiBold">
    <w:altName w:val="Cambria"/>
    <w:panose1 w:val="00000000000000000000"/>
    <w:charset w:val="00"/>
    <w:family w:val="auto"/>
    <w:pitch w:val="variable"/>
    <w:sig w:usb0="A00002FF" w:usb1="5000204B" w:usb2="00000000" w:usb3="00000000" w:csb0="00000097" w:csb1="00000000"/>
  </w:font>
  <w:font w:name="Inter">
    <w:altName w:val="Calibri"/>
    <w:panose1 w:val="02000503000000020004"/>
    <w:charset w:val="00"/>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38DA8" w14:textId="54139CF1" w:rsidR="00446BEE" w:rsidRDefault="005A1E00" w:rsidP="00446BEE">
    <w:pPr>
      <w:pStyle w:val="Footer"/>
    </w:pPr>
    <w:r>
      <w:t>IND320 consultation report</w:t>
    </w:r>
    <w:r>
      <w:tab/>
    </w:r>
    <w:r>
      <w:tab/>
    </w:r>
    <w:r>
      <w:tab/>
    </w:r>
    <w:r>
      <w:tab/>
    </w:r>
    <w:r>
      <w:tab/>
    </w:r>
    <w:r w:rsidR="00446BEE">
      <w:tab/>
    </w:r>
    <w:r w:rsidR="00446BEE">
      <w:fldChar w:fldCharType="begin"/>
    </w:r>
    <w:r w:rsidR="00446BEE">
      <w:instrText xml:space="preserve"> PAGE </w:instrText>
    </w:r>
    <w:r w:rsidR="00446BEE">
      <w:fldChar w:fldCharType="separate"/>
    </w:r>
    <w:r w:rsidR="00FA2C5A">
      <w:rPr>
        <w:noProof/>
      </w:rPr>
      <w:t>1</w:t>
    </w:r>
    <w:r w:rsidR="00446BEE">
      <w:fldChar w:fldCharType="end"/>
    </w:r>
    <w:r w:rsidR="00446BEE">
      <w:t xml:space="preserve"> of </w:t>
    </w:r>
    <w:r w:rsidR="00FA2C5A">
      <w:fldChar w:fldCharType="begin"/>
    </w:r>
    <w:r w:rsidR="00FA2C5A">
      <w:instrText xml:space="preserve"> NUMPAGES  </w:instrText>
    </w:r>
    <w:r w:rsidR="00FA2C5A">
      <w:fldChar w:fldCharType="separate"/>
    </w:r>
    <w:r w:rsidR="00FA2C5A">
      <w:rPr>
        <w:noProof/>
      </w:rPr>
      <w:t>1</w:t>
    </w:r>
    <w:r w:rsidR="00FA2C5A">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950927"/>
      <w:docPartObj>
        <w:docPartGallery w:val="Page Numbers (Bottom of Page)"/>
        <w:docPartUnique/>
      </w:docPartObj>
    </w:sdtPr>
    <w:sdtEndPr/>
    <w:sdtContent>
      <w:sdt>
        <w:sdtPr>
          <w:id w:val="-1769616900"/>
          <w:docPartObj>
            <w:docPartGallery w:val="Page Numbers (Top of Page)"/>
            <w:docPartUnique/>
          </w:docPartObj>
        </w:sdtPr>
        <w:sdtEndPr/>
        <w:sdtContent>
          <w:p w14:paraId="5CC64E03" w14:textId="7478BFF6" w:rsidR="008E7826" w:rsidRDefault="005A1E00" w:rsidP="008E7826">
            <w:pPr>
              <w:pStyle w:val="Footer"/>
            </w:pPr>
            <w:r>
              <w:t>IND320 consultation report</w:t>
            </w:r>
            <w:r w:rsidR="008E7826">
              <w:tab/>
            </w:r>
            <w:r w:rsidR="008E7826" w:rsidRPr="008E7826">
              <w:t xml:space="preserve">Page </w:t>
            </w:r>
            <w:r w:rsidR="008E7826" w:rsidRPr="008E7826">
              <w:rPr>
                <w:sz w:val="24"/>
              </w:rPr>
              <w:fldChar w:fldCharType="begin"/>
            </w:r>
            <w:r w:rsidR="008E7826" w:rsidRPr="008E7826">
              <w:instrText xml:space="preserve"> PAGE </w:instrText>
            </w:r>
            <w:r w:rsidR="008E7826" w:rsidRPr="008E7826">
              <w:rPr>
                <w:sz w:val="24"/>
              </w:rPr>
              <w:fldChar w:fldCharType="separate"/>
            </w:r>
            <w:r w:rsidR="008E7826" w:rsidRPr="008E7826">
              <w:rPr>
                <w:noProof/>
              </w:rPr>
              <w:t>2</w:t>
            </w:r>
            <w:r w:rsidR="008E7826" w:rsidRPr="008E7826">
              <w:rPr>
                <w:sz w:val="24"/>
              </w:rPr>
              <w:fldChar w:fldCharType="end"/>
            </w:r>
            <w:r w:rsidR="008E7826" w:rsidRPr="008E7826">
              <w:t xml:space="preserve"> of </w:t>
            </w:r>
            <w:r w:rsidR="008E7826">
              <w:fldChar w:fldCharType="begin"/>
            </w:r>
            <w:r w:rsidR="008E7826">
              <w:instrText xml:space="preserve"> NUMPAGES  </w:instrText>
            </w:r>
            <w:r w:rsidR="008E7826">
              <w:fldChar w:fldCharType="separate"/>
            </w:r>
            <w:r w:rsidR="008E7826" w:rsidRPr="008E7826">
              <w:rPr>
                <w:noProof/>
              </w:rPr>
              <w:t>2</w:t>
            </w:r>
            <w:r w:rsidR="008E7826">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06F78" w14:textId="77777777" w:rsidR="00706246" w:rsidRDefault="00706246" w:rsidP="00446BEE">
      <w:r>
        <w:separator/>
      </w:r>
    </w:p>
  </w:footnote>
  <w:footnote w:type="continuationSeparator" w:id="0">
    <w:p w14:paraId="792D3C32" w14:textId="77777777" w:rsidR="00706246" w:rsidRDefault="00706246"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6F09A" w14:textId="77777777" w:rsidR="008F6FB7" w:rsidRDefault="008F6FB7">
    <w:pPr>
      <w:pStyle w:val="Header"/>
    </w:pPr>
    <w:r>
      <w:rPr>
        <w:noProof/>
      </w:rPr>
      <w:drawing>
        <wp:inline distT="0" distB="0" distL="0" distR="0" wp14:anchorId="7F4CFA35" wp14:editId="088F155A">
          <wp:extent cx="2444400" cy="252000"/>
          <wp:effectExtent l="0" t="0" r="0" b="0"/>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74007F"/>
    <w:multiLevelType w:val="hybridMultilevel"/>
    <w:tmpl w:val="63EE07C4"/>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1"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C50DAF"/>
    <w:multiLevelType w:val="hybridMultilevel"/>
    <w:tmpl w:val="489AA53C"/>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3" w15:restartNumberingAfterBreak="0">
    <w:nsid w:val="42532401"/>
    <w:multiLevelType w:val="hybridMultilevel"/>
    <w:tmpl w:val="0CF68DEE"/>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4" w15:restartNumberingAfterBreak="0">
    <w:nsid w:val="5114386E"/>
    <w:multiLevelType w:val="hybridMultilevel"/>
    <w:tmpl w:val="D8000990"/>
    <w:lvl w:ilvl="0" w:tplc="06DC74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C93D14"/>
    <w:multiLevelType w:val="hybridMultilevel"/>
    <w:tmpl w:val="C40C75B2"/>
    <w:lvl w:ilvl="0" w:tplc="A85A06A8">
      <w:start w:val="1"/>
      <w:numFmt w:val="decimal"/>
      <w:pStyle w:val="ParagraphNumbered"/>
      <w:lvlText w:val="%1."/>
      <w:lvlJc w:val="left"/>
      <w:pPr>
        <w:ind w:left="851" w:hanging="851"/>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7"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D61036"/>
    <w:multiLevelType w:val="hybridMultilevel"/>
    <w:tmpl w:val="538A3820"/>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9"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20" w15:restartNumberingAfterBreak="0">
    <w:nsid w:val="7A991A35"/>
    <w:multiLevelType w:val="multilevel"/>
    <w:tmpl w:val="1A34A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3384370">
    <w:abstractNumId w:val="15"/>
  </w:num>
  <w:num w:numId="2" w16cid:durableId="1271931310">
    <w:abstractNumId w:val="17"/>
  </w:num>
  <w:num w:numId="3" w16cid:durableId="987441700">
    <w:abstractNumId w:val="17"/>
    <w:lvlOverride w:ilvl="0">
      <w:startOverride w:val="1"/>
    </w:lvlOverride>
  </w:num>
  <w:num w:numId="4" w16cid:durableId="1499422565">
    <w:abstractNumId w:val="17"/>
    <w:lvlOverride w:ilvl="0">
      <w:startOverride w:val="1"/>
    </w:lvlOverride>
  </w:num>
  <w:num w:numId="5" w16cid:durableId="2069916214">
    <w:abstractNumId w:val="17"/>
    <w:lvlOverride w:ilvl="0">
      <w:startOverride w:val="1"/>
    </w:lvlOverride>
  </w:num>
  <w:num w:numId="6" w16cid:durableId="1714303981">
    <w:abstractNumId w:val="17"/>
    <w:lvlOverride w:ilvl="0">
      <w:startOverride w:val="1"/>
    </w:lvlOverride>
  </w:num>
  <w:num w:numId="7" w16cid:durableId="1383334273">
    <w:abstractNumId w:val="17"/>
    <w:lvlOverride w:ilvl="0">
      <w:startOverride w:val="1"/>
    </w:lvlOverride>
  </w:num>
  <w:num w:numId="8" w16cid:durableId="1773280767">
    <w:abstractNumId w:val="9"/>
  </w:num>
  <w:num w:numId="9" w16cid:durableId="25370262">
    <w:abstractNumId w:val="7"/>
  </w:num>
  <w:num w:numId="10" w16cid:durableId="631717178">
    <w:abstractNumId w:val="6"/>
  </w:num>
  <w:num w:numId="11" w16cid:durableId="229852498">
    <w:abstractNumId w:val="5"/>
  </w:num>
  <w:num w:numId="12" w16cid:durableId="619150223">
    <w:abstractNumId w:val="4"/>
  </w:num>
  <w:num w:numId="13" w16cid:durableId="1727877967">
    <w:abstractNumId w:val="8"/>
  </w:num>
  <w:num w:numId="14" w16cid:durableId="1039671961">
    <w:abstractNumId w:val="3"/>
  </w:num>
  <w:num w:numId="15" w16cid:durableId="1876431772">
    <w:abstractNumId w:val="2"/>
  </w:num>
  <w:num w:numId="16" w16cid:durableId="1799951448">
    <w:abstractNumId w:val="1"/>
  </w:num>
  <w:num w:numId="17" w16cid:durableId="960921361">
    <w:abstractNumId w:val="0"/>
  </w:num>
  <w:num w:numId="18" w16cid:durableId="250091122">
    <w:abstractNumId w:val="11"/>
  </w:num>
  <w:num w:numId="19" w16cid:durableId="1373924523">
    <w:abstractNumId w:val="11"/>
    <w:lvlOverride w:ilvl="0">
      <w:startOverride w:val="1"/>
    </w:lvlOverride>
  </w:num>
  <w:num w:numId="20" w16cid:durableId="399716702">
    <w:abstractNumId w:val="15"/>
  </w:num>
  <w:num w:numId="21" w16cid:durableId="1595244151">
    <w:abstractNumId w:val="17"/>
  </w:num>
  <w:num w:numId="22" w16cid:durableId="368646558">
    <w:abstractNumId w:val="11"/>
  </w:num>
  <w:num w:numId="23" w16cid:durableId="534393170">
    <w:abstractNumId w:val="16"/>
  </w:num>
  <w:num w:numId="24" w16cid:durableId="609512517">
    <w:abstractNumId w:val="19"/>
  </w:num>
  <w:num w:numId="25" w16cid:durableId="1295410319">
    <w:abstractNumId w:val="15"/>
    <w:lvlOverride w:ilvl="0">
      <w:startOverride w:val="1"/>
    </w:lvlOverride>
  </w:num>
  <w:num w:numId="26" w16cid:durableId="298267559">
    <w:abstractNumId w:val="12"/>
  </w:num>
  <w:num w:numId="27" w16cid:durableId="698548808">
    <w:abstractNumId w:val="13"/>
  </w:num>
  <w:num w:numId="28" w16cid:durableId="1149394929">
    <w:abstractNumId w:val="18"/>
  </w:num>
  <w:num w:numId="29" w16cid:durableId="2029022836">
    <w:abstractNumId w:val="10"/>
  </w:num>
  <w:num w:numId="30" w16cid:durableId="460274381">
    <w:abstractNumId w:val="14"/>
  </w:num>
  <w:num w:numId="31" w16cid:durableId="42311171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246"/>
    <w:rsid w:val="000044FA"/>
    <w:rsid w:val="000053F8"/>
    <w:rsid w:val="0001476C"/>
    <w:rsid w:val="00024D0A"/>
    <w:rsid w:val="00024FEF"/>
    <w:rsid w:val="00037581"/>
    <w:rsid w:val="00070065"/>
    <w:rsid w:val="00077115"/>
    <w:rsid w:val="00091642"/>
    <w:rsid w:val="00095881"/>
    <w:rsid w:val="000A32E4"/>
    <w:rsid w:val="000A4FEE"/>
    <w:rsid w:val="000B5939"/>
    <w:rsid w:val="000C4C59"/>
    <w:rsid w:val="000D11C7"/>
    <w:rsid w:val="00100F5B"/>
    <w:rsid w:val="00111757"/>
    <w:rsid w:val="00112A10"/>
    <w:rsid w:val="001134E7"/>
    <w:rsid w:val="001336FF"/>
    <w:rsid w:val="00136206"/>
    <w:rsid w:val="00140DF6"/>
    <w:rsid w:val="0014684D"/>
    <w:rsid w:val="00157BBE"/>
    <w:rsid w:val="0017169E"/>
    <w:rsid w:val="0018299F"/>
    <w:rsid w:val="0018509A"/>
    <w:rsid w:val="00192EBC"/>
    <w:rsid w:val="001A6635"/>
    <w:rsid w:val="001B0EE9"/>
    <w:rsid w:val="001B65B3"/>
    <w:rsid w:val="001D06D2"/>
    <w:rsid w:val="001E33AC"/>
    <w:rsid w:val="001E60D6"/>
    <w:rsid w:val="001F4AEC"/>
    <w:rsid w:val="002124D5"/>
    <w:rsid w:val="002141A6"/>
    <w:rsid w:val="00214A72"/>
    <w:rsid w:val="002156C6"/>
    <w:rsid w:val="002408EA"/>
    <w:rsid w:val="0025603E"/>
    <w:rsid w:val="00261530"/>
    <w:rsid w:val="00262D8D"/>
    <w:rsid w:val="002819D7"/>
    <w:rsid w:val="002A5123"/>
    <w:rsid w:val="002C1A7E"/>
    <w:rsid w:val="002D2A68"/>
    <w:rsid w:val="002D3376"/>
    <w:rsid w:val="002E482A"/>
    <w:rsid w:val="002E4E1D"/>
    <w:rsid w:val="00311ED0"/>
    <w:rsid w:val="00345924"/>
    <w:rsid w:val="00352706"/>
    <w:rsid w:val="00355B44"/>
    <w:rsid w:val="003648C5"/>
    <w:rsid w:val="003722FA"/>
    <w:rsid w:val="00375B87"/>
    <w:rsid w:val="00390275"/>
    <w:rsid w:val="00396F62"/>
    <w:rsid w:val="003C0E4C"/>
    <w:rsid w:val="003C5060"/>
    <w:rsid w:val="003C64E9"/>
    <w:rsid w:val="003C7AAF"/>
    <w:rsid w:val="003D067E"/>
    <w:rsid w:val="003E17C4"/>
    <w:rsid w:val="003E36FE"/>
    <w:rsid w:val="003F0A04"/>
    <w:rsid w:val="003F1C1C"/>
    <w:rsid w:val="004075B6"/>
    <w:rsid w:val="00420952"/>
    <w:rsid w:val="00436D18"/>
    <w:rsid w:val="00446BEE"/>
    <w:rsid w:val="00455BE4"/>
    <w:rsid w:val="00463E82"/>
    <w:rsid w:val="00474C99"/>
    <w:rsid w:val="00477627"/>
    <w:rsid w:val="004845A5"/>
    <w:rsid w:val="004A2099"/>
    <w:rsid w:val="004B0675"/>
    <w:rsid w:val="004B7BEF"/>
    <w:rsid w:val="004C3087"/>
    <w:rsid w:val="004C68C9"/>
    <w:rsid w:val="004E235F"/>
    <w:rsid w:val="004F1BD2"/>
    <w:rsid w:val="004F5900"/>
    <w:rsid w:val="004F671A"/>
    <w:rsid w:val="005025A1"/>
    <w:rsid w:val="00523D22"/>
    <w:rsid w:val="005643B2"/>
    <w:rsid w:val="00583A94"/>
    <w:rsid w:val="00594C3A"/>
    <w:rsid w:val="005A02D5"/>
    <w:rsid w:val="005A1E00"/>
    <w:rsid w:val="005B3F6E"/>
    <w:rsid w:val="005D1A0C"/>
    <w:rsid w:val="005D39AA"/>
    <w:rsid w:val="005D52D0"/>
    <w:rsid w:val="00614585"/>
    <w:rsid w:val="0062005E"/>
    <w:rsid w:val="00624140"/>
    <w:rsid w:val="00644D9E"/>
    <w:rsid w:val="006709A9"/>
    <w:rsid w:val="006802A7"/>
    <w:rsid w:val="00691F18"/>
    <w:rsid w:val="006921E1"/>
    <w:rsid w:val="00696C0A"/>
    <w:rsid w:val="006A28FB"/>
    <w:rsid w:val="006C14E7"/>
    <w:rsid w:val="006C48FA"/>
    <w:rsid w:val="00706246"/>
    <w:rsid w:val="00732253"/>
    <w:rsid w:val="00736348"/>
    <w:rsid w:val="00742D3C"/>
    <w:rsid w:val="00744FCB"/>
    <w:rsid w:val="007466A7"/>
    <w:rsid w:val="00772A62"/>
    <w:rsid w:val="0077376B"/>
    <w:rsid w:val="00781C41"/>
    <w:rsid w:val="0079335B"/>
    <w:rsid w:val="007E6416"/>
    <w:rsid w:val="008043B8"/>
    <w:rsid w:val="0082451A"/>
    <w:rsid w:val="00833D8A"/>
    <w:rsid w:val="00861B92"/>
    <w:rsid w:val="008814FB"/>
    <w:rsid w:val="00884F14"/>
    <w:rsid w:val="008879A9"/>
    <w:rsid w:val="008A41BF"/>
    <w:rsid w:val="008C00A5"/>
    <w:rsid w:val="008E7826"/>
    <w:rsid w:val="008F5E30"/>
    <w:rsid w:val="008F6FB7"/>
    <w:rsid w:val="00905547"/>
    <w:rsid w:val="00914D7F"/>
    <w:rsid w:val="0096781E"/>
    <w:rsid w:val="0097305A"/>
    <w:rsid w:val="009C1852"/>
    <w:rsid w:val="009E680B"/>
    <w:rsid w:val="00A15A1F"/>
    <w:rsid w:val="00A3325A"/>
    <w:rsid w:val="00A41729"/>
    <w:rsid w:val="00A43013"/>
    <w:rsid w:val="00A61B9F"/>
    <w:rsid w:val="00A65C05"/>
    <w:rsid w:val="00A90CD8"/>
    <w:rsid w:val="00AA2272"/>
    <w:rsid w:val="00AB6A95"/>
    <w:rsid w:val="00AC0593"/>
    <w:rsid w:val="00AE486C"/>
    <w:rsid w:val="00AF108A"/>
    <w:rsid w:val="00B02E55"/>
    <w:rsid w:val="00B036C1"/>
    <w:rsid w:val="00B53D1F"/>
    <w:rsid w:val="00B5431F"/>
    <w:rsid w:val="00B65A11"/>
    <w:rsid w:val="00BC184B"/>
    <w:rsid w:val="00BD3652"/>
    <w:rsid w:val="00BF37C4"/>
    <w:rsid w:val="00BF7FE0"/>
    <w:rsid w:val="00C33D57"/>
    <w:rsid w:val="00C36044"/>
    <w:rsid w:val="00C46C6C"/>
    <w:rsid w:val="00C61432"/>
    <w:rsid w:val="00C77C66"/>
    <w:rsid w:val="00C85682"/>
    <w:rsid w:val="00C96411"/>
    <w:rsid w:val="00CB2369"/>
    <w:rsid w:val="00CE706A"/>
    <w:rsid w:val="00CF2E5C"/>
    <w:rsid w:val="00CF58B7"/>
    <w:rsid w:val="00D02A8F"/>
    <w:rsid w:val="00D1699D"/>
    <w:rsid w:val="00D351C1"/>
    <w:rsid w:val="00D35EFB"/>
    <w:rsid w:val="00D47D55"/>
    <w:rsid w:val="00D504B3"/>
    <w:rsid w:val="00D712FC"/>
    <w:rsid w:val="00D72C46"/>
    <w:rsid w:val="00D75C8F"/>
    <w:rsid w:val="00D773A7"/>
    <w:rsid w:val="00D8076E"/>
    <w:rsid w:val="00D86BF0"/>
    <w:rsid w:val="00DA70F0"/>
    <w:rsid w:val="00DC5A0E"/>
    <w:rsid w:val="00DD1DFC"/>
    <w:rsid w:val="00DE0ECF"/>
    <w:rsid w:val="00DE4BAF"/>
    <w:rsid w:val="00E103F4"/>
    <w:rsid w:val="00E27C94"/>
    <w:rsid w:val="00E31B72"/>
    <w:rsid w:val="00E475DD"/>
    <w:rsid w:val="00E51079"/>
    <w:rsid w:val="00E51920"/>
    <w:rsid w:val="00E64120"/>
    <w:rsid w:val="00E660A1"/>
    <w:rsid w:val="00E6742D"/>
    <w:rsid w:val="00E72AE9"/>
    <w:rsid w:val="00E851C4"/>
    <w:rsid w:val="00EA4093"/>
    <w:rsid w:val="00EA40D1"/>
    <w:rsid w:val="00EB096F"/>
    <w:rsid w:val="00EF01A4"/>
    <w:rsid w:val="00EF6C2B"/>
    <w:rsid w:val="00F055F1"/>
    <w:rsid w:val="00F610AF"/>
    <w:rsid w:val="00FA2C5A"/>
    <w:rsid w:val="00FC2D11"/>
    <w:rsid w:val="00FC6230"/>
    <w:rsid w:val="00FD04B5"/>
    <w:rsid w:val="00FD25D8"/>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9FB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1E60D6"/>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0"/>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1"/>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22"/>
      </w:numPr>
      <w:tabs>
        <w:tab w:val="left" w:pos="1276"/>
      </w:tabs>
      <w:spacing w:line="360" w:lineRule="auto"/>
      <w:ind w:left="1276" w:hanging="312"/>
    </w:pPr>
    <w:rPr>
      <w:rFonts w:ascii="Arial" w:hAnsi="Arial"/>
    </w:rPr>
  </w:style>
  <w:style w:type="paragraph" w:customStyle="1" w:styleId="Paragraph">
    <w:name w:val="Paragraph"/>
    <w:basedOn w:val="Normal"/>
    <w:uiPriority w:val="99"/>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iPriority w:val="99"/>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23"/>
      </w:numPr>
    </w:pPr>
  </w:style>
  <w:style w:type="table" w:styleId="TableGrid">
    <w:name w:val="Table Grid"/>
    <w:basedOn w:val="TableNormal"/>
    <w:uiPriority w:val="59"/>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4"/>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paragraph" w:customStyle="1" w:styleId="Paragraphnonumbers">
    <w:name w:val="Paragraph no numbers"/>
    <w:basedOn w:val="Normal"/>
    <w:uiPriority w:val="99"/>
    <w:qFormat/>
    <w:rsid w:val="002E482A"/>
    <w:pPr>
      <w:spacing w:before="240" w:after="240" w:line="276" w:lineRule="auto"/>
    </w:pPr>
    <w:rPr>
      <w:rFonts w:ascii="Arial" w:hAnsi="Arial"/>
      <w:lang w:eastAsia="en-US"/>
    </w:rPr>
  </w:style>
  <w:style w:type="paragraph" w:customStyle="1" w:styleId="tabletext0">
    <w:name w:val="table text"/>
    <w:basedOn w:val="Paragraphnonumbers"/>
    <w:link w:val="tabletextChar"/>
    <w:qFormat/>
    <w:rsid w:val="002E482A"/>
    <w:pPr>
      <w:spacing w:before="60" w:after="60" w:line="240" w:lineRule="auto"/>
    </w:pPr>
    <w:rPr>
      <w:lang w:eastAsia="en-GB"/>
    </w:rPr>
  </w:style>
  <w:style w:type="character" w:customStyle="1" w:styleId="tabletextChar">
    <w:name w:val="table text Char"/>
    <w:basedOn w:val="DefaultParagraphFont"/>
    <w:link w:val="tabletext0"/>
    <w:rsid w:val="002E482A"/>
    <w:rPr>
      <w:rFonts w:ascii="Arial" w:hAnsi="Arial"/>
      <w:sz w:val="24"/>
      <w:szCs w:val="24"/>
    </w:rPr>
  </w:style>
  <w:style w:type="character" w:styleId="UnresolvedMention">
    <w:name w:val="Unresolved Mention"/>
    <w:basedOn w:val="DefaultParagraphFont"/>
    <w:uiPriority w:val="99"/>
    <w:semiHidden/>
    <w:unhideWhenUsed/>
    <w:rsid w:val="002E482A"/>
    <w:rPr>
      <w:color w:val="605E5C"/>
      <w:shd w:val="clear" w:color="auto" w:fill="E1DFDD"/>
    </w:rPr>
  </w:style>
  <w:style w:type="paragraph" w:customStyle="1" w:styleId="NICEnormal">
    <w:name w:val="NICE normal"/>
    <w:link w:val="NICEnormalChar"/>
    <w:rsid w:val="00D712FC"/>
    <w:pPr>
      <w:spacing w:after="240" w:line="360" w:lineRule="auto"/>
    </w:pPr>
    <w:rPr>
      <w:rFonts w:ascii="Arial" w:hAnsi="Arial"/>
      <w:sz w:val="24"/>
      <w:szCs w:val="24"/>
      <w:lang w:val="en-US" w:eastAsia="en-US"/>
    </w:rPr>
  </w:style>
  <w:style w:type="character" w:customStyle="1" w:styleId="NICEnormalChar">
    <w:name w:val="NICE normal Char"/>
    <w:basedOn w:val="DefaultParagraphFont"/>
    <w:link w:val="NICEnormal"/>
    <w:rsid w:val="00D712FC"/>
    <w:rPr>
      <w:rFonts w:ascii="Arial" w:hAnsi="Arial"/>
      <w:sz w:val="24"/>
      <w:szCs w:val="24"/>
      <w:lang w:val="en-US" w:eastAsia="en-US"/>
    </w:rPr>
  </w:style>
  <w:style w:type="paragraph" w:customStyle="1" w:styleId="TableText1">
    <w:name w:val="Table Text 1"/>
    <w:basedOn w:val="Normal"/>
    <w:qFormat/>
    <w:rsid w:val="00D712FC"/>
    <w:rPr>
      <w:rFonts w:ascii="Arial" w:hAnsi="Arial"/>
      <w:sz w:val="22"/>
    </w:rPr>
  </w:style>
  <w:style w:type="paragraph" w:styleId="ListParagraph">
    <w:name w:val="List Paragraph"/>
    <w:basedOn w:val="Normal"/>
    <w:uiPriority w:val="34"/>
    <w:semiHidden/>
    <w:qFormat/>
    <w:rsid w:val="000D11C7"/>
    <w:pPr>
      <w:ind w:left="720"/>
      <w:contextualSpacing/>
    </w:pPr>
  </w:style>
  <w:style w:type="paragraph" w:styleId="Revision">
    <w:name w:val="Revision"/>
    <w:hidden/>
    <w:uiPriority w:val="99"/>
    <w:semiHidden/>
    <w:rsid w:val="00CE706A"/>
    <w:rPr>
      <w:sz w:val="24"/>
      <w:szCs w:val="24"/>
    </w:rPr>
  </w:style>
  <w:style w:type="character" w:styleId="FollowedHyperlink">
    <w:name w:val="FollowedHyperlink"/>
    <w:basedOn w:val="DefaultParagraphFont"/>
    <w:semiHidden/>
    <w:rsid w:val="00CE706A"/>
    <w:rPr>
      <w:color w:val="00436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843167">
      <w:bodyDiv w:val="1"/>
      <w:marLeft w:val="0"/>
      <w:marRight w:val="0"/>
      <w:marTop w:val="0"/>
      <w:marBottom w:val="0"/>
      <w:divBdr>
        <w:top w:val="none" w:sz="0" w:space="0" w:color="auto"/>
        <w:left w:val="none" w:sz="0" w:space="0" w:color="auto"/>
        <w:bottom w:val="none" w:sz="0" w:space="0" w:color="auto"/>
        <w:right w:val="none" w:sz="0" w:space="0" w:color="auto"/>
      </w:divBdr>
    </w:div>
    <w:div w:id="1241672864">
      <w:bodyDiv w:val="1"/>
      <w:marLeft w:val="0"/>
      <w:marRight w:val="0"/>
      <w:marTop w:val="0"/>
      <w:marBottom w:val="0"/>
      <w:divBdr>
        <w:top w:val="none" w:sz="0" w:space="0" w:color="auto"/>
        <w:left w:val="none" w:sz="0" w:space="0" w:color="auto"/>
        <w:bottom w:val="none" w:sz="0" w:space="0" w:color="auto"/>
        <w:right w:val="none" w:sz="0" w:space="0" w:color="auto"/>
      </w:divBdr>
    </w:div>
    <w:div w:id="1441877035">
      <w:bodyDiv w:val="1"/>
      <w:marLeft w:val="0"/>
      <w:marRight w:val="0"/>
      <w:marTop w:val="0"/>
      <w:marBottom w:val="0"/>
      <w:divBdr>
        <w:top w:val="none" w:sz="0" w:space="0" w:color="auto"/>
        <w:left w:val="none" w:sz="0" w:space="0" w:color="auto"/>
        <w:bottom w:val="none" w:sz="0" w:space="0" w:color="auto"/>
        <w:right w:val="none" w:sz="0" w:space="0" w:color="auto"/>
      </w:divBdr>
    </w:div>
    <w:div w:id="1557859131">
      <w:bodyDiv w:val="1"/>
      <w:marLeft w:val="0"/>
      <w:marRight w:val="0"/>
      <w:marTop w:val="0"/>
      <w:marBottom w:val="0"/>
      <w:divBdr>
        <w:top w:val="none" w:sz="0" w:space="0" w:color="auto"/>
        <w:left w:val="none" w:sz="0" w:space="0" w:color="auto"/>
        <w:bottom w:val="none" w:sz="0" w:space="0" w:color="auto"/>
        <w:right w:val="none" w:sz="0" w:space="0" w:color="auto"/>
      </w:divBdr>
    </w:div>
    <w:div w:id="158495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nice.org.uk/indicators/ind220-weight-management-referral-to-weight-management-programmes-for-obesity" TargetMode="External"/><Relationship Id="rId26" Type="http://schemas.openxmlformats.org/officeDocument/2006/relationships/hyperlink" Target="https://www.nice.org.uk/guidance/ta1026" TargetMode="External"/><Relationship Id="rId39" Type="http://schemas.openxmlformats.org/officeDocument/2006/relationships/theme" Target="theme/theme1.xml"/><Relationship Id="rId21" Type="http://schemas.openxmlformats.org/officeDocument/2006/relationships/hyperlink" Target="https://www.nice.org.uk/guidance/ng246" TargetMode="External"/><Relationship Id="rId34" Type="http://schemas.openxmlformats.org/officeDocument/2006/relationships/hyperlink" Target="https://www.nice.org.uk/guidance/cg185" TargetMode="External"/><Relationship Id="rId7" Type="http://schemas.openxmlformats.org/officeDocument/2006/relationships/endnotes" Target="endnotes.xml"/><Relationship Id="rId12" Type="http://schemas.openxmlformats.org/officeDocument/2006/relationships/hyperlink" Target="https://www.nice.org.uk/guidance/qs212" TargetMode="External"/><Relationship Id="rId17" Type="http://schemas.openxmlformats.org/officeDocument/2006/relationships/hyperlink" Target="https://www.nice.org.uk/guidance/indevelopment/gid-ng10436" TargetMode="External"/><Relationship Id="rId25" Type="http://schemas.openxmlformats.org/officeDocument/2006/relationships/hyperlink" Target="https://www.nice.org.uk/guidance/ta1026" TargetMode="External"/><Relationship Id="rId33" Type="http://schemas.openxmlformats.org/officeDocument/2006/relationships/hyperlink" Target="https://www.nice.org.uk/guidance/cg178"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ice.org.uk/guidance/qs212/chapter/Quality-statement-1-Recording-BMI-and-waist-to-height-ratio-in-adults" TargetMode="External"/><Relationship Id="rId20" Type="http://schemas.openxmlformats.org/officeDocument/2006/relationships/hyperlink" Target="https://www.nice.org.uk/guidance/qs212/chapter/Quality-statement-1-Recording-BMI-and-waist-to-height-ratio-in-adults" TargetMode="External"/><Relationship Id="rId29" Type="http://schemas.openxmlformats.org/officeDocument/2006/relationships/hyperlink" Target="https://www.nice.org.uk/guidance/ta10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indicators/ind151-weight-management-bmi-recording-long-term-conditions" TargetMode="External"/><Relationship Id="rId24" Type="http://schemas.openxmlformats.org/officeDocument/2006/relationships/hyperlink" Target="https://www.nice.org.uk/guidance/ng115" TargetMode="External"/><Relationship Id="rId32" Type="http://schemas.openxmlformats.org/officeDocument/2006/relationships/hyperlink" Target="https://www.nice.org.uk/guidance/ta1026" TargetMode="External"/><Relationship Id="rId37" Type="http://schemas.openxmlformats.org/officeDocument/2006/relationships/hyperlink" Target="https://www.nice.org.uk/guidance/indevelopment/gid-ng10436"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nice.org.uk/guidance/qs212/chapter/Quality-statement-1-Recording-BMI-and-waist-to-height-ratio-in-adults" TargetMode="External"/><Relationship Id="rId28" Type="http://schemas.openxmlformats.org/officeDocument/2006/relationships/hyperlink" Target="https://www.nice.org.uk/guidance/ta1026" TargetMode="External"/><Relationship Id="rId36" Type="http://schemas.openxmlformats.org/officeDocument/2006/relationships/hyperlink" Target="https://www.nice.org.uk/guidance/qs212/chapter/Quality-statement-1-Recording-BMI-and-waist-to-height-ratio-in-adults" TargetMode="External"/><Relationship Id="rId10" Type="http://schemas.openxmlformats.org/officeDocument/2006/relationships/hyperlink" Target="https://www.cvdprevent.nhs.uk/" TargetMode="External"/><Relationship Id="rId19" Type="http://schemas.openxmlformats.org/officeDocument/2006/relationships/hyperlink" Target="https://www.nice.org.uk/indicators/ind221-weight-management-referral-to-weight-management-programmes-for-obesity-co-existing-hypertension-or-diabetes" TargetMode="External"/><Relationship Id="rId31" Type="http://schemas.openxmlformats.org/officeDocument/2006/relationships/hyperlink" Target="https://www.nice.org.uk/guidance/ta1026" TargetMode="External"/><Relationship Id="rId4" Type="http://schemas.openxmlformats.org/officeDocument/2006/relationships/settings" Target="settings.xml"/><Relationship Id="rId9" Type="http://schemas.openxmlformats.org/officeDocument/2006/relationships/hyperlink" Target="https://bmcmedicine.biomedcentral.com/articles/10.1186/s12916-019-1446-y" TargetMode="External"/><Relationship Id="rId14" Type="http://schemas.openxmlformats.org/officeDocument/2006/relationships/header" Target="header1.xml"/><Relationship Id="rId22" Type="http://schemas.openxmlformats.org/officeDocument/2006/relationships/hyperlink" Target="https://www.nice.org.uk/guidance/qs212/chapter/Quality-statement-1-Recording-BMI-and-waist-to-height-ratio-in-adults" TargetMode="External"/><Relationship Id="rId27" Type="http://schemas.openxmlformats.org/officeDocument/2006/relationships/hyperlink" Target="https://www.nice.org.uk/guidance/ph38" TargetMode="External"/><Relationship Id="rId30" Type="http://schemas.openxmlformats.org/officeDocument/2006/relationships/hyperlink" Target="https://cks.nice.org.uk/topics/polycystic-ovary-syndrome/" TargetMode="External"/><Relationship Id="rId35" Type="http://schemas.openxmlformats.org/officeDocument/2006/relationships/hyperlink" Target="https://www.nice.org.uk/guidance/ta1026" TargetMode="External"/><Relationship Id="rId8" Type="http://schemas.openxmlformats.org/officeDocument/2006/relationships/hyperlink" Target="https://www.nice.org.uk/indicators/ind151-weight-management-bmi-recording-long-term-conditions"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5520</Words>
  <Characters>31580</Characters>
  <Application>Microsoft Office Word</Application>
  <DocSecurity>0</DocSecurity>
  <Lines>956</Lines>
  <Paragraphs>155</Paragraphs>
  <ScaleCrop>false</ScaleCrop>
  <Company/>
  <LinksUpToDate>false</LinksUpToDate>
  <CharactersWithSpaces>36945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2025-10-29T12:06:00Z</dcterms:created>
  <dcterms:modified xsi:type="dcterms:W3CDTF">2025-10-29T12:06:00Z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2025-10-29T12:06:46Z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4bf2975b-ac39-4886-977f-f093c34479c3</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