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804B" w14:textId="77777777" w:rsidR="003B0466" w:rsidRDefault="003B0466" w:rsidP="00363276">
      <w:pPr>
        <w:pStyle w:val="Title"/>
        <w:rPr>
          <w:sz w:val="40"/>
          <w:szCs w:val="40"/>
        </w:rPr>
      </w:pPr>
      <w:r>
        <w:rPr>
          <w:sz w:val="40"/>
          <w:szCs w:val="40"/>
        </w:rPr>
        <w:t xml:space="preserve">Indicator development programme </w:t>
      </w:r>
    </w:p>
    <w:p w14:paraId="6965992E"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79B2750A" w14:textId="3372E80F" w:rsidR="009B0E59" w:rsidRPr="009B0E59" w:rsidRDefault="009B0E59" w:rsidP="00192685">
      <w:pPr>
        <w:pStyle w:val="Heading1"/>
        <w:rPr>
          <w:lang w:eastAsia="en-GB"/>
        </w:rPr>
      </w:pPr>
      <w:r w:rsidRPr="009B0E59">
        <w:rPr>
          <w:lang w:eastAsia="en-GB"/>
        </w:rPr>
        <w:t xml:space="preserve">Indicator </w:t>
      </w:r>
      <w:r w:rsidR="000732EC">
        <w:rPr>
          <w:lang w:eastAsia="en-GB"/>
        </w:rPr>
        <w:t>IND</w:t>
      </w:r>
      <w:r w:rsidR="00314C27">
        <w:rPr>
          <w:lang w:eastAsia="en-GB"/>
        </w:rPr>
        <w:t>320</w:t>
      </w:r>
    </w:p>
    <w:p w14:paraId="4E410016" w14:textId="49F543D5" w:rsidR="009B0E59" w:rsidRDefault="0031212D" w:rsidP="009B0E59">
      <w:pPr>
        <w:pStyle w:val="Paragraph"/>
        <w:rPr>
          <w:lang w:eastAsia="en-GB"/>
        </w:rPr>
      </w:pPr>
      <w:r w:rsidRPr="0031212D">
        <w:rPr>
          <w:lang w:eastAsia="en-GB"/>
        </w:rPr>
        <w:t>The percentage of patients with coronary heart disease, stroke or TIA, diabetes, at high risk of developing type 2 diabetes, hypertension, peripheral arterial disease, heart failure, COPD, dyslipidaemia, learning disability, obstructive sleep apnoea, schizophrenia, bipolar disorder or other psychoses who have had a BMI recorded in the preceding 12 months.</w:t>
      </w:r>
      <w:r>
        <w:rPr>
          <w:lang w:eastAsia="en-GB"/>
        </w:rPr>
        <w:t xml:space="preserve"> </w:t>
      </w:r>
    </w:p>
    <w:p w14:paraId="2EAD24C9" w14:textId="77777777" w:rsidR="00236060" w:rsidRDefault="00236060" w:rsidP="00192685">
      <w:pPr>
        <w:pStyle w:val="Heading1"/>
      </w:pPr>
      <w:r>
        <w:t xml:space="preserve">Indicator type </w:t>
      </w:r>
    </w:p>
    <w:p w14:paraId="4368EFDD" w14:textId="77777777" w:rsidR="00236060" w:rsidRDefault="00236060" w:rsidP="00236060">
      <w:pPr>
        <w:pStyle w:val="Paragraph"/>
      </w:pPr>
      <w:r w:rsidRPr="0031212D">
        <w:t>General practice indicator suitable for use in the Quality and Outcomes Framework.</w:t>
      </w:r>
    </w:p>
    <w:p w14:paraId="263D1D6E"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0B2ECA1B" w14:textId="77777777" w:rsidTr="002338EB">
        <w:tc>
          <w:tcPr>
            <w:tcW w:w="5949" w:type="dxa"/>
          </w:tcPr>
          <w:p w14:paraId="119EBE83"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11FF5363"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31212D" w14:paraId="03CDA82D" w14:textId="77777777" w:rsidTr="002338EB">
        <w:tc>
          <w:tcPr>
            <w:tcW w:w="5949" w:type="dxa"/>
          </w:tcPr>
          <w:p w14:paraId="6AAB4341" w14:textId="7A6B3ADC" w:rsidR="0031212D" w:rsidRPr="002338EB" w:rsidRDefault="0031212D" w:rsidP="0031212D">
            <w:pPr>
              <w:pStyle w:val="Paragraph"/>
              <w:spacing w:before="120" w:after="120" w:line="240" w:lineRule="auto"/>
              <w:rPr>
                <w:highlight w:val="lightGray"/>
              </w:rPr>
            </w:pPr>
            <w:r w:rsidRPr="00A31413">
              <w:rPr>
                <w:rFonts w:cs="Arial"/>
                <w:sz w:val="22"/>
                <w:szCs w:val="22"/>
              </w:rPr>
              <w:t xml:space="preserve">The </w:t>
            </w:r>
            <w:hyperlink r:id="rId7" w:history="1">
              <w:r w:rsidR="00C25624">
                <w:rPr>
                  <w:rStyle w:val="Hyperlink"/>
                  <w:rFonts w:cs="Arial"/>
                  <w:sz w:val="22"/>
                  <w:szCs w:val="22"/>
                </w:rPr>
                <w:t>10 year health plan for England</w:t>
              </w:r>
            </w:hyperlink>
            <w:r w:rsidRPr="00A31413">
              <w:rPr>
                <w:rFonts w:cs="Arial"/>
                <w:sz w:val="22"/>
                <w:szCs w:val="22"/>
              </w:rPr>
              <w:t xml:space="preserve"> identifies obesity as a clinical priority</w:t>
            </w:r>
            <w:r w:rsidR="00314C27">
              <w:rPr>
                <w:rFonts w:cs="Arial"/>
                <w:sz w:val="22"/>
                <w:szCs w:val="22"/>
              </w:rPr>
              <w:t>.</w:t>
            </w:r>
          </w:p>
        </w:tc>
        <w:tc>
          <w:tcPr>
            <w:tcW w:w="3118" w:type="dxa"/>
          </w:tcPr>
          <w:p w14:paraId="7022D837" w14:textId="6BC5C8E5" w:rsidR="0031212D" w:rsidRPr="002338EB" w:rsidRDefault="0031212D" w:rsidP="0031212D">
            <w:pPr>
              <w:pStyle w:val="Paragraph"/>
              <w:spacing w:before="120" w:after="120" w:line="240" w:lineRule="auto"/>
              <w:rPr>
                <w:highlight w:val="lightGray"/>
              </w:rPr>
            </w:pPr>
            <w:r w:rsidRPr="00A31413">
              <w:rPr>
                <w:rFonts w:cs="Arial"/>
                <w:color w:val="000000"/>
                <w:kern w:val="24"/>
                <w:sz w:val="22"/>
                <w:szCs w:val="22"/>
                <w:lang w:val="en-US"/>
              </w:rPr>
              <w:t>The indicator reflects a specific priority area identified by NHS England.</w:t>
            </w:r>
          </w:p>
        </w:tc>
      </w:tr>
      <w:tr w:rsidR="00735337" w14:paraId="4F790FD8" w14:textId="77777777" w:rsidTr="002338EB">
        <w:tc>
          <w:tcPr>
            <w:tcW w:w="5949" w:type="dxa"/>
          </w:tcPr>
          <w:p w14:paraId="0544AA30" w14:textId="6761DC86" w:rsidR="00735337" w:rsidRPr="0031212D" w:rsidRDefault="0031212D" w:rsidP="00735337">
            <w:pPr>
              <w:pStyle w:val="Paragraph"/>
              <w:spacing w:before="120" w:after="120" w:line="240" w:lineRule="auto"/>
              <w:rPr>
                <w:rFonts w:cs="Arial"/>
                <w:sz w:val="22"/>
                <w:szCs w:val="22"/>
              </w:rPr>
            </w:pPr>
            <w:r w:rsidRPr="00A31413">
              <w:rPr>
                <w:rFonts w:cs="Arial"/>
                <w:sz w:val="22"/>
                <w:szCs w:val="22"/>
              </w:rPr>
              <w:t xml:space="preserve">The </w:t>
            </w:r>
            <w:hyperlink r:id="rId8" w:history="1">
              <w:r w:rsidRPr="00A31413">
                <w:rPr>
                  <w:rStyle w:val="Hyperlink"/>
                  <w:rFonts w:cs="Arial"/>
                  <w:sz w:val="22"/>
                  <w:szCs w:val="22"/>
                </w:rPr>
                <w:t>Health Survey for England</w:t>
              </w:r>
            </w:hyperlink>
            <w:r w:rsidRPr="00A31413">
              <w:rPr>
                <w:rFonts w:cs="Arial"/>
                <w:sz w:val="22"/>
                <w:szCs w:val="22"/>
              </w:rPr>
              <w:t xml:space="preserve"> </w:t>
            </w:r>
            <w:r w:rsidR="00854198">
              <w:rPr>
                <w:rFonts w:cs="Arial"/>
                <w:sz w:val="22"/>
                <w:szCs w:val="22"/>
              </w:rPr>
              <w:t xml:space="preserve">for 2022 </w:t>
            </w:r>
            <w:r w:rsidRPr="00A31413">
              <w:rPr>
                <w:rFonts w:cs="Arial"/>
                <w:sz w:val="22"/>
                <w:szCs w:val="22"/>
              </w:rPr>
              <w:t xml:space="preserve">reports </w:t>
            </w:r>
            <w:r w:rsidR="00F06B7C">
              <w:rPr>
                <w:rFonts w:cs="Arial"/>
                <w:sz w:val="22"/>
                <w:szCs w:val="22"/>
              </w:rPr>
              <w:t>that</w:t>
            </w:r>
            <w:r>
              <w:rPr>
                <w:rFonts w:cs="Arial"/>
                <w:sz w:val="22"/>
                <w:szCs w:val="22"/>
              </w:rPr>
              <w:t xml:space="preserve"> 41% of </w:t>
            </w:r>
            <w:r w:rsidRPr="0031212D">
              <w:rPr>
                <w:rFonts w:cs="Arial"/>
                <w:sz w:val="22"/>
                <w:szCs w:val="22"/>
              </w:rPr>
              <w:t>adults had at least one longstanding illness or condition.</w:t>
            </w:r>
            <w:r w:rsidR="00487006">
              <w:rPr>
                <w:rFonts w:cs="Arial"/>
                <w:sz w:val="22"/>
                <w:szCs w:val="22"/>
              </w:rPr>
              <w:t xml:space="preserve"> It also reports that</w:t>
            </w:r>
            <w:r w:rsidR="004A7AD4">
              <w:rPr>
                <w:rFonts w:cs="Arial"/>
                <w:sz w:val="22"/>
                <w:szCs w:val="22"/>
              </w:rPr>
              <w:t>:</w:t>
            </w:r>
          </w:p>
          <w:p w14:paraId="23721F89" w14:textId="7058198C" w:rsidR="0031212D" w:rsidRDefault="0031212D" w:rsidP="00735337">
            <w:pPr>
              <w:pStyle w:val="Paragraph"/>
              <w:spacing w:before="120" w:after="120" w:line="240" w:lineRule="auto"/>
              <w:rPr>
                <w:rFonts w:cs="Arial"/>
                <w:sz w:val="22"/>
                <w:szCs w:val="22"/>
              </w:rPr>
            </w:pPr>
            <w:r w:rsidRPr="0031212D">
              <w:rPr>
                <w:rFonts w:cs="Arial"/>
                <w:sz w:val="22"/>
                <w:szCs w:val="22"/>
              </w:rPr>
              <w:t>In adult</w:t>
            </w:r>
            <w:r w:rsidR="004A7AD4">
              <w:rPr>
                <w:rFonts w:cs="Arial"/>
                <w:sz w:val="22"/>
                <w:szCs w:val="22"/>
              </w:rPr>
              <w:t xml:space="preserve">s - </w:t>
            </w:r>
          </w:p>
          <w:p w14:paraId="20B4CB85" w14:textId="7734EACF" w:rsidR="0031212D" w:rsidRDefault="00487006" w:rsidP="0031212D">
            <w:pPr>
              <w:pStyle w:val="Paragraph"/>
              <w:numPr>
                <w:ilvl w:val="0"/>
                <w:numId w:val="41"/>
              </w:numPr>
              <w:spacing w:before="120" w:after="120" w:line="240" w:lineRule="auto"/>
              <w:rPr>
                <w:rFonts w:cs="Arial"/>
                <w:sz w:val="22"/>
                <w:szCs w:val="22"/>
              </w:rPr>
            </w:pPr>
            <w:r>
              <w:rPr>
                <w:rFonts w:cs="Arial"/>
                <w:sz w:val="22"/>
                <w:szCs w:val="22"/>
              </w:rPr>
              <w:t>35% were living with overweight (36% in 2015)</w:t>
            </w:r>
          </w:p>
          <w:p w14:paraId="35691942" w14:textId="38B9DB0B" w:rsidR="00487006" w:rsidRDefault="00487006" w:rsidP="0031212D">
            <w:pPr>
              <w:pStyle w:val="Paragraph"/>
              <w:numPr>
                <w:ilvl w:val="0"/>
                <w:numId w:val="41"/>
              </w:numPr>
              <w:spacing w:before="120" w:after="120" w:line="240" w:lineRule="auto"/>
              <w:rPr>
                <w:rFonts w:cs="Arial"/>
                <w:sz w:val="22"/>
                <w:szCs w:val="22"/>
              </w:rPr>
            </w:pPr>
            <w:r>
              <w:rPr>
                <w:rFonts w:cs="Arial"/>
                <w:sz w:val="22"/>
                <w:szCs w:val="22"/>
              </w:rPr>
              <w:t>32% were living with obesity including morbid obesity (30% in 2015)</w:t>
            </w:r>
            <w:r w:rsidR="00854198">
              <w:rPr>
                <w:rFonts w:cs="Arial"/>
                <w:sz w:val="22"/>
                <w:szCs w:val="22"/>
              </w:rPr>
              <w:t>.</w:t>
            </w:r>
          </w:p>
          <w:p w14:paraId="6E8BA772" w14:textId="43958631" w:rsidR="00487006" w:rsidRDefault="00487006" w:rsidP="00487006">
            <w:pPr>
              <w:pStyle w:val="Paragraph"/>
              <w:spacing w:before="120" w:after="120" w:line="240" w:lineRule="auto"/>
              <w:rPr>
                <w:rFonts w:cs="Arial"/>
                <w:sz w:val="22"/>
                <w:szCs w:val="22"/>
              </w:rPr>
            </w:pPr>
            <w:r>
              <w:rPr>
                <w:rFonts w:cs="Arial"/>
                <w:sz w:val="22"/>
                <w:szCs w:val="22"/>
              </w:rPr>
              <w:t xml:space="preserve">In children aged 2 </w:t>
            </w:r>
            <w:r w:rsidR="00F06B7C">
              <w:rPr>
                <w:rFonts w:cs="Arial"/>
                <w:sz w:val="22"/>
                <w:szCs w:val="22"/>
              </w:rPr>
              <w:t xml:space="preserve">to </w:t>
            </w:r>
            <w:r>
              <w:rPr>
                <w:rFonts w:cs="Arial"/>
                <w:sz w:val="22"/>
                <w:szCs w:val="22"/>
              </w:rPr>
              <w:t>15 years</w:t>
            </w:r>
            <w:r w:rsidR="004A7AD4">
              <w:rPr>
                <w:rFonts w:cs="Arial"/>
                <w:sz w:val="22"/>
                <w:szCs w:val="22"/>
              </w:rPr>
              <w:t xml:space="preserve"> - </w:t>
            </w:r>
          </w:p>
          <w:p w14:paraId="2573356E" w14:textId="3CBFD067" w:rsidR="00487006" w:rsidRDefault="00487006" w:rsidP="00487006">
            <w:pPr>
              <w:pStyle w:val="Paragraph"/>
              <w:numPr>
                <w:ilvl w:val="0"/>
                <w:numId w:val="42"/>
              </w:numPr>
              <w:spacing w:before="120" w:after="120" w:line="240" w:lineRule="auto"/>
              <w:rPr>
                <w:rFonts w:cs="Arial"/>
                <w:sz w:val="22"/>
                <w:szCs w:val="22"/>
              </w:rPr>
            </w:pPr>
            <w:r>
              <w:rPr>
                <w:rFonts w:cs="Arial"/>
                <w:sz w:val="22"/>
                <w:szCs w:val="22"/>
              </w:rPr>
              <w:t>12% were living with overweight (14% in 2015)</w:t>
            </w:r>
          </w:p>
          <w:p w14:paraId="2460C18B" w14:textId="2E0285FC" w:rsidR="00487006" w:rsidRPr="0031212D" w:rsidRDefault="00487006" w:rsidP="00487006">
            <w:pPr>
              <w:pStyle w:val="Paragraph"/>
              <w:numPr>
                <w:ilvl w:val="0"/>
                <w:numId w:val="42"/>
              </w:numPr>
              <w:spacing w:before="120" w:after="120" w:line="240" w:lineRule="auto"/>
              <w:rPr>
                <w:rFonts w:cs="Arial"/>
                <w:sz w:val="22"/>
                <w:szCs w:val="22"/>
              </w:rPr>
            </w:pPr>
            <w:r>
              <w:rPr>
                <w:rFonts w:cs="Arial"/>
                <w:sz w:val="22"/>
                <w:szCs w:val="22"/>
              </w:rPr>
              <w:t>15% were living with obesity (14% in 2015)</w:t>
            </w:r>
            <w:r w:rsidR="00854198">
              <w:rPr>
                <w:rFonts w:cs="Arial"/>
                <w:sz w:val="22"/>
                <w:szCs w:val="22"/>
              </w:rPr>
              <w:t>.</w:t>
            </w:r>
          </w:p>
          <w:p w14:paraId="6E04F906" w14:textId="42886BBA" w:rsidR="0031212D" w:rsidRDefault="00314C27" w:rsidP="00735337">
            <w:pPr>
              <w:pStyle w:val="Paragraph"/>
              <w:spacing w:before="120" w:after="120" w:line="240" w:lineRule="auto"/>
              <w:rPr>
                <w:rFonts w:cs="Arial"/>
                <w:sz w:val="22"/>
                <w:szCs w:val="22"/>
              </w:rPr>
            </w:pPr>
            <w:r>
              <w:rPr>
                <w:rFonts w:cs="Arial"/>
                <w:sz w:val="22"/>
                <w:szCs w:val="22"/>
              </w:rPr>
              <w:t>22% of adults are living with obesity in the least deprived areas of England compared to 36% in the most deprived areas</w:t>
            </w:r>
            <w:r w:rsidR="00487006" w:rsidRPr="00487006">
              <w:rPr>
                <w:rFonts w:cs="Arial"/>
                <w:sz w:val="22"/>
                <w:szCs w:val="22"/>
              </w:rPr>
              <w:t>. There is also variation by gender, with men having higher levels of overweight.</w:t>
            </w:r>
          </w:p>
          <w:p w14:paraId="49613F10" w14:textId="49F857BF" w:rsidR="007A6677" w:rsidRDefault="005F72B2" w:rsidP="00735337">
            <w:pPr>
              <w:pStyle w:val="Paragraph"/>
              <w:spacing w:before="120" w:after="120" w:line="240" w:lineRule="auto"/>
              <w:rPr>
                <w:rFonts w:cs="Arial"/>
                <w:sz w:val="22"/>
                <w:szCs w:val="22"/>
              </w:rPr>
            </w:pPr>
            <w:r>
              <w:rPr>
                <w:rFonts w:cs="Arial"/>
                <w:sz w:val="22"/>
                <w:szCs w:val="22"/>
              </w:rPr>
              <w:t>11% of children are living with obesity in the least deprived areas of England compared to 21% in the most deprived areas.</w:t>
            </w:r>
          </w:p>
          <w:p w14:paraId="1384EC9B" w14:textId="7DA7B8A5" w:rsidR="007A6677" w:rsidRPr="007A6677" w:rsidRDefault="007A6677" w:rsidP="00735337">
            <w:pPr>
              <w:pStyle w:val="Paragraph"/>
              <w:spacing w:before="120" w:after="120" w:line="240" w:lineRule="auto"/>
              <w:rPr>
                <w:sz w:val="22"/>
                <w:szCs w:val="22"/>
                <w:highlight w:val="lightGray"/>
              </w:rPr>
            </w:pPr>
            <w:r w:rsidRPr="007A6677">
              <w:rPr>
                <w:sz w:val="22"/>
                <w:szCs w:val="22"/>
              </w:rPr>
              <w:t>Recording of weight is not current routine activity in UK primary care, it is recorded for around 30% of all patients each year (</w:t>
            </w:r>
            <w:hyperlink r:id="rId9" w:anchor=":~:text=Weight%20recording%20is%20not%20routine,and%20in%20those%20with%20comorbidity." w:history="1">
              <w:r w:rsidRPr="007A6677">
                <w:rPr>
                  <w:rStyle w:val="Hyperlink"/>
                  <w:sz w:val="22"/>
                  <w:szCs w:val="22"/>
                </w:rPr>
                <w:t>Nicholson et al. 2022</w:t>
              </w:r>
            </w:hyperlink>
            <w:r w:rsidRPr="007A6677">
              <w:rPr>
                <w:sz w:val="22"/>
                <w:szCs w:val="22"/>
              </w:rPr>
              <w:t xml:space="preserve">). Data for patients with GP recorded CVD or CVD risk factors, indicates that about </w:t>
            </w:r>
            <w:r w:rsidRPr="007A6677">
              <w:rPr>
                <w:sz w:val="22"/>
                <w:szCs w:val="22"/>
              </w:rPr>
              <w:lastRenderedPageBreak/>
              <w:t>63% have a BMI record in the last 12 months (</w:t>
            </w:r>
            <w:hyperlink r:id="rId10" w:history="1">
              <w:r w:rsidRPr="007A6677">
                <w:rPr>
                  <w:rStyle w:val="Hyperlink"/>
                  <w:sz w:val="22"/>
                  <w:szCs w:val="22"/>
                </w:rPr>
                <w:t>CVDPREVENT</w:t>
              </w:r>
            </w:hyperlink>
            <w:r w:rsidRPr="007A6677">
              <w:rPr>
                <w:sz w:val="22"/>
                <w:szCs w:val="22"/>
              </w:rPr>
              <w:t>, 2025)</w:t>
            </w:r>
            <w:r w:rsidR="0041008D">
              <w:rPr>
                <w:sz w:val="22"/>
                <w:szCs w:val="22"/>
              </w:rPr>
              <w:t>.</w:t>
            </w:r>
          </w:p>
        </w:tc>
        <w:tc>
          <w:tcPr>
            <w:tcW w:w="3118" w:type="dxa"/>
          </w:tcPr>
          <w:p w14:paraId="6D75A224" w14:textId="77777777" w:rsidR="00735337" w:rsidRPr="007A6677" w:rsidRDefault="00735337" w:rsidP="00735337">
            <w:pPr>
              <w:spacing w:before="120" w:after="120"/>
              <w:rPr>
                <w:rFonts w:ascii="Arial" w:hAnsi="Arial" w:cs="Arial"/>
                <w:color w:val="000000"/>
                <w:kern w:val="24"/>
                <w:sz w:val="22"/>
                <w:szCs w:val="22"/>
                <w:lang w:val="en-US"/>
              </w:rPr>
            </w:pPr>
            <w:r w:rsidRPr="007A6677">
              <w:rPr>
                <w:rFonts w:ascii="Arial" w:hAnsi="Arial" w:cs="Arial"/>
                <w:color w:val="000000"/>
                <w:kern w:val="24"/>
                <w:sz w:val="22"/>
                <w:szCs w:val="22"/>
                <w:lang w:val="en-US"/>
              </w:rPr>
              <w:lastRenderedPageBreak/>
              <w:t>The indicator relates to an area where there is known variation in practice.</w:t>
            </w:r>
          </w:p>
          <w:p w14:paraId="54DA22E2" w14:textId="77777777" w:rsidR="00735337" w:rsidRPr="002338EB" w:rsidRDefault="00735337" w:rsidP="00735337">
            <w:pPr>
              <w:pStyle w:val="Paragraph"/>
              <w:spacing w:before="120" w:after="120" w:line="240" w:lineRule="auto"/>
              <w:rPr>
                <w:highlight w:val="lightGray"/>
              </w:rPr>
            </w:pPr>
            <w:r w:rsidRPr="007A6677">
              <w:rPr>
                <w:rFonts w:cs="Arial"/>
                <w:color w:val="000000"/>
                <w:kern w:val="24"/>
                <w:sz w:val="22"/>
                <w:szCs w:val="22"/>
                <w:lang w:val="en-US"/>
              </w:rPr>
              <w:t>The indicator addresses under-treatment.</w:t>
            </w:r>
          </w:p>
        </w:tc>
      </w:tr>
      <w:tr w:rsidR="00735337" w14:paraId="3875E4A9" w14:textId="77777777" w:rsidTr="002338EB">
        <w:tc>
          <w:tcPr>
            <w:tcW w:w="5949" w:type="dxa"/>
          </w:tcPr>
          <w:p w14:paraId="32D917B5" w14:textId="378D9F97" w:rsidR="00735337" w:rsidRPr="00AB6032" w:rsidRDefault="007A6677" w:rsidP="00735337">
            <w:pPr>
              <w:spacing w:before="120" w:after="120"/>
              <w:rPr>
                <w:rFonts w:ascii="Arial" w:hAnsi="Arial" w:cs="Arial"/>
                <w:sz w:val="22"/>
                <w:szCs w:val="22"/>
                <w:highlight w:val="cyan"/>
              </w:rPr>
            </w:pPr>
            <w:r w:rsidRPr="007A6677">
              <w:rPr>
                <w:rFonts w:ascii="Arial" w:hAnsi="Arial" w:cs="Arial"/>
                <w:sz w:val="22"/>
                <w:szCs w:val="22"/>
              </w:rPr>
              <w:t>This indicator aims to support regular weight measurement in adults with long-term conditions enabling potential definition of overweight, obesity and central adiposity, identification of changes in weight and central adiposity, and help in assessment and management of a long-term condition.</w:t>
            </w:r>
            <w:r w:rsidR="004351BE">
              <w:rPr>
                <w:rFonts w:ascii="Arial" w:hAnsi="Arial" w:cs="Arial"/>
                <w:sz w:val="22"/>
                <w:szCs w:val="22"/>
              </w:rPr>
              <w:t xml:space="preserve"> </w:t>
            </w:r>
            <w:r w:rsidR="004351BE" w:rsidRPr="004351BE">
              <w:rPr>
                <w:rFonts w:ascii="Arial" w:hAnsi="Arial" w:cs="Arial"/>
                <w:sz w:val="22"/>
                <w:szCs w:val="22"/>
              </w:rPr>
              <w:t>The conditions include those where risk of exacerbation or complication is greater with a higher BMI (e.g. stroke or TIA, COPD), as well as conditions that may have higher risk of and underdiagnosis of overweight and obesity (e.g. learning disability, schizophrenia, bipolar disorder or other psychoses).</w:t>
            </w:r>
          </w:p>
        </w:tc>
        <w:tc>
          <w:tcPr>
            <w:tcW w:w="3118" w:type="dxa"/>
          </w:tcPr>
          <w:p w14:paraId="4D6F3CFD" w14:textId="77777777" w:rsidR="00735337" w:rsidRPr="007A6677" w:rsidRDefault="00735337" w:rsidP="00735337">
            <w:pPr>
              <w:spacing w:before="120" w:after="120"/>
              <w:rPr>
                <w:rFonts w:ascii="Arial" w:hAnsi="Arial" w:cs="Arial"/>
                <w:color w:val="000000"/>
                <w:kern w:val="24"/>
                <w:sz w:val="22"/>
                <w:szCs w:val="22"/>
                <w:lang w:val="en-US"/>
              </w:rPr>
            </w:pPr>
            <w:r w:rsidRPr="007A6677">
              <w:rPr>
                <w:rFonts w:ascii="Arial" w:hAnsi="Arial" w:cs="Arial"/>
                <w:color w:val="000000"/>
                <w:kern w:val="24"/>
                <w:sz w:val="22"/>
                <w:szCs w:val="22"/>
                <w:lang w:val="en-US"/>
              </w:rPr>
              <w:t>The indicator will lead to a meaningful improvement in patient outcomes.</w:t>
            </w:r>
          </w:p>
          <w:p w14:paraId="3F83A5A1"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1DD1F2B3" w14:textId="77777777" w:rsidR="002338EB" w:rsidRDefault="002338EB" w:rsidP="002338EB">
      <w:pPr>
        <w:pStyle w:val="Heading3"/>
      </w:pPr>
    </w:p>
    <w:p w14:paraId="1A588590"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56E33F19" w14:textId="77777777" w:rsidTr="001C517D">
        <w:tc>
          <w:tcPr>
            <w:tcW w:w="5949" w:type="dxa"/>
          </w:tcPr>
          <w:p w14:paraId="51089232"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50DD5A6F"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16EEFF5E" w14:textId="77777777" w:rsidTr="00136429">
        <w:trPr>
          <w:trHeight w:val="1395"/>
        </w:trPr>
        <w:tc>
          <w:tcPr>
            <w:tcW w:w="5949" w:type="dxa"/>
          </w:tcPr>
          <w:p w14:paraId="72AAC03E" w14:textId="75485D02" w:rsidR="002338EB" w:rsidRPr="00136429" w:rsidRDefault="00136429" w:rsidP="002338EB">
            <w:pPr>
              <w:pStyle w:val="Paragraph"/>
              <w:spacing w:before="120" w:after="120" w:line="240" w:lineRule="auto"/>
              <w:rPr>
                <w:b/>
                <w:bCs/>
                <w:sz w:val="22"/>
                <w:szCs w:val="22"/>
              </w:rPr>
            </w:pPr>
            <w:hyperlink r:id="rId11">
              <w:r w:rsidRPr="00136429">
                <w:rPr>
                  <w:rStyle w:val="Hyperlink"/>
                  <w:sz w:val="22"/>
                  <w:szCs w:val="22"/>
                </w:rPr>
                <w:t>NICE’s guideline on overweight and obesity management</w:t>
              </w:r>
            </w:hyperlink>
            <w:r w:rsidRPr="00136429">
              <w:rPr>
                <w:sz w:val="22"/>
                <w:szCs w:val="22"/>
              </w:rPr>
              <w:t xml:space="preserve"> (2025) recommendations 1.9.3, 1.9.7, 1.9.10, 1.9.11, 1.10.4, 1.10.7 and 1.10.9</w:t>
            </w:r>
          </w:p>
        </w:tc>
        <w:tc>
          <w:tcPr>
            <w:tcW w:w="3118" w:type="dxa"/>
          </w:tcPr>
          <w:p w14:paraId="18679AD2" w14:textId="77777777" w:rsidR="002338EB" w:rsidRPr="00136429" w:rsidRDefault="002338EB" w:rsidP="002338EB">
            <w:pPr>
              <w:spacing w:before="120" w:after="120"/>
              <w:rPr>
                <w:rFonts w:ascii="Arial" w:hAnsi="Arial" w:cs="Arial"/>
                <w:color w:val="000000"/>
                <w:kern w:val="24"/>
                <w:sz w:val="22"/>
                <w:szCs w:val="22"/>
                <w:lang w:val="en-US"/>
              </w:rPr>
            </w:pPr>
            <w:r w:rsidRPr="00136429">
              <w:rPr>
                <w:rFonts w:ascii="Arial" w:hAnsi="Arial" w:cs="Arial"/>
                <w:color w:val="000000"/>
                <w:kern w:val="24"/>
                <w:sz w:val="22"/>
                <w:szCs w:val="22"/>
                <w:lang w:val="en-US"/>
              </w:rPr>
              <w:t xml:space="preserve">The indicator is derived from a high-quality evidence base. </w:t>
            </w:r>
          </w:p>
          <w:p w14:paraId="59AB2D20" w14:textId="77777777" w:rsidR="002338EB" w:rsidRPr="002338EB" w:rsidRDefault="002338EB" w:rsidP="002338EB">
            <w:pPr>
              <w:pStyle w:val="Paragraph"/>
              <w:spacing w:before="120" w:after="120" w:line="240" w:lineRule="auto"/>
              <w:rPr>
                <w:highlight w:val="lightGray"/>
              </w:rPr>
            </w:pPr>
            <w:r w:rsidRPr="00136429">
              <w:rPr>
                <w:rFonts w:cs="Arial"/>
                <w:color w:val="000000"/>
                <w:kern w:val="24"/>
                <w:sz w:val="22"/>
                <w:szCs w:val="22"/>
                <w:lang w:val="en-US"/>
              </w:rPr>
              <w:t>The indicator aligns with the evidence base.</w:t>
            </w:r>
          </w:p>
        </w:tc>
      </w:tr>
    </w:tbl>
    <w:p w14:paraId="69C76B59" w14:textId="77777777" w:rsidR="002338EB" w:rsidRDefault="002338EB" w:rsidP="002338EB">
      <w:pPr>
        <w:pStyle w:val="Paragraph"/>
      </w:pPr>
    </w:p>
    <w:p w14:paraId="226E29FF"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2C2A1020" w14:textId="77777777" w:rsidTr="001C517D">
        <w:tc>
          <w:tcPr>
            <w:tcW w:w="5949" w:type="dxa"/>
          </w:tcPr>
          <w:p w14:paraId="774DEE5B"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03BE0748"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1E515FE6" w14:textId="77777777" w:rsidTr="001C517D">
        <w:tc>
          <w:tcPr>
            <w:tcW w:w="5949" w:type="dxa"/>
          </w:tcPr>
          <w:p w14:paraId="5234B6CB" w14:textId="6794C836" w:rsidR="00136429" w:rsidRPr="00136429" w:rsidRDefault="00136429" w:rsidP="00136429">
            <w:pPr>
              <w:spacing w:before="120" w:after="120"/>
              <w:rPr>
                <w:rFonts w:ascii="Arial" w:hAnsi="Arial" w:cs="Arial"/>
                <w:color w:val="000000"/>
                <w:kern w:val="24"/>
                <w:sz w:val="22"/>
                <w:szCs w:val="22"/>
                <w:lang w:eastAsia="en-GB"/>
              </w:rPr>
            </w:pPr>
            <w:r w:rsidRPr="00136429">
              <w:rPr>
                <w:rFonts w:ascii="Arial" w:hAnsi="Arial" w:cs="Arial"/>
                <w:color w:val="000000"/>
                <w:kern w:val="24"/>
                <w:sz w:val="22"/>
                <w:szCs w:val="22"/>
                <w:lang w:eastAsia="en-GB"/>
              </w:rPr>
              <w:t>Numerator: The number of patients in the denominator</w:t>
            </w:r>
            <w:r>
              <w:rPr>
                <w:rFonts w:ascii="Arial" w:hAnsi="Arial" w:cs="Arial"/>
                <w:color w:val="000000"/>
                <w:kern w:val="24"/>
                <w:sz w:val="22"/>
                <w:szCs w:val="22"/>
                <w:lang w:eastAsia="en-GB"/>
              </w:rPr>
              <w:t xml:space="preserve"> </w:t>
            </w:r>
            <w:r w:rsidRPr="00136429">
              <w:rPr>
                <w:rFonts w:ascii="Arial" w:hAnsi="Arial" w:cs="Arial"/>
                <w:color w:val="000000"/>
                <w:kern w:val="24"/>
                <w:sz w:val="22"/>
                <w:szCs w:val="22"/>
                <w:lang w:eastAsia="en-GB"/>
              </w:rPr>
              <w:t>who have had a BMI recorded in the preceding 12 months.</w:t>
            </w:r>
          </w:p>
          <w:p w14:paraId="4B555B6B" w14:textId="77777777" w:rsidR="00136429" w:rsidRPr="00136429" w:rsidRDefault="00136429" w:rsidP="00136429">
            <w:pPr>
              <w:spacing w:before="120" w:after="120"/>
              <w:rPr>
                <w:rFonts w:ascii="Arial" w:hAnsi="Arial" w:cs="Arial"/>
                <w:color w:val="000000"/>
                <w:kern w:val="24"/>
                <w:sz w:val="22"/>
                <w:szCs w:val="22"/>
                <w:lang w:eastAsia="en-GB"/>
              </w:rPr>
            </w:pPr>
            <w:r w:rsidRPr="00136429">
              <w:rPr>
                <w:rFonts w:ascii="Arial" w:hAnsi="Arial" w:cs="Arial"/>
                <w:color w:val="000000"/>
                <w:kern w:val="24"/>
                <w:sz w:val="22"/>
                <w:szCs w:val="22"/>
                <w:lang w:eastAsia="en-GB"/>
              </w:rPr>
              <w:t>Denominator: The number of patients with coronary heart disease, stroke or TIA, diabetes, at high risk of developing type 2 diabetes, hypertension, peripheral arterial disease, heart failure, COPD, dyslipidaemia, learning disability, obstructive sleep apnoea, schizophrenia, bipolar disorder or other psychoses.</w:t>
            </w:r>
          </w:p>
          <w:p w14:paraId="24A0FCBA" w14:textId="6FFBD3FB" w:rsidR="00136429" w:rsidRDefault="00136429" w:rsidP="00136429">
            <w:pPr>
              <w:spacing w:before="120" w:after="120"/>
              <w:rPr>
                <w:rFonts w:ascii="Arial" w:hAnsi="Arial" w:cs="Arial"/>
                <w:color w:val="000000"/>
                <w:kern w:val="24"/>
                <w:sz w:val="22"/>
                <w:szCs w:val="22"/>
                <w:lang w:eastAsia="en-GB"/>
              </w:rPr>
            </w:pPr>
            <w:r w:rsidRPr="00136429">
              <w:rPr>
                <w:rFonts w:ascii="Arial" w:hAnsi="Arial" w:cs="Arial"/>
                <w:color w:val="000000"/>
                <w:kern w:val="24"/>
                <w:sz w:val="22"/>
                <w:szCs w:val="22"/>
                <w:lang w:eastAsia="en-GB"/>
              </w:rPr>
              <w:t xml:space="preserve">Definition: </w:t>
            </w:r>
          </w:p>
          <w:p w14:paraId="7D42B1C1" w14:textId="19EC4BC8" w:rsidR="009B2142" w:rsidRPr="009B2142" w:rsidRDefault="009B2142" w:rsidP="001722ED">
            <w:pPr>
              <w:spacing w:before="120" w:after="120"/>
              <w:rPr>
                <w:rFonts w:ascii="Arial" w:hAnsi="Arial" w:cs="Arial"/>
                <w:color w:val="000000"/>
                <w:kern w:val="24"/>
                <w:sz w:val="22"/>
                <w:szCs w:val="22"/>
                <w:lang w:eastAsia="en-GB"/>
              </w:rPr>
            </w:pPr>
            <w:r w:rsidRPr="009B2142">
              <w:rPr>
                <w:rFonts w:ascii="Arial" w:hAnsi="Arial" w:cs="Arial"/>
                <w:color w:val="000000"/>
                <w:kern w:val="24"/>
                <w:sz w:val="22"/>
                <w:szCs w:val="22"/>
                <w:lang w:eastAsia="en-GB"/>
              </w:rPr>
              <w:t xml:space="preserve">A high risk of developing type 2 diabetes is a high risk score (using a validated risk assessment tool) and </w:t>
            </w:r>
            <w:bookmarkStart w:id="1" w:name="_Hlk210137358"/>
            <w:r w:rsidRPr="009B2142">
              <w:rPr>
                <w:rFonts w:ascii="Arial" w:hAnsi="Arial" w:cs="Arial"/>
                <w:color w:val="000000"/>
                <w:kern w:val="24"/>
                <w:sz w:val="22"/>
                <w:szCs w:val="22"/>
                <w:lang w:eastAsia="en-GB"/>
              </w:rPr>
              <w:t>a fasting plasma glucose of 5.5 to 6.9 mmol/L</w:t>
            </w:r>
            <w:bookmarkEnd w:id="1"/>
            <w:r w:rsidRPr="009B2142">
              <w:rPr>
                <w:rFonts w:ascii="Arial" w:hAnsi="Arial" w:cs="Arial"/>
                <w:color w:val="000000"/>
                <w:kern w:val="24"/>
                <w:sz w:val="22"/>
                <w:szCs w:val="22"/>
                <w:lang w:eastAsia="en-GB"/>
              </w:rPr>
              <w:t>, or HbA1c of 42 to 47 mmol/mol. Examples of validated risk assessment tools are available in the </w:t>
            </w:r>
            <w:hyperlink r:id="rId12" w:tgtFrame="_top" w:history="1">
              <w:r w:rsidRPr="009B2142">
                <w:rPr>
                  <w:rStyle w:val="Hyperlink"/>
                  <w:rFonts w:ascii="Arial" w:hAnsi="Arial" w:cs="Arial"/>
                  <w:kern w:val="24"/>
                  <w:sz w:val="22"/>
                  <w:szCs w:val="22"/>
                  <w:lang w:eastAsia="en-GB"/>
                </w:rPr>
                <w:t>NHS Health Check best practice guidance.</w:t>
              </w:r>
            </w:hyperlink>
          </w:p>
          <w:p w14:paraId="45DC756F" w14:textId="7F40B380" w:rsidR="009B2142" w:rsidRPr="00136429" w:rsidRDefault="009B2142" w:rsidP="00136429">
            <w:pPr>
              <w:spacing w:before="120" w:after="120"/>
              <w:rPr>
                <w:rFonts w:ascii="Arial" w:hAnsi="Arial" w:cs="Arial"/>
                <w:color w:val="000000"/>
                <w:kern w:val="24"/>
                <w:sz w:val="22"/>
                <w:szCs w:val="22"/>
                <w:lang w:eastAsia="en-GB"/>
              </w:rPr>
            </w:pPr>
            <w:r w:rsidRPr="009B2142">
              <w:rPr>
                <w:rFonts w:ascii="Arial" w:hAnsi="Arial" w:cs="Arial"/>
                <w:color w:val="000000"/>
                <w:kern w:val="24"/>
                <w:sz w:val="22"/>
                <w:szCs w:val="22"/>
                <w:lang w:eastAsia="en-GB"/>
              </w:rPr>
              <w:t>Dyslipidaemia is a condition where abnormal (high or low) blood fats occur. This includes hypercholesterolemia - elevated levels of low-density lipoprotein cholesterol (LDL-</w:t>
            </w:r>
            <w:r w:rsidRPr="009B2142">
              <w:rPr>
                <w:rFonts w:ascii="Arial" w:hAnsi="Arial" w:cs="Arial"/>
                <w:color w:val="000000"/>
                <w:kern w:val="24"/>
                <w:sz w:val="22"/>
                <w:szCs w:val="22"/>
                <w:lang w:eastAsia="en-GB"/>
              </w:rPr>
              <w:lastRenderedPageBreak/>
              <w:t xml:space="preserve">C) or non-high-density lipoprotein cholesterol (non-HDL-C) -  and </w:t>
            </w:r>
            <w:hyperlink r:id="rId13" w:history="1">
              <w:r w:rsidRPr="009B2142">
                <w:rPr>
                  <w:rStyle w:val="Hyperlink"/>
                  <w:rFonts w:ascii="Arial" w:hAnsi="Arial" w:cs="Arial"/>
                  <w:kern w:val="24"/>
                  <w:sz w:val="22"/>
                  <w:szCs w:val="22"/>
                  <w:lang w:eastAsia="en-GB"/>
                </w:rPr>
                <w:t>familial hypercholesterolemia</w:t>
              </w:r>
            </w:hyperlink>
            <w:r w:rsidRPr="009B2142">
              <w:rPr>
                <w:rFonts w:ascii="Arial" w:hAnsi="Arial" w:cs="Arial"/>
                <w:color w:val="000000"/>
                <w:kern w:val="24"/>
                <w:sz w:val="22"/>
                <w:szCs w:val="22"/>
                <w:lang w:eastAsia="en-GB"/>
              </w:rPr>
              <w:t xml:space="preserve">, both of which are risk factors for </w:t>
            </w:r>
            <w:hyperlink r:id="rId14" w:history="1">
              <w:r w:rsidRPr="009B2142">
                <w:rPr>
                  <w:rStyle w:val="Hyperlink"/>
                  <w:rFonts w:ascii="Arial" w:hAnsi="Arial" w:cs="Arial"/>
                  <w:kern w:val="24"/>
                  <w:sz w:val="22"/>
                  <w:szCs w:val="22"/>
                  <w:lang w:eastAsia="en-GB"/>
                </w:rPr>
                <w:t>cardiovascular disease</w:t>
              </w:r>
            </w:hyperlink>
            <w:r w:rsidRPr="009B2142">
              <w:rPr>
                <w:rFonts w:ascii="Arial" w:hAnsi="Arial" w:cs="Arial"/>
                <w:color w:val="000000"/>
                <w:kern w:val="24"/>
                <w:sz w:val="22"/>
                <w:szCs w:val="22"/>
                <w:lang w:eastAsia="en-GB"/>
              </w:rPr>
              <w:t>. For the purposes of this indicator somebody had dyslipidaemia if they are being treated with lipid-lowering therapy, or with low-density lipoprotein (LDL) ≥ 4.1 mmol/L, or high-density lipoprotein (HDL).</w:t>
            </w:r>
          </w:p>
          <w:p w14:paraId="4F0C31C7" w14:textId="77777777" w:rsidR="00136429" w:rsidRPr="00136429" w:rsidRDefault="00136429" w:rsidP="00136429">
            <w:pPr>
              <w:spacing w:before="120" w:after="120"/>
              <w:rPr>
                <w:rFonts w:ascii="Arial" w:hAnsi="Arial" w:cs="Arial"/>
                <w:color w:val="000000"/>
                <w:kern w:val="24"/>
                <w:sz w:val="22"/>
                <w:szCs w:val="22"/>
                <w:lang w:eastAsia="en-GB"/>
              </w:rPr>
            </w:pPr>
            <w:r w:rsidRPr="00136429">
              <w:rPr>
                <w:rFonts w:ascii="Arial" w:hAnsi="Arial" w:cs="Arial"/>
                <w:color w:val="000000"/>
                <w:kern w:val="24"/>
                <w:sz w:val="22"/>
                <w:szCs w:val="22"/>
                <w:lang w:eastAsia="en-GB"/>
              </w:rPr>
              <w:t>Exclusions: None</w:t>
            </w:r>
          </w:p>
          <w:p w14:paraId="4B368F83" w14:textId="6C0C22B2" w:rsidR="00735337" w:rsidRPr="00136429" w:rsidRDefault="00136429" w:rsidP="00136429">
            <w:pPr>
              <w:spacing w:before="120" w:after="120"/>
              <w:rPr>
                <w:rFonts w:ascii="Arial" w:hAnsi="Arial" w:cs="Arial"/>
                <w:color w:val="000000"/>
                <w:kern w:val="24"/>
                <w:sz w:val="22"/>
                <w:szCs w:val="22"/>
                <w:highlight w:val="cyan"/>
                <w:lang w:eastAsia="en-GB"/>
              </w:rPr>
            </w:pPr>
            <w:r w:rsidRPr="00136429">
              <w:rPr>
                <w:rFonts w:ascii="Arial" w:hAnsi="Arial" w:cs="Arial"/>
                <w:color w:val="000000"/>
                <w:kern w:val="24"/>
                <w:sz w:val="22"/>
                <w:szCs w:val="22"/>
                <w:lang w:eastAsia="en-GB"/>
              </w:rPr>
              <w:t>Personalised care adjustments or exception reporting should be considered to account for situations where the patient declines, does not attend or a BMI measurement is not appropriate.</w:t>
            </w:r>
          </w:p>
        </w:tc>
        <w:tc>
          <w:tcPr>
            <w:tcW w:w="3118" w:type="dxa"/>
          </w:tcPr>
          <w:p w14:paraId="20169B52" w14:textId="21B902A9" w:rsidR="002338EB" w:rsidRPr="00136429" w:rsidRDefault="002338EB" w:rsidP="00136429">
            <w:pPr>
              <w:spacing w:before="120" w:after="120"/>
              <w:rPr>
                <w:rFonts w:ascii="Arial" w:hAnsi="Arial" w:cs="Arial"/>
                <w:color w:val="000000"/>
                <w:kern w:val="24"/>
                <w:sz w:val="22"/>
                <w:szCs w:val="22"/>
              </w:rPr>
            </w:pPr>
            <w:r w:rsidRPr="00136429">
              <w:rPr>
                <w:rFonts w:ascii="Arial" w:hAnsi="Arial" w:cs="Arial"/>
                <w:color w:val="000000"/>
                <w:kern w:val="24"/>
                <w:sz w:val="22"/>
                <w:szCs w:val="22"/>
              </w:rPr>
              <w:lastRenderedPageBreak/>
              <w:t>The indicator has defined components necessary to construct the indicator, including numerator, denominator and exclusions.</w:t>
            </w:r>
          </w:p>
        </w:tc>
      </w:tr>
      <w:tr w:rsidR="002338EB" w14:paraId="452F64D6" w14:textId="77777777" w:rsidTr="001C517D">
        <w:tc>
          <w:tcPr>
            <w:tcW w:w="5949" w:type="dxa"/>
          </w:tcPr>
          <w:p w14:paraId="172422D9" w14:textId="77777777" w:rsidR="00350A0C" w:rsidRDefault="00136429" w:rsidP="00350A0C">
            <w:pPr>
              <w:spacing w:before="120" w:after="120"/>
              <w:rPr>
                <w:rFonts w:ascii="Arial" w:hAnsi="Arial" w:cs="Arial"/>
                <w:color w:val="000000"/>
                <w:kern w:val="24"/>
                <w:sz w:val="22"/>
                <w:szCs w:val="22"/>
                <w:lang w:eastAsia="en-GB"/>
              </w:rPr>
            </w:pPr>
            <w:bookmarkStart w:id="2" w:name="_Hlk210988400"/>
            <w:r w:rsidRPr="001722ED">
              <w:rPr>
                <w:rFonts w:ascii="Arial" w:hAnsi="Arial" w:cs="Arial"/>
                <w:color w:val="000000"/>
                <w:kern w:val="24"/>
                <w:sz w:val="22"/>
                <w:szCs w:val="22"/>
                <w:lang w:eastAsia="en-GB"/>
              </w:rPr>
              <w:t>To be suitable for use in QOF, there should be more than 20 patients eligible for inclusion in the denominator, per average practice with 10,000 patients, prior to application of personalised care adjustments. </w:t>
            </w:r>
          </w:p>
          <w:p w14:paraId="697F58E3" w14:textId="5BF158C5" w:rsidR="00D606F8" w:rsidRPr="00D606F8" w:rsidRDefault="00ED1179" w:rsidP="001722ED">
            <w:pPr>
              <w:spacing w:before="120" w:after="120"/>
              <w:rPr>
                <w:rFonts w:cs="Arial"/>
                <w:sz w:val="22"/>
                <w:szCs w:val="22"/>
                <w:highlight w:val="lightGray"/>
              </w:rPr>
            </w:pPr>
            <w:r>
              <w:rPr>
                <w:rFonts w:ascii="Arial" w:hAnsi="Arial" w:cs="Arial"/>
                <w:color w:val="000000"/>
                <w:kern w:val="24"/>
                <w:sz w:val="22"/>
                <w:szCs w:val="22"/>
                <w:lang w:eastAsia="en-GB"/>
              </w:rPr>
              <w:t xml:space="preserve">Using QOF data for existing indicators it can be inferred that the denominator population for this indicator will be substantially higher than 20 people. </w:t>
            </w:r>
            <w:r w:rsidR="00350A0C">
              <w:rPr>
                <w:rFonts w:ascii="Arial" w:hAnsi="Arial" w:cs="Arial"/>
                <w:color w:val="000000"/>
                <w:kern w:val="24"/>
                <w:sz w:val="22"/>
                <w:szCs w:val="22"/>
                <w:lang w:eastAsia="en-GB"/>
              </w:rPr>
              <w:t xml:space="preserve">QOF indicator SMOK002 </w:t>
            </w:r>
            <w:r>
              <w:rPr>
                <w:rFonts w:ascii="Arial" w:hAnsi="Arial" w:cs="Arial"/>
                <w:color w:val="000000"/>
                <w:kern w:val="24"/>
                <w:sz w:val="22"/>
                <w:szCs w:val="22"/>
                <w:lang w:eastAsia="en-GB"/>
              </w:rPr>
              <w:t xml:space="preserve">includes all people with </w:t>
            </w:r>
            <w:r w:rsidRPr="00ED1179">
              <w:rPr>
                <w:rFonts w:ascii="Arial" w:hAnsi="Arial" w:cs="Arial"/>
                <w:color w:val="000000"/>
                <w:kern w:val="24"/>
                <w:sz w:val="22"/>
                <w:szCs w:val="22"/>
                <w:lang w:eastAsia="en-GB"/>
              </w:rPr>
              <w:t>CHD, PAD, stroke or TIA, hypertension, diabetes, COPD, CKD, asthma, schizophrenia, bipolar affective disorder or other psychoses</w:t>
            </w:r>
            <w:r>
              <w:rPr>
                <w:rFonts w:ascii="Arial" w:hAnsi="Arial" w:cs="Arial"/>
                <w:color w:val="000000"/>
                <w:kern w:val="24"/>
                <w:sz w:val="22"/>
                <w:szCs w:val="22"/>
                <w:lang w:eastAsia="en-GB"/>
              </w:rPr>
              <w:t xml:space="preserve">. Data for 2024/25 show that 24% of the national registered population had one of the relevant conditions: 2442 for an average practice with 10,000 patients. </w:t>
            </w:r>
            <w:bookmarkEnd w:id="2"/>
          </w:p>
        </w:tc>
        <w:tc>
          <w:tcPr>
            <w:tcW w:w="3118" w:type="dxa"/>
          </w:tcPr>
          <w:p w14:paraId="764B635A" w14:textId="0C00E695" w:rsidR="000C4A97" w:rsidRPr="002338EB" w:rsidRDefault="000C4A97" w:rsidP="001722ED">
            <w:pPr>
              <w:spacing w:before="120" w:after="120"/>
              <w:rPr>
                <w:highlight w:val="lightGray"/>
              </w:rPr>
            </w:pPr>
            <w:r w:rsidRPr="001722ED">
              <w:rPr>
                <w:rFonts w:ascii="Arial" w:hAnsi="Arial" w:cs="Arial"/>
                <w:color w:val="000000"/>
                <w:kern w:val="24"/>
                <w:sz w:val="22"/>
                <w:szCs w:val="22"/>
                <w:lang w:eastAsia="en-GB"/>
              </w:rPr>
              <w:t xml:space="preserve">Available data does suggest that the number of eligible patients per average </w:t>
            </w:r>
            <w:r w:rsidR="00D606F8" w:rsidRPr="001722ED">
              <w:rPr>
                <w:rFonts w:ascii="Arial" w:hAnsi="Arial" w:cs="Arial"/>
                <w:color w:val="000000"/>
                <w:kern w:val="24"/>
                <w:sz w:val="22"/>
                <w:szCs w:val="22"/>
                <w:lang w:eastAsia="en-GB"/>
              </w:rPr>
              <w:t>practice</w:t>
            </w:r>
            <w:r w:rsidRPr="001722ED">
              <w:rPr>
                <w:rFonts w:ascii="Arial" w:hAnsi="Arial" w:cs="Arial"/>
                <w:color w:val="000000"/>
                <w:kern w:val="24"/>
                <w:sz w:val="22"/>
                <w:szCs w:val="22"/>
                <w:lang w:eastAsia="en-GB"/>
              </w:rPr>
              <w:t xml:space="preserve"> would be above this minimum number.</w:t>
            </w:r>
          </w:p>
        </w:tc>
      </w:tr>
    </w:tbl>
    <w:p w14:paraId="463C4A5F" w14:textId="77777777" w:rsidR="002338EB" w:rsidRDefault="002338EB" w:rsidP="002338EB">
      <w:pPr>
        <w:pStyle w:val="Paragraph"/>
      </w:pPr>
    </w:p>
    <w:p w14:paraId="11FDF62E"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24B24F7B" w14:textId="77777777" w:rsidTr="001C517D">
        <w:tc>
          <w:tcPr>
            <w:tcW w:w="5949" w:type="dxa"/>
          </w:tcPr>
          <w:p w14:paraId="56DA0A1E"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05C2FEB6"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2C0DDED6" w14:textId="77777777" w:rsidTr="001C517D">
        <w:tc>
          <w:tcPr>
            <w:tcW w:w="5949" w:type="dxa"/>
          </w:tcPr>
          <w:p w14:paraId="7B736409" w14:textId="3BF5C20C" w:rsidR="00735337" w:rsidRPr="00735337" w:rsidRDefault="00B900D1" w:rsidP="00735337">
            <w:pPr>
              <w:pStyle w:val="Paragraph"/>
              <w:spacing w:before="120" w:after="120" w:line="240" w:lineRule="auto"/>
              <w:rPr>
                <w:highlight w:val="lightGray"/>
              </w:rPr>
            </w:pPr>
            <w:r w:rsidRPr="00B900D1">
              <w:rPr>
                <w:rFonts w:cs="Arial"/>
                <w:sz w:val="22"/>
                <w:szCs w:val="22"/>
              </w:rPr>
              <w:t>The required data is available with</w:t>
            </w:r>
            <w:r>
              <w:rPr>
                <w:rFonts w:cs="Arial"/>
                <w:sz w:val="22"/>
                <w:szCs w:val="22"/>
              </w:rPr>
              <w:t>in</w:t>
            </w:r>
            <w:r w:rsidRPr="00B900D1">
              <w:rPr>
                <w:rFonts w:cs="Arial"/>
                <w:sz w:val="22"/>
                <w:szCs w:val="22"/>
              </w:rPr>
              <w:t xml:space="preserve"> general practice electronic medical records.</w:t>
            </w:r>
          </w:p>
        </w:tc>
        <w:tc>
          <w:tcPr>
            <w:tcW w:w="3118" w:type="dxa"/>
          </w:tcPr>
          <w:p w14:paraId="0313DCE5" w14:textId="51F288D0" w:rsidR="00735337" w:rsidRPr="001722ED" w:rsidRDefault="00735337" w:rsidP="001722ED">
            <w:pPr>
              <w:spacing w:before="120" w:after="120"/>
              <w:rPr>
                <w:rFonts w:ascii="Arial" w:hAnsi="Arial" w:cs="Arial"/>
                <w:color w:val="000000"/>
                <w:kern w:val="24"/>
                <w:sz w:val="22"/>
                <w:szCs w:val="22"/>
              </w:rPr>
            </w:pPr>
            <w:r w:rsidRPr="001722ED">
              <w:rPr>
                <w:rFonts w:ascii="Arial" w:hAnsi="Arial" w:cs="Arial"/>
                <w:color w:val="000000"/>
                <w:kern w:val="24"/>
                <w:sz w:val="22"/>
                <w:szCs w:val="22"/>
              </w:rPr>
              <w:t>The indicator is repeatable.</w:t>
            </w:r>
          </w:p>
        </w:tc>
      </w:tr>
      <w:tr w:rsidR="00735337" w14:paraId="0FDFA66C" w14:textId="77777777" w:rsidTr="001C517D">
        <w:tc>
          <w:tcPr>
            <w:tcW w:w="5949" w:type="dxa"/>
          </w:tcPr>
          <w:p w14:paraId="21A71DF5" w14:textId="3ED7D5E1" w:rsidR="00735337" w:rsidRDefault="005F72B2" w:rsidP="005F72B2">
            <w:pPr>
              <w:spacing w:before="120" w:after="120"/>
              <w:contextualSpacing/>
              <w:rPr>
                <w:rFonts w:ascii="Arial" w:hAnsi="Arial" w:cs="Arial"/>
                <w:sz w:val="22"/>
                <w:szCs w:val="22"/>
              </w:rPr>
            </w:pPr>
            <w:r w:rsidRPr="00BC1811">
              <w:rPr>
                <w:rFonts w:ascii="Arial" w:hAnsi="Arial" w:cs="Arial"/>
                <w:sz w:val="22"/>
                <w:szCs w:val="22"/>
              </w:rPr>
              <w:t xml:space="preserve">There are </w:t>
            </w:r>
            <w:r>
              <w:rPr>
                <w:rFonts w:ascii="Arial" w:hAnsi="Arial" w:cs="Arial"/>
                <w:sz w:val="22"/>
                <w:szCs w:val="22"/>
              </w:rPr>
              <w:t xml:space="preserve">available </w:t>
            </w:r>
            <w:r w:rsidRPr="00BC1811">
              <w:rPr>
                <w:rFonts w:ascii="Arial" w:hAnsi="Arial" w:cs="Arial"/>
                <w:sz w:val="22"/>
                <w:szCs w:val="22"/>
              </w:rPr>
              <w:t xml:space="preserve">SNOMED codes for primary diagnosis </w:t>
            </w:r>
            <w:r w:rsidR="00BC1811">
              <w:rPr>
                <w:rFonts w:ascii="Arial" w:hAnsi="Arial" w:cs="Arial"/>
                <w:sz w:val="22"/>
                <w:szCs w:val="22"/>
              </w:rPr>
              <w:t>for</w:t>
            </w:r>
            <w:r w:rsidRPr="00BC1811">
              <w:rPr>
                <w:rFonts w:ascii="Arial" w:hAnsi="Arial" w:cs="Arial"/>
                <w:sz w:val="22"/>
                <w:szCs w:val="22"/>
              </w:rPr>
              <w:t>:</w:t>
            </w:r>
          </w:p>
          <w:p w14:paraId="48D64A32"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coronary heart disease</w:t>
            </w:r>
          </w:p>
          <w:p w14:paraId="5344499E"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stroke or TIA</w:t>
            </w:r>
          </w:p>
          <w:p w14:paraId="5D3C4E0E"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diabetes</w:t>
            </w:r>
          </w:p>
          <w:p w14:paraId="3A43910D"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at high risk of developing type 2 diabetes</w:t>
            </w:r>
          </w:p>
          <w:p w14:paraId="1BAC6D1D"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hypertension</w:t>
            </w:r>
          </w:p>
          <w:p w14:paraId="558B732E"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peripheral arterial disease</w:t>
            </w:r>
          </w:p>
          <w:p w14:paraId="2084530E"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heart failure</w:t>
            </w:r>
          </w:p>
          <w:p w14:paraId="08301E4E"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COPD</w:t>
            </w:r>
          </w:p>
          <w:p w14:paraId="602CA873" w14:textId="3F5F0709"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Dyslipidaemia</w:t>
            </w:r>
          </w:p>
          <w:p w14:paraId="19BAD134"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learning disability</w:t>
            </w:r>
          </w:p>
          <w:p w14:paraId="34F58775" w14:textId="77777777"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obstructive sleep apnoea</w:t>
            </w:r>
          </w:p>
          <w:p w14:paraId="1F291A78" w14:textId="27D1C66C" w:rsidR="005F72B2" w:rsidRPr="001722ED" w:rsidRDefault="005F72B2" w:rsidP="001722ED">
            <w:pPr>
              <w:pStyle w:val="ListParagraph"/>
              <w:numPr>
                <w:ilvl w:val="0"/>
                <w:numId w:val="46"/>
              </w:numPr>
              <w:spacing w:before="120" w:after="120"/>
              <w:rPr>
                <w:rFonts w:ascii="Arial" w:hAnsi="Arial" w:cs="Arial"/>
                <w:sz w:val="22"/>
                <w:szCs w:val="22"/>
              </w:rPr>
            </w:pPr>
            <w:r w:rsidRPr="001722ED">
              <w:rPr>
                <w:rFonts w:ascii="Arial" w:hAnsi="Arial" w:cs="Arial"/>
                <w:sz w:val="22"/>
                <w:szCs w:val="22"/>
              </w:rPr>
              <w:t>schizophrenia, bipolar disorder or other psychoses</w:t>
            </w:r>
          </w:p>
        </w:tc>
        <w:tc>
          <w:tcPr>
            <w:tcW w:w="3118" w:type="dxa"/>
          </w:tcPr>
          <w:p w14:paraId="06E92904" w14:textId="77777777" w:rsidR="00735337" w:rsidRPr="00BC1811" w:rsidRDefault="00735337" w:rsidP="00735337">
            <w:pPr>
              <w:spacing w:before="120" w:after="120"/>
              <w:rPr>
                <w:rFonts w:ascii="Arial" w:hAnsi="Arial" w:cs="Arial"/>
                <w:color w:val="000000"/>
                <w:kern w:val="24"/>
                <w:sz w:val="22"/>
                <w:szCs w:val="22"/>
              </w:rPr>
            </w:pPr>
            <w:r w:rsidRPr="00BC1811">
              <w:rPr>
                <w:rFonts w:ascii="Arial" w:hAnsi="Arial" w:cs="Arial"/>
                <w:color w:val="000000"/>
                <w:kern w:val="24"/>
                <w:sz w:val="22"/>
                <w:szCs w:val="22"/>
              </w:rPr>
              <w:t xml:space="preserve">The indicator is measuring what it is designed to measure. </w:t>
            </w:r>
          </w:p>
          <w:p w14:paraId="39D73381" w14:textId="77777777" w:rsidR="00735337" w:rsidRPr="00735337" w:rsidRDefault="00735337" w:rsidP="00735337">
            <w:pPr>
              <w:spacing w:before="120" w:after="120"/>
              <w:rPr>
                <w:rFonts w:ascii="Arial" w:hAnsi="Arial" w:cs="Arial"/>
                <w:color w:val="000000"/>
                <w:kern w:val="24"/>
                <w:sz w:val="22"/>
                <w:szCs w:val="22"/>
                <w:highlight w:val="lightGray"/>
              </w:rPr>
            </w:pPr>
            <w:r w:rsidRPr="00BC1811">
              <w:rPr>
                <w:rFonts w:ascii="Arial" w:hAnsi="Arial" w:cs="Arial"/>
                <w:color w:val="000000"/>
                <w:kern w:val="24"/>
                <w:sz w:val="22"/>
                <w:szCs w:val="22"/>
              </w:rPr>
              <w:t>The indicator uses existing data fields.</w:t>
            </w:r>
          </w:p>
        </w:tc>
      </w:tr>
    </w:tbl>
    <w:p w14:paraId="12002673" w14:textId="77777777" w:rsidR="002338EB" w:rsidRDefault="002338EB" w:rsidP="002338EB">
      <w:pPr>
        <w:pStyle w:val="Paragraph"/>
      </w:pPr>
    </w:p>
    <w:p w14:paraId="2ACFB982"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5BC20BCE" w14:textId="77777777" w:rsidTr="001C517D">
        <w:tc>
          <w:tcPr>
            <w:tcW w:w="5949" w:type="dxa"/>
          </w:tcPr>
          <w:p w14:paraId="7E0C7EBF"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40677360"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33A0351" w14:textId="77777777" w:rsidTr="001C517D">
        <w:tc>
          <w:tcPr>
            <w:tcW w:w="5949" w:type="dxa"/>
          </w:tcPr>
          <w:p w14:paraId="484FA9DE" w14:textId="1107540A" w:rsidR="00510D74" w:rsidRDefault="00510D74" w:rsidP="00C5464E">
            <w:pPr>
              <w:pStyle w:val="Paragraph"/>
              <w:spacing w:before="120" w:after="120"/>
              <w:rPr>
                <w:rFonts w:cs="Arial"/>
                <w:sz w:val="22"/>
                <w:szCs w:val="22"/>
              </w:rPr>
            </w:pPr>
            <w:r w:rsidRPr="00510D74">
              <w:rPr>
                <w:rFonts w:cs="Arial"/>
                <w:sz w:val="22"/>
                <w:szCs w:val="22"/>
              </w:rPr>
              <w:t>There may be instances where it</w:t>
            </w:r>
            <w:r w:rsidR="00000469">
              <w:rPr>
                <w:rFonts w:cs="Arial"/>
                <w:sz w:val="22"/>
                <w:szCs w:val="22"/>
              </w:rPr>
              <w:t xml:space="preserve"> in inappropriate to</w:t>
            </w:r>
            <w:r w:rsidRPr="00510D74">
              <w:rPr>
                <w:rFonts w:cs="Arial"/>
                <w:sz w:val="22"/>
                <w:szCs w:val="22"/>
              </w:rPr>
              <w:t xml:space="preserve"> </w:t>
            </w:r>
            <w:r>
              <w:rPr>
                <w:rFonts w:cs="Arial"/>
                <w:sz w:val="22"/>
                <w:szCs w:val="22"/>
              </w:rPr>
              <w:t>measure and record BMI</w:t>
            </w:r>
            <w:r w:rsidRPr="00510D74">
              <w:rPr>
                <w:rFonts w:cs="Arial"/>
                <w:sz w:val="22"/>
                <w:szCs w:val="22"/>
              </w:rPr>
              <w:t xml:space="preserve">, a patient declines </w:t>
            </w:r>
            <w:r>
              <w:rPr>
                <w:rFonts w:cs="Arial"/>
                <w:sz w:val="22"/>
                <w:szCs w:val="22"/>
              </w:rPr>
              <w:t>measurement,</w:t>
            </w:r>
            <w:r w:rsidRPr="00510D74">
              <w:rPr>
                <w:rFonts w:cs="Arial"/>
                <w:sz w:val="22"/>
                <w:szCs w:val="22"/>
              </w:rPr>
              <w:t xml:space="preserve"> or a patient does not attend an appointment that </w:t>
            </w:r>
            <w:r>
              <w:rPr>
                <w:rFonts w:cs="Arial"/>
                <w:sz w:val="22"/>
                <w:szCs w:val="22"/>
              </w:rPr>
              <w:t>would be a suitable opportunity such as an annual review</w:t>
            </w:r>
            <w:r w:rsidRPr="00510D74">
              <w:rPr>
                <w:rFonts w:cs="Arial"/>
                <w:sz w:val="22"/>
                <w:szCs w:val="22"/>
              </w:rPr>
              <w:t>. The indicator includes these situations in personalised care and exception reporting considerations.</w:t>
            </w:r>
          </w:p>
          <w:p w14:paraId="7C253EBF" w14:textId="1F46831A" w:rsidR="00510D74" w:rsidRPr="00C5464E" w:rsidRDefault="00510D74" w:rsidP="00510D74">
            <w:pPr>
              <w:pStyle w:val="Paragraph"/>
              <w:spacing w:before="120" w:after="120"/>
              <w:rPr>
                <w:rFonts w:cs="Arial"/>
                <w:sz w:val="22"/>
                <w:szCs w:val="22"/>
              </w:rPr>
            </w:pPr>
            <w:r>
              <w:rPr>
                <w:rFonts w:cs="Arial"/>
                <w:sz w:val="22"/>
                <w:szCs w:val="22"/>
              </w:rPr>
              <w:t xml:space="preserve">At consultation </w:t>
            </w:r>
            <w:r w:rsidR="00B900D1">
              <w:rPr>
                <w:rFonts w:cs="Arial"/>
                <w:sz w:val="22"/>
                <w:szCs w:val="22"/>
              </w:rPr>
              <w:t xml:space="preserve">in </w:t>
            </w:r>
            <w:r>
              <w:rPr>
                <w:rFonts w:cs="Arial"/>
                <w:sz w:val="22"/>
                <w:szCs w:val="22"/>
              </w:rPr>
              <w:t>2025</w:t>
            </w:r>
            <w:r w:rsidR="00B900D1">
              <w:rPr>
                <w:rFonts w:cs="Arial"/>
                <w:sz w:val="22"/>
                <w:szCs w:val="22"/>
              </w:rPr>
              <w:t xml:space="preserve"> it was noted that the QOF has no </w:t>
            </w:r>
            <w:r w:rsidR="00B900D1" w:rsidRPr="00510D74">
              <w:rPr>
                <w:rFonts w:cs="Arial"/>
                <w:sz w:val="22"/>
                <w:szCs w:val="22"/>
              </w:rPr>
              <w:t>associated annual check</w:t>
            </w:r>
            <w:r w:rsidR="00B900D1">
              <w:rPr>
                <w:rFonts w:cs="Arial"/>
                <w:sz w:val="22"/>
                <w:szCs w:val="22"/>
              </w:rPr>
              <w:t xml:space="preserve"> for people with </w:t>
            </w:r>
            <w:r w:rsidRPr="00510D74">
              <w:rPr>
                <w:rFonts w:cs="Arial"/>
                <w:sz w:val="22"/>
                <w:szCs w:val="22"/>
              </w:rPr>
              <w:t xml:space="preserve">obstructive sleep apnoea. They also noted </w:t>
            </w:r>
            <w:r w:rsidR="001A24A7">
              <w:rPr>
                <w:rFonts w:cs="Arial"/>
                <w:sz w:val="22"/>
                <w:szCs w:val="22"/>
              </w:rPr>
              <w:t xml:space="preserve">that there are pressures on </w:t>
            </w:r>
            <w:r w:rsidRPr="00510D74">
              <w:rPr>
                <w:rFonts w:cs="Arial"/>
                <w:sz w:val="22"/>
                <w:szCs w:val="22"/>
              </w:rPr>
              <w:t xml:space="preserve">local weight management services </w:t>
            </w:r>
            <w:r w:rsidR="001A24A7">
              <w:rPr>
                <w:rFonts w:cs="Arial"/>
                <w:sz w:val="22"/>
                <w:szCs w:val="22"/>
              </w:rPr>
              <w:t xml:space="preserve">with capacity challenges </w:t>
            </w:r>
            <w:r w:rsidRPr="00510D74">
              <w:rPr>
                <w:rFonts w:cs="Arial"/>
                <w:sz w:val="22"/>
                <w:szCs w:val="22"/>
              </w:rPr>
              <w:t xml:space="preserve">for onward referral </w:t>
            </w:r>
            <w:r w:rsidR="001A24A7">
              <w:rPr>
                <w:rFonts w:cs="Arial"/>
                <w:sz w:val="22"/>
                <w:szCs w:val="22"/>
              </w:rPr>
              <w:t xml:space="preserve">in some areas. </w:t>
            </w:r>
          </w:p>
        </w:tc>
        <w:tc>
          <w:tcPr>
            <w:tcW w:w="3118" w:type="dxa"/>
          </w:tcPr>
          <w:p w14:paraId="5F72D3F3" w14:textId="77777777" w:rsidR="00735337" w:rsidRPr="00510D74" w:rsidRDefault="00735337" w:rsidP="00735337">
            <w:pPr>
              <w:pStyle w:val="Paragraph"/>
              <w:spacing w:before="120" w:after="120" w:line="240" w:lineRule="auto"/>
            </w:pPr>
            <w:r w:rsidRPr="00510D74">
              <w:rPr>
                <w:rFonts w:cs="Arial"/>
                <w:color w:val="000000"/>
                <w:kern w:val="24"/>
                <w:sz w:val="22"/>
                <w:szCs w:val="22"/>
              </w:rPr>
              <w:t>The indicator assesses performance that is attributable to or within the control of the audience</w:t>
            </w:r>
          </w:p>
        </w:tc>
      </w:tr>
      <w:tr w:rsidR="00510D74" w14:paraId="7FE6105F" w14:textId="77777777" w:rsidTr="001C517D">
        <w:tc>
          <w:tcPr>
            <w:tcW w:w="5949" w:type="dxa"/>
          </w:tcPr>
          <w:p w14:paraId="151CE81E" w14:textId="20C470D1" w:rsidR="00510D74" w:rsidRPr="00A47852" w:rsidRDefault="00B900D1" w:rsidP="00510D74">
            <w:pPr>
              <w:pStyle w:val="Paragraph"/>
              <w:spacing w:before="120" w:after="120" w:line="240" w:lineRule="auto"/>
              <w:rPr>
                <w:highlight w:val="lightGray"/>
              </w:rPr>
            </w:pPr>
            <w:r w:rsidRPr="00B900D1">
              <w:rPr>
                <w:rFonts w:cs="Arial"/>
                <w:sz w:val="22"/>
                <w:szCs w:val="22"/>
              </w:rPr>
              <w:t>Data can be extracted and used to compare the performance of GP practices.</w:t>
            </w:r>
          </w:p>
        </w:tc>
        <w:tc>
          <w:tcPr>
            <w:tcW w:w="3118" w:type="dxa"/>
          </w:tcPr>
          <w:p w14:paraId="110174AF" w14:textId="0E6CE31C" w:rsidR="00510D74" w:rsidRPr="00A47852" w:rsidRDefault="00510D74" w:rsidP="00510D74">
            <w:pPr>
              <w:pStyle w:val="Paragraph"/>
              <w:spacing w:before="120" w:after="120" w:line="240" w:lineRule="auto"/>
              <w:rPr>
                <w:highlight w:val="lightGray"/>
              </w:rPr>
            </w:pPr>
            <w:r w:rsidRPr="006F5469">
              <w:rPr>
                <w:rFonts w:cs="Arial"/>
                <w:color w:val="000000"/>
                <w:kern w:val="24"/>
                <w:sz w:val="22"/>
                <w:szCs w:val="22"/>
              </w:rPr>
              <w:t>The results of the indicator can be used to improve practice</w:t>
            </w:r>
          </w:p>
        </w:tc>
      </w:tr>
    </w:tbl>
    <w:p w14:paraId="380F128F" w14:textId="77777777" w:rsidR="002338EB" w:rsidRDefault="002338EB" w:rsidP="002338EB">
      <w:pPr>
        <w:pStyle w:val="Paragraph"/>
      </w:pPr>
    </w:p>
    <w:p w14:paraId="3547D024"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15694016" w14:textId="77777777" w:rsidTr="001C517D">
        <w:tc>
          <w:tcPr>
            <w:tcW w:w="5949" w:type="dxa"/>
          </w:tcPr>
          <w:p w14:paraId="1F08C6E7"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2EC34CE2"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59E8DD35" w14:textId="77777777" w:rsidTr="001C517D">
        <w:tc>
          <w:tcPr>
            <w:tcW w:w="5949" w:type="dxa"/>
          </w:tcPr>
          <w:p w14:paraId="176BC513" w14:textId="54E934E6" w:rsidR="00A47852" w:rsidRPr="00A47852" w:rsidRDefault="00000469" w:rsidP="00A47852">
            <w:pPr>
              <w:pStyle w:val="Paragraph"/>
              <w:spacing w:before="120" w:after="120" w:line="240" w:lineRule="auto"/>
              <w:rPr>
                <w:highlight w:val="lightGray"/>
              </w:rPr>
            </w:pPr>
            <w:r w:rsidRPr="00000469">
              <w:rPr>
                <w:rFonts w:cs="Arial"/>
                <w:color w:val="000000"/>
                <w:kern w:val="24"/>
                <w:sz w:val="22"/>
                <w:szCs w:val="22"/>
                <w:lang w:eastAsia="en-GB"/>
              </w:rPr>
              <w:t xml:space="preserve">Coding may vary across conditions, and </w:t>
            </w:r>
            <w:r w:rsidR="00B900D1" w:rsidRPr="00B900D1">
              <w:rPr>
                <w:rFonts w:cs="Arial"/>
                <w:color w:val="000000"/>
                <w:kern w:val="24"/>
                <w:sz w:val="22"/>
                <w:szCs w:val="22"/>
                <w:lang w:eastAsia="en-GB"/>
              </w:rPr>
              <w:t>people with obstructive sleep apnoea</w:t>
            </w:r>
            <w:r w:rsidR="00B900D1" w:rsidRPr="00B900D1" w:rsidDel="00B900D1">
              <w:rPr>
                <w:rFonts w:cs="Arial"/>
                <w:color w:val="000000"/>
                <w:kern w:val="24"/>
                <w:sz w:val="22"/>
                <w:szCs w:val="22"/>
                <w:lang w:eastAsia="en-GB"/>
              </w:rPr>
              <w:t xml:space="preserve"> </w:t>
            </w:r>
            <w:r w:rsidRPr="00000469">
              <w:rPr>
                <w:rFonts w:cs="Arial"/>
                <w:color w:val="000000"/>
                <w:kern w:val="24"/>
                <w:sz w:val="22"/>
                <w:szCs w:val="22"/>
                <w:lang w:eastAsia="en-GB"/>
              </w:rPr>
              <w:t>may not have an annual review so may require more opportunistic measurement or a specific appointment.</w:t>
            </w:r>
          </w:p>
        </w:tc>
        <w:tc>
          <w:tcPr>
            <w:tcW w:w="3118" w:type="dxa"/>
          </w:tcPr>
          <w:p w14:paraId="2E38F3AC" w14:textId="77777777" w:rsidR="00A47852" w:rsidRPr="00000469" w:rsidRDefault="00A47852" w:rsidP="00A47852">
            <w:pPr>
              <w:pStyle w:val="Paragraph"/>
              <w:spacing w:before="120" w:after="120" w:line="240" w:lineRule="auto"/>
            </w:pPr>
            <w:r w:rsidRPr="00000469">
              <w:rPr>
                <w:rFonts w:cs="Arial"/>
                <w:color w:val="000000"/>
                <w:kern w:val="24"/>
                <w:sz w:val="22"/>
                <w:szCs w:val="22"/>
              </w:rPr>
              <w:t>The indicator has an acceptable risk of unintended consequences.</w:t>
            </w:r>
          </w:p>
        </w:tc>
      </w:tr>
    </w:tbl>
    <w:p w14:paraId="630EB054" w14:textId="77777777" w:rsidR="00D73835" w:rsidRDefault="00D73835" w:rsidP="003605D5">
      <w:pPr>
        <w:pStyle w:val="Heading1"/>
      </w:pPr>
    </w:p>
    <w:sectPr w:rsidR="00D73835" w:rsidSect="003E4657">
      <w:headerReference w:type="default" r:id="rId15"/>
      <w:footerReference w:type="default" r:id="rId16"/>
      <w:headerReference w:type="first" r:id="rId17"/>
      <w:foot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7FBF" w14:textId="77777777" w:rsidR="000732EC" w:rsidRDefault="000732EC" w:rsidP="00446BEE">
      <w:r>
        <w:separator/>
      </w:r>
    </w:p>
  </w:endnote>
  <w:endnote w:type="continuationSeparator" w:id="0">
    <w:p w14:paraId="006CDCF5" w14:textId="77777777" w:rsidR="000732EC" w:rsidRDefault="000732E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8295" w14:textId="7ACA1DD4" w:rsidR="00BB14CA" w:rsidRPr="008C1C95" w:rsidRDefault="00B50BD1" w:rsidP="008C1C95">
    <w:pPr>
      <w:pStyle w:val="Footer"/>
      <w:jc w:val="right"/>
    </w:pPr>
    <w:r>
      <w:t>IND320</w:t>
    </w:r>
    <w:r w:rsidR="009B0E59">
      <w:t xml:space="preserve">: Validity assessment </w:t>
    </w:r>
    <w:r>
      <w:t>November 2025</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BE87" w14:textId="523A7B33" w:rsidR="005E3CBE" w:rsidRDefault="005E3CBE" w:rsidP="005E3CBE">
    <w:pPr>
      <w:pStyle w:val="Footer"/>
      <w:jc w:val="right"/>
    </w:pPr>
    <w:r>
      <w:t>IND320: Validity assessment November 2025</w:t>
    </w:r>
    <w:r>
      <w:tab/>
    </w:r>
    <w:r>
      <w:tab/>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E0B0" w14:textId="77777777" w:rsidR="000732EC" w:rsidRDefault="000732EC" w:rsidP="00446BEE">
      <w:r>
        <w:separator/>
      </w:r>
    </w:p>
  </w:footnote>
  <w:footnote w:type="continuationSeparator" w:id="0">
    <w:p w14:paraId="6376C4CE" w14:textId="77777777" w:rsidR="000732EC" w:rsidRDefault="000732E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36CD" w14:textId="77777777" w:rsidR="00BB14CA" w:rsidRDefault="00BB14CA" w:rsidP="003E4657">
    <w:pPr>
      <w:pStyle w:val="Header"/>
      <w:tabs>
        <w:tab w:val="left" w:pos="2768"/>
        <w:tab w:val="center" w:pos="4156"/>
      </w:tabs>
      <w:rPr>
        <w:b/>
        <w:color w:val="FF0000"/>
        <w:sz w:val="22"/>
        <w:szCs w:val="22"/>
      </w:rPr>
    </w:pPr>
  </w:p>
  <w:p w14:paraId="7C0720B9"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C70A" w14:textId="77777777" w:rsidR="003E4657" w:rsidRDefault="003E4657">
    <w:pPr>
      <w:pStyle w:val="Header"/>
    </w:pPr>
    <w:r w:rsidRPr="003E4657">
      <w:rPr>
        <w:rFonts w:ascii="Times New Roman" w:hAnsi="Times New Roman"/>
        <w:noProof/>
        <w:lang w:eastAsia="en-GB"/>
      </w:rPr>
      <w:drawing>
        <wp:inline distT="0" distB="0" distL="0" distR="0" wp14:anchorId="4A7FD9C7" wp14:editId="25D27119">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06637E"/>
    <w:multiLevelType w:val="hybridMultilevel"/>
    <w:tmpl w:val="61EE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7343E4"/>
    <w:multiLevelType w:val="hybridMultilevel"/>
    <w:tmpl w:val="68FC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716C4"/>
    <w:multiLevelType w:val="hybridMultilevel"/>
    <w:tmpl w:val="2AA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B9B2E9B"/>
    <w:multiLevelType w:val="hybridMultilevel"/>
    <w:tmpl w:val="77D0F05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655E1"/>
    <w:multiLevelType w:val="hybridMultilevel"/>
    <w:tmpl w:val="A804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5"/>
  </w:num>
  <w:num w:numId="2" w16cid:durableId="233853175">
    <w:abstractNumId w:val="12"/>
  </w:num>
  <w:num w:numId="3" w16cid:durableId="1529370562">
    <w:abstractNumId w:val="31"/>
  </w:num>
  <w:num w:numId="4" w16cid:durableId="657612754">
    <w:abstractNumId w:val="13"/>
  </w:num>
  <w:num w:numId="5" w16cid:durableId="1193808871">
    <w:abstractNumId w:val="27"/>
  </w:num>
  <w:num w:numId="6" w16cid:durableId="781268177">
    <w:abstractNumId w:val="1"/>
  </w:num>
  <w:num w:numId="7" w16cid:durableId="201872007">
    <w:abstractNumId w:val="11"/>
  </w:num>
  <w:num w:numId="8" w16cid:durableId="1295333019">
    <w:abstractNumId w:val="25"/>
  </w:num>
  <w:num w:numId="9" w16cid:durableId="513112173">
    <w:abstractNumId w:val="26"/>
  </w:num>
  <w:num w:numId="10" w16cid:durableId="2049523386">
    <w:abstractNumId w:val="5"/>
  </w:num>
  <w:num w:numId="11" w16cid:durableId="1370840847">
    <w:abstractNumId w:val="8"/>
  </w:num>
  <w:num w:numId="12" w16cid:durableId="1021859395">
    <w:abstractNumId w:val="2"/>
  </w:num>
  <w:num w:numId="13" w16cid:durableId="1167093030">
    <w:abstractNumId w:val="34"/>
  </w:num>
  <w:num w:numId="14" w16cid:durableId="1771392860">
    <w:abstractNumId w:val="15"/>
  </w:num>
  <w:num w:numId="15" w16cid:durableId="1260019971">
    <w:abstractNumId w:val="10"/>
  </w:num>
  <w:num w:numId="16" w16cid:durableId="546987736">
    <w:abstractNumId w:val="22"/>
  </w:num>
  <w:num w:numId="17" w16cid:durableId="2137412053">
    <w:abstractNumId w:val="19"/>
  </w:num>
  <w:num w:numId="18" w16cid:durableId="2039037637">
    <w:abstractNumId w:val="24"/>
  </w:num>
  <w:num w:numId="19" w16cid:durableId="1939945119">
    <w:abstractNumId w:val="29"/>
  </w:num>
  <w:num w:numId="20" w16cid:durableId="1057584041">
    <w:abstractNumId w:val="7"/>
  </w:num>
  <w:num w:numId="21" w16cid:durableId="1439716324">
    <w:abstractNumId w:val="32"/>
  </w:num>
  <w:num w:numId="22" w16cid:durableId="321355733">
    <w:abstractNumId w:val="0"/>
  </w:num>
  <w:num w:numId="23" w16cid:durableId="317730129">
    <w:abstractNumId w:val="4"/>
  </w:num>
  <w:num w:numId="24" w16cid:durableId="480850916">
    <w:abstractNumId w:val="30"/>
  </w:num>
  <w:num w:numId="25" w16cid:durableId="130027160">
    <w:abstractNumId w:val="21"/>
  </w:num>
  <w:num w:numId="26" w16cid:durableId="58794158">
    <w:abstractNumId w:val="20"/>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3"/>
  </w:num>
  <w:num w:numId="39" w16cid:durableId="1357119577">
    <w:abstractNumId w:val="23"/>
  </w:num>
  <w:num w:numId="40" w16cid:durableId="1472091102">
    <w:abstractNumId w:val="3"/>
  </w:num>
  <w:num w:numId="41" w16cid:durableId="2090153087">
    <w:abstractNumId w:val="17"/>
  </w:num>
  <w:num w:numId="42" w16cid:durableId="805902061">
    <w:abstractNumId w:val="18"/>
  </w:num>
  <w:num w:numId="43" w16cid:durableId="1499422565">
    <w:abstractNumId w:val="35"/>
    <w:lvlOverride w:ilvl="0">
      <w:startOverride w:val="1"/>
    </w:lvlOverride>
  </w:num>
  <w:num w:numId="44" w16cid:durableId="1585256841">
    <w:abstractNumId w:val="28"/>
  </w:num>
  <w:num w:numId="45" w16cid:durableId="2124836274">
    <w:abstractNumId w:val="6"/>
  </w:num>
  <w:num w:numId="46" w16cid:durableId="1902012578">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EC"/>
    <w:rsid w:val="00000469"/>
    <w:rsid w:val="00001DF1"/>
    <w:rsid w:val="00002AC5"/>
    <w:rsid w:val="00011FC6"/>
    <w:rsid w:val="0001222B"/>
    <w:rsid w:val="00015441"/>
    <w:rsid w:val="00016234"/>
    <w:rsid w:val="00017F45"/>
    <w:rsid w:val="000200AB"/>
    <w:rsid w:val="000202F2"/>
    <w:rsid w:val="00020637"/>
    <w:rsid w:val="0002076F"/>
    <w:rsid w:val="0002231A"/>
    <w:rsid w:val="00023CA5"/>
    <w:rsid w:val="00024D0A"/>
    <w:rsid w:val="00025A5C"/>
    <w:rsid w:val="0002655B"/>
    <w:rsid w:val="00027B76"/>
    <w:rsid w:val="000300AE"/>
    <w:rsid w:val="00030385"/>
    <w:rsid w:val="0003213D"/>
    <w:rsid w:val="0003530A"/>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32EC"/>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29"/>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22ED"/>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4A7"/>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212D"/>
    <w:rsid w:val="003132FA"/>
    <w:rsid w:val="00314933"/>
    <w:rsid w:val="0031497D"/>
    <w:rsid w:val="00314C27"/>
    <w:rsid w:val="00316D48"/>
    <w:rsid w:val="00317416"/>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5924"/>
    <w:rsid w:val="00346B57"/>
    <w:rsid w:val="00347EDE"/>
    <w:rsid w:val="00350A0C"/>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08D"/>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351BE"/>
    <w:rsid w:val="00440CCA"/>
    <w:rsid w:val="00442D76"/>
    <w:rsid w:val="004440AF"/>
    <w:rsid w:val="00446BEE"/>
    <w:rsid w:val="00450E6D"/>
    <w:rsid w:val="004518F7"/>
    <w:rsid w:val="0045334C"/>
    <w:rsid w:val="00453461"/>
    <w:rsid w:val="004539A8"/>
    <w:rsid w:val="004539D9"/>
    <w:rsid w:val="00455B14"/>
    <w:rsid w:val="00456B1D"/>
    <w:rsid w:val="00461C01"/>
    <w:rsid w:val="00462AFA"/>
    <w:rsid w:val="0046325E"/>
    <w:rsid w:val="0046445C"/>
    <w:rsid w:val="00465ED7"/>
    <w:rsid w:val="0046709A"/>
    <w:rsid w:val="00472CEC"/>
    <w:rsid w:val="00474FE4"/>
    <w:rsid w:val="00475C7C"/>
    <w:rsid w:val="00475D8E"/>
    <w:rsid w:val="00476940"/>
    <w:rsid w:val="0047731B"/>
    <w:rsid w:val="004824B6"/>
    <w:rsid w:val="00482C01"/>
    <w:rsid w:val="00483498"/>
    <w:rsid w:val="0048353B"/>
    <w:rsid w:val="00486953"/>
    <w:rsid w:val="00487006"/>
    <w:rsid w:val="004907E0"/>
    <w:rsid w:val="0049285D"/>
    <w:rsid w:val="00492AC8"/>
    <w:rsid w:val="00492CB6"/>
    <w:rsid w:val="00496B1E"/>
    <w:rsid w:val="00497AD3"/>
    <w:rsid w:val="004A13E2"/>
    <w:rsid w:val="004A1FB6"/>
    <w:rsid w:val="004A237B"/>
    <w:rsid w:val="004A517E"/>
    <w:rsid w:val="004A664D"/>
    <w:rsid w:val="004A7AD4"/>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D74"/>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57BC7"/>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3CBE"/>
    <w:rsid w:val="005E437F"/>
    <w:rsid w:val="005E58ED"/>
    <w:rsid w:val="005E62A7"/>
    <w:rsid w:val="005E6B30"/>
    <w:rsid w:val="005F25FD"/>
    <w:rsid w:val="005F3989"/>
    <w:rsid w:val="005F3C5C"/>
    <w:rsid w:val="005F3C69"/>
    <w:rsid w:val="005F5AFD"/>
    <w:rsid w:val="005F6BB8"/>
    <w:rsid w:val="005F6F0A"/>
    <w:rsid w:val="005F72B2"/>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720"/>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6677"/>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4198"/>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01E0"/>
    <w:rsid w:val="008A1DAE"/>
    <w:rsid w:val="008A247E"/>
    <w:rsid w:val="008A2C2A"/>
    <w:rsid w:val="008A35A2"/>
    <w:rsid w:val="008A3D62"/>
    <w:rsid w:val="008A6605"/>
    <w:rsid w:val="008A6A0C"/>
    <w:rsid w:val="008B183A"/>
    <w:rsid w:val="008B4B98"/>
    <w:rsid w:val="008C00A5"/>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64BA"/>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6BAD"/>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142"/>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0BD1"/>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0D1"/>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1811"/>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5624"/>
    <w:rsid w:val="00C278DE"/>
    <w:rsid w:val="00C2796B"/>
    <w:rsid w:val="00C3004B"/>
    <w:rsid w:val="00C31F4C"/>
    <w:rsid w:val="00C3209A"/>
    <w:rsid w:val="00C32ADC"/>
    <w:rsid w:val="00C35755"/>
    <w:rsid w:val="00C42E13"/>
    <w:rsid w:val="00C4427F"/>
    <w:rsid w:val="00C47DDE"/>
    <w:rsid w:val="00C50912"/>
    <w:rsid w:val="00C50FF0"/>
    <w:rsid w:val="00C5464E"/>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081"/>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18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06F8"/>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AFB"/>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080A"/>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523D"/>
    <w:rsid w:val="00ED07B2"/>
    <w:rsid w:val="00ED1179"/>
    <w:rsid w:val="00ED246E"/>
    <w:rsid w:val="00ED379C"/>
    <w:rsid w:val="00ED4D08"/>
    <w:rsid w:val="00ED5834"/>
    <w:rsid w:val="00ED6AAF"/>
    <w:rsid w:val="00EE065C"/>
    <w:rsid w:val="00EE3926"/>
    <w:rsid w:val="00EE5D34"/>
    <w:rsid w:val="00EE776F"/>
    <w:rsid w:val="00EF319C"/>
    <w:rsid w:val="00EF3258"/>
    <w:rsid w:val="00EF7C4A"/>
    <w:rsid w:val="00F00846"/>
    <w:rsid w:val="00F021F6"/>
    <w:rsid w:val="00F02496"/>
    <w:rsid w:val="00F027E4"/>
    <w:rsid w:val="00F055F1"/>
    <w:rsid w:val="00F05A46"/>
    <w:rsid w:val="00F06B7C"/>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1F3B"/>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3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36331888">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health-survey-for-england" TargetMode="External"/><Relationship Id="rId13" Type="http://schemas.openxmlformats.org/officeDocument/2006/relationships/hyperlink" Target="https://www.nice.org.uk/guidance/cg71"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10-year-health-plan-for-england-fit-for-the-future" TargetMode="External"/><Relationship Id="rId12" Type="http://schemas.openxmlformats.org/officeDocument/2006/relationships/hyperlink" Target="http://www.healthcheck.nhs.uk/commissioners_and_providers/guidanc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4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vdprevent.nhs.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mcmedicine.biomedcentral.com/articles/10.1186/s12916-019-1446-y" TargetMode="External"/><Relationship Id="rId14" Type="http://schemas.openxmlformats.org/officeDocument/2006/relationships/hyperlink" Target="https://www.nice.org.uk/guidance/ng2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5928</Characters>
  <Application>Microsoft Office Word</Application>
  <DocSecurity>0</DocSecurity>
  <Lines>191</Lines>
  <Paragraphs>78</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2025-10-29T12:05:00Z</dcterms:created>
  <dcterms:modified xsi:type="dcterms:W3CDTF">2025-10-29T14:02:00Z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2025-10-29T12:05:36Z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4f9fb22f-9e59-400f-ae64-d4c97cd960c4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