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9B13" w14:textId="1857634A" w:rsidR="00E27C94" w:rsidRDefault="00E27C94" w:rsidP="002E482A">
      <w:pPr>
        <w:pStyle w:val="Title"/>
      </w:pPr>
      <w:r>
        <w:t>Indicator development programme</w:t>
      </w:r>
      <w:r w:rsidR="002E482A">
        <w:tab/>
      </w:r>
    </w:p>
    <w:p w14:paraId="5C05FA6A" w14:textId="6C69F55B" w:rsidR="002E482A" w:rsidRDefault="002E482A" w:rsidP="002E482A">
      <w:pPr>
        <w:pStyle w:val="Title"/>
      </w:pPr>
      <w:r>
        <w:t>Consultation report</w:t>
      </w:r>
      <w:r w:rsidR="00A90CD8">
        <w:t xml:space="preserve">: </w:t>
      </w:r>
      <w:r w:rsidR="00544322" w:rsidRPr="00544322">
        <w:t>cervical screening (25 to 64 years)</w:t>
      </w:r>
    </w:p>
    <w:p w14:paraId="6D16CB90" w14:textId="05411E30" w:rsidR="002E482A" w:rsidRDefault="002E482A" w:rsidP="002E482A">
      <w:pPr>
        <w:pStyle w:val="Paragraph"/>
      </w:pPr>
      <w:r>
        <w:t xml:space="preserve">Consultation period: </w:t>
      </w:r>
      <w:r w:rsidR="00C16FA2" w:rsidRPr="00C16FA2">
        <w:t>3</w:t>
      </w:r>
      <w:r w:rsidR="00C16FA2">
        <w:t xml:space="preserve"> July </w:t>
      </w:r>
      <w:r w:rsidR="00C16FA2" w:rsidRPr="00C16FA2">
        <w:t>2025 to 31</w:t>
      </w:r>
      <w:r w:rsidR="00C16FA2">
        <w:t xml:space="preserve"> July </w:t>
      </w:r>
      <w:r w:rsidR="00C16FA2" w:rsidRPr="00C16FA2">
        <w:t>2025</w:t>
      </w:r>
    </w:p>
    <w:p w14:paraId="3C9B6D64" w14:textId="1843E99B" w:rsidR="00594C3A" w:rsidRDefault="000171F3" w:rsidP="000171F3">
      <w:pPr>
        <w:pStyle w:val="Heading1"/>
      </w:pPr>
      <w:r>
        <w:t>Introduction</w:t>
      </w:r>
    </w:p>
    <w:p w14:paraId="7759E713" w14:textId="3390CCB3" w:rsidR="00F06A45" w:rsidRDefault="00FA791D" w:rsidP="00140C34">
      <w:pPr>
        <w:pStyle w:val="ParagraphNumbered"/>
        <w:ind w:left="284" w:hanging="284"/>
      </w:pPr>
      <w:r w:rsidRPr="00FA791D">
        <w:t xml:space="preserve">This paper </w:t>
      </w:r>
      <w:r>
        <w:t>outlines</w:t>
      </w:r>
      <w:r w:rsidRPr="00FA791D">
        <w:t xml:space="preserve"> </w:t>
      </w:r>
      <w:r w:rsidR="00070153">
        <w:t>sta</w:t>
      </w:r>
      <w:r w:rsidR="002E01B2">
        <w:t>ke</w:t>
      </w:r>
      <w:r w:rsidR="00070153">
        <w:t>holder</w:t>
      </w:r>
      <w:r w:rsidRPr="00FA791D">
        <w:t xml:space="preserve"> </w:t>
      </w:r>
      <w:r w:rsidR="006C1F0D">
        <w:t>comments</w:t>
      </w:r>
      <w:r w:rsidRPr="00FA791D">
        <w:t xml:space="preserve"> from </w:t>
      </w:r>
      <w:r w:rsidR="002E01B2">
        <w:t xml:space="preserve">a </w:t>
      </w:r>
      <w:r w:rsidR="009D6A87" w:rsidRPr="00FA791D">
        <w:t xml:space="preserve">consultation </w:t>
      </w:r>
      <w:r w:rsidRPr="00FA791D">
        <w:t xml:space="preserve">on </w:t>
      </w:r>
      <w:r w:rsidR="005D1822">
        <w:t xml:space="preserve">the following draft </w:t>
      </w:r>
      <w:r w:rsidR="00A2258D">
        <w:t xml:space="preserve">indicator </w:t>
      </w:r>
      <w:r w:rsidR="007B7534">
        <w:t xml:space="preserve">that is </w:t>
      </w:r>
      <w:r w:rsidRPr="00FA791D">
        <w:t>potentially suitable for use in the QOF</w:t>
      </w:r>
      <w:r w:rsidR="00F06A45">
        <w:t xml:space="preserve">: </w:t>
      </w:r>
    </w:p>
    <w:p w14:paraId="1AEF381B" w14:textId="077EC3D6" w:rsidR="00F95FE0" w:rsidRDefault="00F06A45" w:rsidP="00C6085F">
      <w:pPr>
        <w:pStyle w:val="Bullets"/>
        <w:tabs>
          <w:tab w:val="clear" w:pos="993"/>
          <w:tab w:val="left" w:pos="1134"/>
        </w:tabs>
      </w:pPr>
      <w:r w:rsidRPr="00F06A45">
        <w:t>GID-IND103</w:t>
      </w:r>
      <w:r w:rsidR="006B1302">
        <w:t>37</w:t>
      </w:r>
      <w:r w:rsidRPr="00F06A45">
        <w:t>: The proportion of patients eligible for cervical screening and aged 25 to 64 years at end of the period reported whose notes record that an adequate cervical screening test has been performed in the previous 5.5 years.</w:t>
      </w:r>
    </w:p>
    <w:p w14:paraId="4A6643EB" w14:textId="77777777" w:rsidR="00F95FE0" w:rsidRDefault="00F95FE0" w:rsidP="00F95FE0">
      <w:pPr>
        <w:pStyle w:val="Bullets"/>
        <w:numPr>
          <w:ilvl w:val="0"/>
          <w:numId w:val="0"/>
        </w:numPr>
      </w:pPr>
    </w:p>
    <w:p w14:paraId="0A42F6EE" w14:textId="58906C1C" w:rsidR="00BA7162" w:rsidRDefault="00580B21" w:rsidP="00140C34">
      <w:pPr>
        <w:pStyle w:val="ParagraphNumbered"/>
        <w:ind w:left="426" w:hanging="426"/>
      </w:pPr>
      <w:r>
        <w:t>T</w:t>
      </w:r>
      <w:r w:rsidR="009D6A87" w:rsidRPr="009D6A87">
        <w:t xml:space="preserve">his indicator </w:t>
      </w:r>
      <w:r>
        <w:t>is</w:t>
      </w:r>
      <w:r w:rsidR="009D6A87" w:rsidRPr="009D6A87">
        <w:t xml:space="preserve"> proposed update and replacement of </w:t>
      </w:r>
      <w:r w:rsidR="00272165">
        <w:t xml:space="preserve">2 </w:t>
      </w:r>
      <w:r w:rsidR="009D6A87" w:rsidRPr="009D6A87">
        <w:t xml:space="preserve">existing indicators </w:t>
      </w:r>
      <w:hyperlink r:id="rId8" w:history="1">
        <w:r w:rsidR="009D6A87" w:rsidRPr="009D6A87">
          <w:rPr>
            <w:rStyle w:val="Hyperlink"/>
          </w:rPr>
          <w:t>IND176 Screening: cervical screening (25 to 49 years)</w:t>
        </w:r>
      </w:hyperlink>
      <w:r w:rsidR="009D6A87" w:rsidRPr="009D6A87">
        <w:t xml:space="preserve"> and </w:t>
      </w:r>
      <w:hyperlink r:id="rId9" w:history="1">
        <w:r w:rsidR="009D6A87" w:rsidRPr="009D6A87">
          <w:rPr>
            <w:rStyle w:val="Hyperlink"/>
          </w:rPr>
          <w:t>IND177 Screening: cervical screening (50 to 64 years)</w:t>
        </w:r>
      </w:hyperlink>
      <w:r w:rsidR="009D6A87" w:rsidRPr="009D6A87">
        <w:t>.</w:t>
      </w:r>
    </w:p>
    <w:p w14:paraId="7EE73104" w14:textId="77777777" w:rsidR="001A5873" w:rsidRDefault="001A5873" w:rsidP="001A5873">
      <w:pPr>
        <w:pStyle w:val="Heading2"/>
      </w:pPr>
      <w:r>
        <w:t>Rationale</w:t>
      </w:r>
    </w:p>
    <w:p w14:paraId="4CF940B3" w14:textId="69B89A21" w:rsidR="003C0F24" w:rsidRDefault="00B878E5" w:rsidP="00140C34">
      <w:pPr>
        <w:pStyle w:val="ParagraphNumbered"/>
        <w:ind w:left="426" w:hanging="426"/>
      </w:pPr>
      <w:r w:rsidRPr="00B878E5">
        <w:t>A cervical screening test is a way of detecting abnormal cells on the cervix. Detecting and removing abnormal cervical cells can prevent cervical cancer. Cervical screening aims to reduce the number of people who develop cervical cancer and the number who die from it. Cervical cancer often has no symptoms in its early stages.</w:t>
      </w:r>
    </w:p>
    <w:p w14:paraId="6326B008" w14:textId="1FB7104E" w:rsidR="005E0708" w:rsidRDefault="005E0708" w:rsidP="00140C34">
      <w:pPr>
        <w:pStyle w:val="ParagraphNumbered"/>
        <w:ind w:left="426" w:hanging="426"/>
      </w:pPr>
      <w:r w:rsidRPr="005E0708">
        <w:t xml:space="preserve">This indicator aims to improve uptake of cervical screening and ensure it is performed at the appropriate intervals. From July 2025, changes to the screening schedule by </w:t>
      </w:r>
      <w:hyperlink r:id="rId10" w:history="1">
        <w:r w:rsidRPr="005E0708">
          <w:rPr>
            <w:rStyle w:val="Hyperlink"/>
          </w:rPr>
          <w:t>NHS England</w:t>
        </w:r>
      </w:hyperlink>
      <w:r w:rsidRPr="005E0708">
        <w:t xml:space="preserve"> mean those aged 25 to 49 who test negative for HPV will be invited for screening every 5 years instead of 3 years, in line with new guidance. Screening for those aged 50 to 64 will remain every 5 years.</w:t>
      </w:r>
    </w:p>
    <w:p w14:paraId="4CBE8BF6" w14:textId="3124C2F9" w:rsidR="00975DA4" w:rsidRDefault="0021082C" w:rsidP="00975DA4">
      <w:pPr>
        <w:pStyle w:val="Heading2"/>
      </w:pPr>
      <w:r>
        <w:lastRenderedPageBreak/>
        <w:t>Draft s</w:t>
      </w:r>
      <w:r w:rsidR="00975DA4">
        <w:t>pecification</w:t>
      </w:r>
    </w:p>
    <w:p w14:paraId="450C2CD7" w14:textId="77777777" w:rsidR="00975DA4" w:rsidRDefault="00975DA4" w:rsidP="00975DA4">
      <w:pPr>
        <w:pStyle w:val="Paragraph"/>
      </w:pPr>
      <w:r>
        <w:t>Numerator: The number of patients in the denominator whose notes record that an adequate cervical screening test has been performed in the preceding 5.5 years.</w:t>
      </w:r>
    </w:p>
    <w:p w14:paraId="7F211117" w14:textId="77777777" w:rsidR="00975DA4" w:rsidRDefault="00975DA4" w:rsidP="00975DA4">
      <w:pPr>
        <w:pStyle w:val="Paragraph"/>
      </w:pPr>
      <w:r>
        <w:t>Denominator: The number of patients eligible for cervical screening aged 25 to 64 years.</w:t>
      </w:r>
    </w:p>
    <w:p w14:paraId="32998928" w14:textId="77777777" w:rsidR="00975DA4" w:rsidRDefault="00975DA4" w:rsidP="00975DA4">
      <w:pPr>
        <w:pStyle w:val="Paragraph"/>
      </w:pPr>
      <w:r>
        <w:t>Calculation: Numerator divided by the denominator, multiplied by 100.</w:t>
      </w:r>
    </w:p>
    <w:p w14:paraId="472F894A" w14:textId="77777777" w:rsidR="00975DA4" w:rsidRDefault="00975DA4" w:rsidP="00975DA4">
      <w:pPr>
        <w:pStyle w:val="Paragraph"/>
      </w:pPr>
      <w:r>
        <w:t>Exclusions:</w:t>
      </w:r>
    </w:p>
    <w:p w14:paraId="05B2B9D9" w14:textId="77777777" w:rsidR="00975DA4" w:rsidRDefault="00975DA4" w:rsidP="00975DA4">
      <w:pPr>
        <w:pStyle w:val="Bullets"/>
      </w:pPr>
      <w:r>
        <w:t>Patients without a cervix.</w:t>
      </w:r>
    </w:p>
    <w:p w14:paraId="349064C4" w14:textId="77777777" w:rsidR="00975DA4" w:rsidRDefault="00975DA4" w:rsidP="00975DA4">
      <w:pPr>
        <w:pStyle w:val="Bullets"/>
      </w:pPr>
      <w:r>
        <w:t>Patients who are male.</w:t>
      </w:r>
    </w:p>
    <w:p w14:paraId="2276901E" w14:textId="77777777" w:rsidR="00975DA4" w:rsidRDefault="00975DA4" w:rsidP="00975DA4">
      <w:pPr>
        <w:pStyle w:val="Bullets"/>
      </w:pPr>
      <w:r>
        <w:t xml:space="preserve">Patients who are </w:t>
      </w:r>
      <w:r w:rsidRPr="00EC7967">
        <w:t>pregnant</w:t>
      </w:r>
      <w:r>
        <w:t>.</w:t>
      </w:r>
    </w:p>
    <w:p w14:paraId="39838B5E" w14:textId="77777777" w:rsidR="00975DA4" w:rsidRDefault="00975DA4" w:rsidP="00975DA4">
      <w:pPr>
        <w:pStyle w:val="Bullets"/>
        <w:numPr>
          <w:ilvl w:val="0"/>
          <w:numId w:val="0"/>
        </w:numPr>
        <w:ind w:left="993"/>
      </w:pPr>
    </w:p>
    <w:p w14:paraId="5D742BBB" w14:textId="06865F08" w:rsidR="00975DA4" w:rsidRPr="000171F3" w:rsidRDefault="00975DA4" w:rsidP="008C64EF">
      <w:pPr>
        <w:pStyle w:val="Paragraph"/>
      </w:pPr>
      <w:r>
        <w:t>Personalised care adjustments or exception reporting should be considered to account for situations where the patient declines, does not attend or if cervical screening is not appropriate.</w:t>
      </w:r>
    </w:p>
    <w:p w14:paraId="1626E56E" w14:textId="77777777" w:rsidR="00AB2DB9" w:rsidRDefault="00AB2DB9" w:rsidP="00AB2DB9">
      <w:pPr>
        <w:pStyle w:val="Heading2"/>
      </w:pPr>
      <w:bookmarkStart w:id="0" w:name="_Toc118099453"/>
      <w:r>
        <w:t xml:space="preserve">Considerations for the advisory committee </w:t>
      </w:r>
    </w:p>
    <w:p w14:paraId="6D3C6EAC" w14:textId="77777777" w:rsidR="00AB2DB9" w:rsidRDefault="00AB2DB9" w:rsidP="00AB2DB9">
      <w:pPr>
        <w:pStyle w:val="ParagraphNumbered"/>
      </w:pPr>
      <w:r>
        <w:t xml:space="preserve">The committee is asked to consider: </w:t>
      </w:r>
    </w:p>
    <w:p w14:paraId="426EA1CA" w14:textId="77777777" w:rsidR="00AB2DB9" w:rsidRPr="00CD3A9F" w:rsidRDefault="00AB2DB9" w:rsidP="00AB2DB9">
      <w:pPr>
        <w:pStyle w:val="Bullets"/>
        <w:ind w:left="993" w:hanging="426"/>
      </w:pPr>
      <w:r w:rsidRPr="003E0A94">
        <w:t xml:space="preserve">Should </w:t>
      </w:r>
      <w:r>
        <w:t>the draft indicator replace the existing 2 indicators (IND176 &amp; IND177)?</w:t>
      </w:r>
    </w:p>
    <w:p w14:paraId="29418C0A" w14:textId="77777777" w:rsidR="00AB2DB9" w:rsidRDefault="00AB2DB9" w:rsidP="00AB2DB9">
      <w:pPr>
        <w:pStyle w:val="Bullets"/>
        <w:ind w:left="993" w:hanging="426"/>
      </w:pPr>
      <w:r>
        <w:t>Trans men registered as male at their general practice are not included in the data extraction even if they opt in to the screening.</w:t>
      </w:r>
    </w:p>
    <w:p w14:paraId="52A62450" w14:textId="77777777" w:rsidR="00AB2DB9" w:rsidRPr="00CD3A9F" w:rsidRDefault="00AB2DB9" w:rsidP="00AB2DB9">
      <w:pPr>
        <w:pStyle w:val="Bullets"/>
        <w:ind w:left="993" w:hanging="426"/>
      </w:pPr>
      <w:r>
        <w:t>Should ‘patients who are pregnant’ be removed from the exclusions list because</w:t>
      </w:r>
      <w:r w:rsidRPr="00235B78">
        <w:t xml:space="preserve"> the screening window has increased</w:t>
      </w:r>
      <w:r>
        <w:t xml:space="preserve"> for all people to 5.5 years?</w:t>
      </w:r>
    </w:p>
    <w:p w14:paraId="454C45B1" w14:textId="44025F7D" w:rsidR="002E482A" w:rsidRDefault="00017B58" w:rsidP="002E482A">
      <w:pPr>
        <w:pStyle w:val="Heading1"/>
      </w:pPr>
      <w:r>
        <w:t>Consultation</w:t>
      </w:r>
      <w:r w:rsidR="002E482A">
        <w:t xml:space="preserve"> comments</w:t>
      </w:r>
      <w:bookmarkEnd w:id="0"/>
      <w:r w:rsidR="002E482A">
        <w:t xml:space="preserve"> </w:t>
      </w:r>
    </w:p>
    <w:p w14:paraId="22E6510D" w14:textId="144B196F" w:rsidR="0013438C" w:rsidRDefault="00CD3A9F" w:rsidP="00035112">
      <w:pPr>
        <w:pStyle w:val="ParagraphNumbered"/>
        <w:ind w:left="425" w:hanging="425"/>
      </w:pPr>
      <w:r>
        <w:t xml:space="preserve">Comments from </w:t>
      </w:r>
      <w:r w:rsidR="00475459">
        <w:t xml:space="preserve">the </w:t>
      </w:r>
      <w:r w:rsidR="00AD5AC5">
        <w:t>British Medical Association</w:t>
      </w:r>
      <w:r w:rsidR="002330CF">
        <w:t>’s General Practitioners Committee</w:t>
      </w:r>
      <w:r w:rsidR="00475459">
        <w:t>:</w:t>
      </w:r>
      <w:r>
        <w:t xml:space="preserve"> </w:t>
      </w:r>
    </w:p>
    <w:tbl>
      <w:tblPr>
        <w:tblStyle w:val="TableGridLight"/>
        <w:tblW w:w="0" w:type="auto"/>
        <w:tblInd w:w="425" w:type="dxa"/>
        <w:tblLook w:val="04A0" w:firstRow="1" w:lastRow="0" w:firstColumn="1" w:lastColumn="0" w:noHBand="0" w:noVBand="1"/>
      </w:tblPr>
      <w:tblGrid>
        <w:gridCol w:w="4264"/>
        <w:gridCol w:w="3613"/>
      </w:tblGrid>
      <w:tr w:rsidR="006C1F0D" w14:paraId="68FCB7F3" w14:textId="21247249" w:rsidTr="006C1F0D">
        <w:tc>
          <w:tcPr>
            <w:tcW w:w="4264" w:type="dxa"/>
          </w:tcPr>
          <w:p w14:paraId="530103D4" w14:textId="708FD726" w:rsidR="006C1F0D" w:rsidRDefault="006C1F0D" w:rsidP="00475459">
            <w:pPr>
              <w:pStyle w:val="Tableheading"/>
            </w:pPr>
            <w:r>
              <w:lastRenderedPageBreak/>
              <w:t xml:space="preserve">Comment </w:t>
            </w:r>
          </w:p>
        </w:tc>
        <w:tc>
          <w:tcPr>
            <w:tcW w:w="3613" w:type="dxa"/>
          </w:tcPr>
          <w:p w14:paraId="0E41241A" w14:textId="355CCFE4" w:rsidR="006C1F0D" w:rsidRDefault="006C1F0D" w:rsidP="00475459">
            <w:pPr>
              <w:pStyle w:val="Tableheading"/>
            </w:pPr>
            <w:r>
              <w:t>Response</w:t>
            </w:r>
          </w:p>
        </w:tc>
      </w:tr>
      <w:tr w:rsidR="006C1F0D" w14:paraId="5B9A99C3" w14:textId="7412BB28" w:rsidTr="006C1F0D">
        <w:tc>
          <w:tcPr>
            <w:tcW w:w="4264" w:type="dxa"/>
          </w:tcPr>
          <w:p w14:paraId="4229E09C" w14:textId="21CB81C6" w:rsidR="006C1F0D" w:rsidRDefault="006C1F0D" w:rsidP="00475459">
            <w:pPr>
              <w:pStyle w:val="Tabletext"/>
            </w:pPr>
            <w:r w:rsidRPr="00475459">
              <w:t>Eligibility codes would need to include ‘those with a cervix’ to cover transgender patients.</w:t>
            </w:r>
          </w:p>
        </w:tc>
        <w:tc>
          <w:tcPr>
            <w:tcW w:w="3613" w:type="dxa"/>
          </w:tcPr>
          <w:p w14:paraId="0DA2D2D6" w14:textId="78190BFA" w:rsidR="00F03C3D" w:rsidRPr="00475459" w:rsidRDefault="006C1F0D" w:rsidP="006F0BD6">
            <w:pPr>
              <w:pStyle w:val="Tabletext"/>
            </w:pPr>
            <w:r>
              <w:t xml:space="preserve">Thank you for your comment. </w:t>
            </w:r>
            <w:r w:rsidR="005F73C2" w:rsidRPr="005F73C2">
              <w:t>Extraction for the QOF uses sex as the approach to find eligible people. There is currently no recording of trans status and trans men registered as male at their general practice are not included in the data extraction even if they opt in to the screening.</w:t>
            </w:r>
          </w:p>
        </w:tc>
      </w:tr>
    </w:tbl>
    <w:p w14:paraId="365E2232" w14:textId="1486B170" w:rsidR="00AE4AAF" w:rsidRDefault="00AE4AAF">
      <w:pPr>
        <w:rPr>
          <w:rFonts w:ascii="Arial" w:hAnsi="Arial"/>
          <w:lang w:eastAsia="en-US"/>
        </w:rPr>
      </w:pPr>
    </w:p>
    <w:p w14:paraId="3CF5ABED" w14:textId="07E04FDD" w:rsidR="00475459" w:rsidRDefault="00475459" w:rsidP="00475459">
      <w:pPr>
        <w:pStyle w:val="ParagraphNumbered"/>
        <w:ind w:left="425" w:hanging="425"/>
      </w:pPr>
      <w:r w:rsidRPr="00475459">
        <w:t>Comments from the DHSC UK National Screening Committee</w:t>
      </w:r>
      <w:r>
        <w:t>:</w:t>
      </w:r>
    </w:p>
    <w:tbl>
      <w:tblPr>
        <w:tblStyle w:val="TableGridLight"/>
        <w:tblW w:w="7934" w:type="dxa"/>
        <w:tblInd w:w="425" w:type="dxa"/>
        <w:tblLook w:val="04A0" w:firstRow="1" w:lastRow="0" w:firstColumn="1" w:lastColumn="0" w:noHBand="0" w:noVBand="1"/>
      </w:tblPr>
      <w:tblGrid>
        <w:gridCol w:w="4248"/>
        <w:gridCol w:w="3686"/>
      </w:tblGrid>
      <w:tr w:rsidR="006C1F0D" w14:paraId="2D145ED5" w14:textId="24C34A8A" w:rsidTr="006C1F0D">
        <w:trPr>
          <w:tblHeader/>
        </w:trPr>
        <w:tc>
          <w:tcPr>
            <w:tcW w:w="4248" w:type="dxa"/>
          </w:tcPr>
          <w:p w14:paraId="0E6AAA4F" w14:textId="5EFF153F" w:rsidR="006C1F0D" w:rsidRPr="007677A7" w:rsidRDefault="006C1F0D" w:rsidP="00475459">
            <w:pPr>
              <w:pStyle w:val="Tableheading"/>
              <w:ind w:right="-95"/>
            </w:pPr>
            <w:r w:rsidRPr="007677A7">
              <w:t>Comment</w:t>
            </w:r>
          </w:p>
        </w:tc>
        <w:tc>
          <w:tcPr>
            <w:tcW w:w="3686" w:type="dxa"/>
          </w:tcPr>
          <w:p w14:paraId="730F4AE0" w14:textId="77777777" w:rsidR="006C1F0D" w:rsidRPr="007677A7" w:rsidRDefault="006C1F0D" w:rsidP="00475459">
            <w:pPr>
              <w:pStyle w:val="Tableheading"/>
              <w:ind w:right="-95"/>
            </w:pPr>
          </w:p>
        </w:tc>
      </w:tr>
      <w:tr w:rsidR="006C1F0D" w14:paraId="2D66E2F8" w14:textId="2CB85CCD" w:rsidTr="006C1F0D">
        <w:tc>
          <w:tcPr>
            <w:tcW w:w="4248" w:type="dxa"/>
          </w:tcPr>
          <w:p w14:paraId="301193FB" w14:textId="4F512FA2" w:rsidR="006C1F0D" w:rsidRDefault="006C1F0D" w:rsidP="00AD5AC5">
            <w:pPr>
              <w:pStyle w:val="Tabletext"/>
            </w:pPr>
            <w:r w:rsidRPr="007677A7">
              <w:t>This update makes sense as the national standard has now moved to universal 5 yearly offer.</w:t>
            </w:r>
          </w:p>
        </w:tc>
        <w:tc>
          <w:tcPr>
            <w:tcW w:w="3686" w:type="dxa"/>
          </w:tcPr>
          <w:p w14:paraId="37CCEDD4" w14:textId="5A3488FB" w:rsidR="006C1F0D" w:rsidRPr="007677A7" w:rsidRDefault="006C1F0D" w:rsidP="00AD5AC5">
            <w:pPr>
              <w:pStyle w:val="Tabletext"/>
            </w:pPr>
            <w:r>
              <w:t>Thank you for your comment.</w:t>
            </w:r>
            <w:r w:rsidR="002055BD">
              <w:t xml:space="preserve"> </w:t>
            </w:r>
          </w:p>
        </w:tc>
      </w:tr>
      <w:tr w:rsidR="006C1F0D" w14:paraId="14BC59BD" w14:textId="4BCCB130" w:rsidTr="006C1F0D">
        <w:tc>
          <w:tcPr>
            <w:tcW w:w="4248" w:type="dxa"/>
          </w:tcPr>
          <w:p w14:paraId="35518DDE" w14:textId="49593768" w:rsidR="006C1F0D" w:rsidRPr="007677A7" w:rsidRDefault="006C1F0D" w:rsidP="00AD5AC5">
            <w:pPr>
              <w:pStyle w:val="Tabletext"/>
            </w:pPr>
            <w:r w:rsidRPr="007677A7">
              <w:t>Should be edited to refer to people not patients.</w:t>
            </w:r>
          </w:p>
        </w:tc>
        <w:tc>
          <w:tcPr>
            <w:tcW w:w="3686" w:type="dxa"/>
          </w:tcPr>
          <w:p w14:paraId="39A93166" w14:textId="77777777" w:rsidR="00E33DFC" w:rsidRDefault="006C1F0D" w:rsidP="00C12BA1">
            <w:pPr>
              <w:pStyle w:val="Tabletext"/>
            </w:pPr>
            <w:r>
              <w:t xml:space="preserve">Thank you for your comment. </w:t>
            </w:r>
          </w:p>
          <w:p w14:paraId="78653CDE" w14:textId="617A9156" w:rsidR="005F73C2" w:rsidRDefault="005F73C2" w:rsidP="005F73C2">
            <w:pPr>
              <w:pStyle w:val="Tabletext"/>
            </w:pPr>
            <w:r>
              <w:t xml:space="preserve">The </w:t>
            </w:r>
            <w:hyperlink r:id="rId11" w:history="1">
              <w:r w:rsidRPr="00C12BA1">
                <w:rPr>
                  <w:rStyle w:val="Hyperlink"/>
                </w:rPr>
                <w:t>NICE style guide</w:t>
              </w:r>
            </w:hyperlink>
            <w:r>
              <w:t xml:space="preserve"> recommends </w:t>
            </w:r>
            <w:r w:rsidRPr="00C12BA1">
              <w:t>to use people, not patients or service users</w:t>
            </w:r>
            <w:r>
              <w:t>. The exception is NICE indicators which are aligned with QOF. Generally, the format used by the QOF is patients rather than people. QOF uses electronic medical records and standardised coding systems (like SNOMED CT), which typically use ‘patient’ as the default term.</w:t>
            </w:r>
          </w:p>
          <w:p w14:paraId="56C8D3B8" w14:textId="5EDD0E4D" w:rsidR="005F73C2" w:rsidRDefault="005F73C2" w:rsidP="00C12BA1">
            <w:pPr>
              <w:pStyle w:val="Tabletext"/>
            </w:pPr>
          </w:p>
          <w:p w14:paraId="049CF9EF" w14:textId="170B5ABA" w:rsidR="00E33DFC" w:rsidRDefault="005F73C2" w:rsidP="00C12BA1">
            <w:pPr>
              <w:pStyle w:val="Tabletext"/>
            </w:pPr>
            <w:r>
              <w:t>However, w</w:t>
            </w:r>
            <w:r w:rsidR="00E33DFC">
              <w:t xml:space="preserve">e have removed the reference to ‘patients’ in the indicator and replaced with </w:t>
            </w:r>
            <w:r>
              <w:t>‘</w:t>
            </w:r>
            <w:r w:rsidR="00E33DFC">
              <w:t>women</w:t>
            </w:r>
            <w:r>
              <w:t>’</w:t>
            </w:r>
            <w:r w:rsidR="00E33DFC">
              <w:t>.</w:t>
            </w:r>
            <w:r>
              <w:t xml:space="preserve"> </w:t>
            </w:r>
            <w:r w:rsidRPr="005F73C2">
              <w:t>Extraction for the QOF uses sex as the approach to find eligible people. There is currently no recording of trans status and trans men registered as male at their general practice are not included in the data extraction even if they opt in to the screening.</w:t>
            </w:r>
          </w:p>
          <w:p w14:paraId="06B649BF" w14:textId="3DD9189F" w:rsidR="00C12BA1" w:rsidRPr="007677A7" w:rsidRDefault="00C12BA1" w:rsidP="00C12BA1">
            <w:pPr>
              <w:pStyle w:val="Tabletext"/>
            </w:pPr>
          </w:p>
        </w:tc>
      </w:tr>
      <w:tr w:rsidR="006C1F0D" w14:paraId="567B6D5A" w14:textId="1A37C68F" w:rsidTr="006C1F0D">
        <w:tc>
          <w:tcPr>
            <w:tcW w:w="4248" w:type="dxa"/>
          </w:tcPr>
          <w:p w14:paraId="21DDD685" w14:textId="23B9111B" w:rsidR="006C1F0D" w:rsidRDefault="006C1F0D" w:rsidP="00AD5AC5">
            <w:pPr>
              <w:pStyle w:val="Tabletext"/>
            </w:pPr>
            <w:r w:rsidRPr="007677A7">
              <w:t xml:space="preserve">Difficulties remain (but are perhaps inevitable): “Personalised care adjustments or exception reporting should be considered to account for situations where the patient declines, </w:t>
            </w:r>
            <w:r w:rsidRPr="007677A7">
              <w:rPr>
                <w:strike/>
              </w:rPr>
              <w:t xml:space="preserve">does not attend or if </w:t>
            </w:r>
            <w:r w:rsidRPr="007677A7">
              <w:t xml:space="preserve">cervical screening is not appropriate”. This allows GPs to </w:t>
            </w:r>
            <w:r w:rsidRPr="007677A7">
              <w:lastRenderedPageBreak/>
              <w:t xml:space="preserve">remove people from the </w:t>
            </w:r>
            <w:proofErr w:type="gramStart"/>
            <w:r w:rsidRPr="007677A7">
              <w:t>denominator</w:t>
            </w:r>
            <w:proofErr w:type="gramEnd"/>
            <w:r w:rsidRPr="007677A7">
              <w:t xml:space="preserve"> and we have seen this is quite variable. Not sure what might be done about it. Perhaps to define decline and not appropriate more robustly in accompanying documents?</w:t>
            </w:r>
            <w:r>
              <w:t xml:space="preserve"> [strikethrough added by stakeholder]</w:t>
            </w:r>
          </w:p>
        </w:tc>
        <w:tc>
          <w:tcPr>
            <w:tcW w:w="3686" w:type="dxa"/>
          </w:tcPr>
          <w:p w14:paraId="1E39AA1B" w14:textId="77777777" w:rsidR="006C1F0D" w:rsidRDefault="006C1F0D" w:rsidP="00AD5AC5">
            <w:pPr>
              <w:pStyle w:val="Tabletext"/>
            </w:pPr>
            <w:r>
              <w:lastRenderedPageBreak/>
              <w:t>Thank you for your comment.</w:t>
            </w:r>
          </w:p>
          <w:p w14:paraId="68C908D4" w14:textId="4C62EED6" w:rsidR="005F73C2" w:rsidRPr="007677A7" w:rsidRDefault="005F73C2" w:rsidP="00AD5AC5">
            <w:pPr>
              <w:pStyle w:val="Tabletext"/>
            </w:pPr>
            <w:r>
              <w:t xml:space="preserve">The suggested personalised care adjustments align to those used for the existing QOF indicators. QOF guidance contains explanatory notes on their use. </w:t>
            </w:r>
          </w:p>
        </w:tc>
      </w:tr>
      <w:tr w:rsidR="006C1F0D" w14:paraId="36B26744" w14:textId="0364A5A7" w:rsidTr="006C1F0D">
        <w:tc>
          <w:tcPr>
            <w:tcW w:w="4248" w:type="dxa"/>
          </w:tcPr>
          <w:p w14:paraId="39A98079" w14:textId="4AD9BB7B" w:rsidR="006C1F0D" w:rsidRDefault="006C1F0D" w:rsidP="00AD5AC5">
            <w:pPr>
              <w:pStyle w:val="Tabletext"/>
            </w:pPr>
            <w:r w:rsidRPr="007677A7">
              <w:t xml:space="preserve">“Personalised care adjustments or exception reporting should be considered to account for situations where the patient does not attend”. There will be </w:t>
            </w:r>
            <w:proofErr w:type="spellStart"/>
            <w:r w:rsidRPr="007677A7">
              <w:t>self sample</w:t>
            </w:r>
            <w:proofErr w:type="spellEnd"/>
            <w:r w:rsidRPr="007677A7">
              <w:t xml:space="preserve"> offers for people who do not attend. If this indicator is updated annually then </w:t>
            </w:r>
            <w:proofErr w:type="spellStart"/>
            <w:r w:rsidRPr="007677A7">
              <w:t>its</w:t>
            </w:r>
            <w:proofErr w:type="spellEnd"/>
            <w:r w:rsidRPr="007677A7">
              <w:t xml:space="preserve"> OK as it is as the number of people offered will be very small but likely to increase over </w:t>
            </w:r>
            <w:proofErr w:type="gramStart"/>
            <w:r w:rsidRPr="007677A7">
              <w:t>a period of time</w:t>
            </w:r>
            <w:proofErr w:type="gramEnd"/>
            <w:r w:rsidRPr="007677A7">
              <w:t>.</w:t>
            </w:r>
          </w:p>
        </w:tc>
        <w:tc>
          <w:tcPr>
            <w:tcW w:w="3686" w:type="dxa"/>
          </w:tcPr>
          <w:p w14:paraId="4733BC14" w14:textId="4E6C2B39" w:rsidR="006C1F0D" w:rsidRPr="007677A7" w:rsidRDefault="006C1F0D" w:rsidP="00AD5AC5">
            <w:pPr>
              <w:pStyle w:val="Tabletext"/>
            </w:pPr>
            <w:r>
              <w:t>Thank you for your comment.</w:t>
            </w:r>
          </w:p>
        </w:tc>
      </w:tr>
      <w:tr w:rsidR="006C1F0D" w14:paraId="69D72F19" w14:textId="26C31EE3" w:rsidTr="006C1F0D">
        <w:tc>
          <w:tcPr>
            <w:tcW w:w="4248" w:type="dxa"/>
          </w:tcPr>
          <w:p w14:paraId="5F340601" w14:textId="18B66FE7" w:rsidR="006C1F0D" w:rsidRDefault="006C1F0D" w:rsidP="00AD5AC5">
            <w:pPr>
              <w:pStyle w:val="Tabletext"/>
            </w:pPr>
            <w:r w:rsidRPr="00E15FDA">
              <w:t xml:space="preserve">Regarding the new exclusion criteria of ‘patients who are male’: whilst it’s the case that only those registered with the GP as female will automatically be invited for screening, those with a cervix who are registered as male can opt-in to the screening programme. Presumably these people won’t be counted in the indicator, even if they’re being screened? Were they counted previously, and should they be counted? I feel perhaps they should. </w:t>
            </w:r>
          </w:p>
        </w:tc>
        <w:tc>
          <w:tcPr>
            <w:tcW w:w="3686" w:type="dxa"/>
          </w:tcPr>
          <w:p w14:paraId="019FF5D0" w14:textId="77777777" w:rsidR="00A071D9" w:rsidRDefault="006C1F0D" w:rsidP="00AD5AC5">
            <w:pPr>
              <w:pStyle w:val="Tabletext"/>
            </w:pPr>
            <w:r>
              <w:t>Thank you for your comment.</w:t>
            </w:r>
            <w:r w:rsidR="002055BD">
              <w:t xml:space="preserve"> </w:t>
            </w:r>
          </w:p>
          <w:p w14:paraId="2684B937" w14:textId="3EAEBA16" w:rsidR="006C1F0D" w:rsidRPr="00E15FDA" w:rsidRDefault="005F73C2" w:rsidP="00AD5AC5">
            <w:pPr>
              <w:pStyle w:val="Tabletext"/>
            </w:pPr>
            <w:r>
              <w:t>Extraction for the QOF uses sex as the approach to find eligible people. There is currently no recording of trans status and t</w:t>
            </w:r>
            <w:r w:rsidR="002055BD" w:rsidRPr="002055BD">
              <w:t>rans men registered as male at their general practice are not included in the data extraction even if they opt in to the screening.</w:t>
            </w:r>
            <w:r w:rsidR="002055BD">
              <w:t xml:space="preserve"> </w:t>
            </w:r>
          </w:p>
        </w:tc>
      </w:tr>
      <w:tr w:rsidR="006C1F0D" w14:paraId="2FE98520" w14:textId="4CC24926" w:rsidTr="006C1F0D">
        <w:tc>
          <w:tcPr>
            <w:tcW w:w="4248" w:type="dxa"/>
          </w:tcPr>
          <w:p w14:paraId="74FD2E63" w14:textId="37A14A42" w:rsidR="006C1F0D" w:rsidRDefault="006C1F0D" w:rsidP="00AD5AC5">
            <w:pPr>
              <w:pStyle w:val="Tabletext"/>
            </w:pPr>
            <w:r w:rsidRPr="00E15FDA">
              <w:t xml:space="preserve">I note that the new indicator no longer excludes “patients who have not responded to 3 invitations to screening”. I think this is a positive step, and these people should be included. </w:t>
            </w:r>
          </w:p>
        </w:tc>
        <w:tc>
          <w:tcPr>
            <w:tcW w:w="3686" w:type="dxa"/>
          </w:tcPr>
          <w:p w14:paraId="547D0C4C" w14:textId="223DE59A" w:rsidR="006C1F0D" w:rsidRPr="00E15FDA" w:rsidRDefault="006C1F0D" w:rsidP="00AD5AC5">
            <w:pPr>
              <w:pStyle w:val="Tabletext"/>
            </w:pPr>
            <w:r>
              <w:t>Thank you for your comment.</w:t>
            </w:r>
          </w:p>
        </w:tc>
      </w:tr>
      <w:tr w:rsidR="006C1F0D" w14:paraId="26B9338D" w14:textId="5C4DA31D" w:rsidTr="006C1F0D">
        <w:tc>
          <w:tcPr>
            <w:tcW w:w="4248" w:type="dxa"/>
          </w:tcPr>
          <w:p w14:paraId="34832899" w14:textId="265C4F2A" w:rsidR="006C1F0D" w:rsidRDefault="006C1F0D" w:rsidP="00AD5AC5">
            <w:pPr>
              <w:pStyle w:val="Tabletext"/>
            </w:pPr>
            <w:r w:rsidRPr="00E15FDA">
              <w:t xml:space="preserve">I wonder if it’s </w:t>
            </w:r>
            <w:proofErr w:type="gramStart"/>
            <w:r w:rsidRPr="00E15FDA">
              <w:t>really necessary</w:t>
            </w:r>
            <w:proofErr w:type="gramEnd"/>
            <w:r w:rsidRPr="00E15FDA">
              <w:t xml:space="preserve"> to exclude those who are pregnant, now that the screening window has increased? Pregnancy would only delay screening by a year, and with a </w:t>
            </w:r>
            <w:proofErr w:type="gramStart"/>
            <w:r w:rsidRPr="00E15FDA">
              <w:t>5.5 year</w:t>
            </w:r>
            <w:proofErr w:type="gramEnd"/>
            <w:r w:rsidRPr="00E15FDA">
              <w:t xml:space="preserve"> reporting window, the negative impact of counting those who are pregnant is much less. It may be beneficial to include them, as it will highlight those who will be overdue for screening by the time their pregnancy is over. </w:t>
            </w:r>
          </w:p>
        </w:tc>
        <w:tc>
          <w:tcPr>
            <w:tcW w:w="3686" w:type="dxa"/>
          </w:tcPr>
          <w:p w14:paraId="297771C5" w14:textId="58358E7A" w:rsidR="006C1F0D" w:rsidRPr="00E15FDA" w:rsidRDefault="006C1F0D" w:rsidP="00AD5AC5">
            <w:pPr>
              <w:pStyle w:val="Tabletext"/>
            </w:pPr>
            <w:r>
              <w:t>Thank you for your comment.</w:t>
            </w:r>
            <w:r w:rsidR="002055BD">
              <w:t xml:space="preserve"> This issue was discussed by the </w:t>
            </w:r>
            <w:proofErr w:type="gramStart"/>
            <w:r w:rsidR="002055BD">
              <w:t>committee</w:t>
            </w:r>
            <w:proofErr w:type="gramEnd"/>
            <w:r w:rsidR="002055BD">
              <w:t xml:space="preserve"> and they agreed</w:t>
            </w:r>
            <w:r w:rsidR="00F03C3D">
              <w:t xml:space="preserve"> </w:t>
            </w:r>
            <w:r w:rsidR="00F03C3D" w:rsidRPr="00F03C3D">
              <w:t>pregnant people should not be excluded as the widened timeframe</w:t>
            </w:r>
            <w:r w:rsidR="00F03C3D">
              <w:t xml:space="preserve"> of 5 years</w:t>
            </w:r>
            <w:r w:rsidR="00F03C3D" w:rsidRPr="00F03C3D">
              <w:t xml:space="preserve"> means </w:t>
            </w:r>
            <w:r w:rsidR="001E0B77">
              <w:t>there would be sufficient</w:t>
            </w:r>
            <w:r w:rsidR="00F03C3D" w:rsidRPr="00F03C3D">
              <w:t xml:space="preserve"> time to </w:t>
            </w:r>
            <w:r w:rsidR="00F03C3D">
              <w:t>receive a cervical screening test invite</w:t>
            </w:r>
            <w:r w:rsidR="00F03C3D" w:rsidRPr="00F03C3D">
              <w:t>.</w:t>
            </w:r>
          </w:p>
        </w:tc>
      </w:tr>
    </w:tbl>
    <w:p w14:paraId="0C0D1297" w14:textId="13A97570" w:rsidR="00AE4AAF" w:rsidRDefault="00AE4AAF" w:rsidP="007677A7">
      <w:pPr>
        <w:pStyle w:val="ParagraphNumbered"/>
        <w:numPr>
          <w:ilvl w:val="0"/>
          <w:numId w:val="0"/>
        </w:numPr>
      </w:pPr>
    </w:p>
    <w:p w14:paraId="2BCC5690" w14:textId="78E3710B" w:rsidR="006D7210" w:rsidRDefault="006D7210" w:rsidP="006D7210">
      <w:pPr>
        <w:pStyle w:val="ParagraphNumbered"/>
        <w:ind w:left="425" w:hanging="425"/>
      </w:pPr>
      <w:r>
        <w:t xml:space="preserve">Comments from NHS England: </w:t>
      </w:r>
    </w:p>
    <w:tbl>
      <w:tblPr>
        <w:tblStyle w:val="TableGridLight"/>
        <w:tblW w:w="0" w:type="auto"/>
        <w:tblInd w:w="425" w:type="dxa"/>
        <w:tblLook w:val="04A0" w:firstRow="1" w:lastRow="0" w:firstColumn="1" w:lastColumn="0" w:noHBand="0" w:noVBand="1"/>
      </w:tblPr>
      <w:tblGrid>
        <w:gridCol w:w="4264"/>
        <w:gridCol w:w="3613"/>
      </w:tblGrid>
      <w:tr w:rsidR="006D7210" w14:paraId="7D0FE43E" w14:textId="77777777" w:rsidTr="00534A17">
        <w:tc>
          <w:tcPr>
            <w:tcW w:w="4264" w:type="dxa"/>
          </w:tcPr>
          <w:p w14:paraId="5921AAF4" w14:textId="77777777" w:rsidR="006D7210" w:rsidRDefault="006D7210" w:rsidP="00534A17">
            <w:pPr>
              <w:pStyle w:val="Tableheading"/>
            </w:pPr>
            <w:r>
              <w:t xml:space="preserve">Comment </w:t>
            </w:r>
          </w:p>
        </w:tc>
        <w:tc>
          <w:tcPr>
            <w:tcW w:w="3613" w:type="dxa"/>
          </w:tcPr>
          <w:p w14:paraId="7BA827E8" w14:textId="77777777" w:rsidR="006D7210" w:rsidRDefault="006D7210" w:rsidP="00534A17">
            <w:pPr>
              <w:pStyle w:val="Tableheading"/>
            </w:pPr>
            <w:r>
              <w:t>Response</w:t>
            </w:r>
          </w:p>
        </w:tc>
      </w:tr>
      <w:tr w:rsidR="006D7210" w14:paraId="6D5C145E" w14:textId="77777777" w:rsidTr="00534A17">
        <w:tc>
          <w:tcPr>
            <w:tcW w:w="4264" w:type="dxa"/>
          </w:tcPr>
          <w:p w14:paraId="65B40D31" w14:textId="441C0D2B" w:rsidR="006D7210" w:rsidRDefault="006D7210" w:rsidP="00534A17">
            <w:pPr>
              <w:pStyle w:val="Tabletext"/>
            </w:pPr>
            <w:r>
              <w:t>W</w:t>
            </w:r>
            <w:r w:rsidRPr="006D7210">
              <w:t xml:space="preserve">ith regards to your equalities question </w:t>
            </w:r>
            <w:r w:rsidR="00D5021A" w:rsidRPr="006D7210">
              <w:t>- trans</w:t>
            </w:r>
            <w:r w:rsidRPr="006D7210">
              <w:t xml:space="preserve"> men who have changed their NHS number but still have a cervix are at risk of missing out on this screening as they will not be automatically called in. </w:t>
            </w:r>
            <w:r>
              <w:t>T</w:t>
            </w:r>
            <w:r w:rsidRPr="006D7210">
              <w:t>he onus is on them currently to know when to come and be screened.</w:t>
            </w:r>
          </w:p>
        </w:tc>
        <w:tc>
          <w:tcPr>
            <w:tcW w:w="3613" w:type="dxa"/>
          </w:tcPr>
          <w:p w14:paraId="2B8CCFA8" w14:textId="4039D85C" w:rsidR="006D7210" w:rsidRDefault="006D7210" w:rsidP="00534A17">
            <w:pPr>
              <w:pStyle w:val="Tabletext"/>
            </w:pPr>
            <w:r>
              <w:t xml:space="preserve">Thank you for your comment and highlighting this issue. </w:t>
            </w:r>
            <w:r w:rsidR="00D5021A">
              <w:t>We have amended the Equality and Health Inequality Impact Assessment to document this point.</w:t>
            </w:r>
          </w:p>
          <w:p w14:paraId="476AF594" w14:textId="28F4AF72" w:rsidR="00D5021A" w:rsidRPr="00475459" w:rsidRDefault="005F73C2" w:rsidP="006D7210">
            <w:pPr>
              <w:pStyle w:val="Tabletext"/>
            </w:pPr>
            <w:r w:rsidRPr="005F73C2">
              <w:t>Extraction for the QOF uses sex as the approach to find eligible people. There is currently no recording of trans status and trans men registered as male at their general practice are not included in the data extraction even if they opt in to the screening.</w:t>
            </w:r>
          </w:p>
        </w:tc>
      </w:tr>
    </w:tbl>
    <w:p w14:paraId="35C398DE" w14:textId="77777777" w:rsidR="006D7210" w:rsidRDefault="006D7210" w:rsidP="007677A7">
      <w:pPr>
        <w:pStyle w:val="ParagraphNumbered"/>
        <w:numPr>
          <w:ilvl w:val="0"/>
          <w:numId w:val="0"/>
        </w:numPr>
      </w:pPr>
    </w:p>
    <w:sectPr w:rsidR="006D7210" w:rsidSect="00AD5AC5">
      <w:footerReference w:type="default" r:id="rId12"/>
      <w:headerReference w:type="first" r:id="rId13"/>
      <w:footerReference w:type="first" r:id="rId14"/>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89D6" w14:textId="77777777" w:rsidR="0081301A" w:rsidRDefault="0081301A" w:rsidP="00446BEE">
      <w:r>
        <w:separator/>
      </w:r>
    </w:p>
  </w:endnote>
  <w:endnote w:type="continuationSeparator" w:id="0">
    <w:p w14:paraId="2AFE80CD" w14:textId="77777777" w:rsidR="0081301A" w:rsidRDefault="0081301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416E" w14:textId="4C8CAF5E" w:rsidR="00580B21" w:rsidRDefault="00397E03">
    <w:pPr>
      <w:pStyle w:val="Footer"/>
    </w:pPr>
    <w:r>
      <w:t>IND321 consultation report</w:t>
    </w:r>
    <w:r w:rsidR="00C859FF" w:rsidRPr="00C859FF">
      <w:t xml:space="preserve"> </w:t>
    </w:r>
    <w:r w:rsidR="00C859FF">
      <w:tab/>
    </w:r>
    <w:r w:rsidR="00C859FF">
      <w:tab/>
    </w:r>
    <w:r w:rsidR="00C859FF" w:rsidRPr="008E7826">
      <w:t xml:space="preserve">Page </w:t>
    </w:r>
    <w:r w:rsidR="00C859FF" w:rsidRPr="008E7826">
      <w:rPr>
        <w:sz w:val="24"/>
      </w:rPr>
      <w:fldChar w:fldCharType="begin"/>
    </w:r>
    <w:r w:rsidR="00C859FF" w:rsidRPr="008E7826">
      <w:instrText xml:space="preserve"> PAGE </w:instrText>
    </w:r>
    <w:r w:rsidR="00C859FF" w:rsidRPr="008E7826">
      <w:rPr>
        <w:sz w:val="24"/>
      </w:rPr>
      <w:fldChar w:fldCharType="separate"/>
    </w:r>
    <w:r w:rsidR="00C859FF">
      <w:t>1</w:t>
    </w:r>
    <w:r w:rsidR="00C859FF" w:rsidRPr="008E7826">
      <w:rPr>
        <w:sz w:val="24"/>
      </w:rPr>
      <w:fldChar w:fldCharType="end"/>
    </w:r>
    <w:r w:rsidR="00C859FF" w:rsidRPr="008E7826">
      <w:t xml:space="preserve"> of </w:t>
    </w:r>
    <w:r w:rsidR="00C859FF">
      <w:fldChar w:fldCharType="begin"/>
    </w:r>
    <w:r w:rsidR="00C859FF">
      <w:instrText xml:space="preserve"> NUMPAGES  </w:instrText>
    </w:r>
    <w:r w:rsidR="00C859FF">
      <w:fldChar w:fldCharType="separate"/>
    </w:r>
    <w:r w:rsidR="00C859FF">
      <w:t>3</w:t>
    </w:r>
    <w:r w:rsidR="00C859F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D49C" w14:textId="00466913" w:rsidR="00580B21" w:rsidRDefault="00397E03">
    <w:pPr>
      <w:pStyle w:val="Footer"/>
    </w:pPr>
    <w:r>
      <w:t>IND321 consultation report</w:t>
    </w:r>
    <w:r w:rsidR="00580B21">
      <w:t xml:space="preserve"> </w:t>
    </w:r>
    <w:r w:rsidR="00C859FF">
      <w:tab/>
    </w:r>
    <w:r w:rsidR="00C859FF">
      <w:tab/>
    </w:r>
    <w:r w:rsidR="00C859FF" w:rsidRPr="008E7826">
      <w:t xml:space="preserve">Page </w:t>
    </w:r>
    <w:r w:rsidR="00C859FF" w:rsidRPr="008E7826">
      <w:rPr>
        <w:sz w:val="24"/>
      </w:rPr>
      <w:fldChar w:fldCharType="begin"/>
    </w:r>
    <w:r w:rsidR="00C859FF" w:rsidRPr="008E7826">
      <w:instrText xml:space="preserve"> PAGE </w:instrText>
    </w:r>
    <w:r w:rsidR="00C859FF" w:rsidRPr="008E7826">
      <w:rPr>
        <w:sz w:val="24"/>
      </w:rPr>
      <w:fldChar w:fldCharType="separate"/>
    </w:r>
    <w:r w:rsidR="00C859FF">
      <w:t>1</w:t>
    </w:r>
    <w:r w:rsidR="00C859FF" w:rsidRPr="008E7826">
      <w:rPr>
        <w:sz w:val="24"/>
      </w:rPr>
      <w:fldChar w:fldCharType="end"/>
    </w:r>
    <w:r w:rsidR="00C859FF" w:rsidRPr="008E7826">
      <w:t xml:space="preserve"> of </w:t>
    </w:r>
    <w:r w:rsidR="00C859FF">
      <w:fldChar w:fldCharType="begin"/>
    </w:r>
    <w:r w:rsidR="00C859FF">
      <w:instrText xml:space="preserve"> NUMPAGES  </w:instrText>
    </w:r>
    <w:r w:rsidR="00C859FF">
      <w:fldChar w:fldCharType="separate"/>
    </w:r>
    <w:r w:rsidR="00C859FF">
      <w:t>3</w:t>
    </w:r>
    <w:r w:rsidR="00C859F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4137" w14:textId="77777777" w:rsidR="0081301A" w:rsidRDefault="0081301A" w:rsidP="00446BEE">
      <w:r>
        <w:separator/>
      </w:r>
    </w:p>
  </w:footnote>
  <w:footnote w:type="continuationSeparator" w:id="0">
    <w:p w14:paraId="286E1BB0" w14:textId="77777777" w:rsidR="0081301A" w:rsidRDefault="0081301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0D42" w14:textId="53114259" w:rsidR="006F70C2" w:rsidRDefault="00C530E0">
    <w:pPr>
      <w:pStyle w:val="Header"/>
    </w:pPr>
    <w:r>
      <w:rPr>
        <w:noProof/>
      </w:rPr>
      <w:drawing>
        <wp:inline distT="0" distB="0" distL="0" distR="0" wp14:anchorId="751EFB29" wp14:editId="4A4DF8B3">
          <wp:extent cx="2438400" cy="255905"/>
          <wp:effectExtent l="0" t="0" r="0" b="0"/>
          <wp:docPr id="1254510026" name="Picture 2" descr="Logo: National Institute for Health and Care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10026" name="Picture 2" descr="Logo: National Institute for Health and Care Excell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2559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C40C75B2"/>
    <w:lvl w:ilvl="0" w:tplc="A85A06A8">
      <w:start w:val="1"/>
      <w:numFmt w:val="decimal"/>
      <w:pStyle w:val="ParagraphNumbered"/>
      <w:lvlText w:val="%1."/>
      <w:lvlJc w:val="left"/>
      <w:pPr>
        <w:ind w:left="851" w:hanging="851"/>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1"/>
  </w:num>
  <w:num w:numId="2" w16cid:durableId="1271931310">
    <w:abstractNumId w:val="13"/>
  </w:num>
  <w:num w:numId="3" w16cid:durableId="987441700">
    <w:abstractNumId w:val="13"/>
    <w:lvlOverride w:ilvl="0">
      <w:startOverride w:val="1"/>
    </w:lvlOverride>
  </w:num>
  <w:num w:numId="4" w16cid:durableId="1499422565">
    <w:abstractNumId w:val="13"/>
    <w:lvlOverride w:ilvl="0">
      <w:startOverride w:val="1"/>
    </w:lvlOverride>
  </w:num>
  <w:num w:numId="5" w16cid:durableId="2069916214">
    <w:abstractNumId w:val="13"/>
    <w:lvlOverride w:ilvl="0">
      <w:startOverride w:val="1"/>
    </w:lvlOverride>
  </w:num>
  <w:num w:numId="6" w16cid:durableId="1714303981">
    <w:abstractNumId w:val="13"/>
    <w:lvlOverride w:ilvl="0">
      <w:startOverride w:val="1"/>
    </w:lvlOverride>
  </w:num>
  <w:num w:numId="7" w16cid:durableId="1383334273">
    <w:abstractNumId w:val="1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1"/>
  </w:num>
  <w:num w:numId="21" w16cid:durableId="1595244151">
    <w:abstractNumId w:val="13"/>
  </w:num>
  <w:num w:numId="22" w16cid:durableId="368646558">
    <w:abstractNumId w:val="10"/>
  </w:num>
  <w:num w:numId="23" w16cid:durableId="534393170">
    <w:abstractNumId w:val="12"/>
  </w:num>
  <w:num w:numId="24" w16cid:durableId="609512517">
    <w:abstractNumId w:val="14"/>
  </w:num>
  <w:num w:numId="25" w16cid:durableId="223878619">
    <w:abstractNumId w:val="13"/>
  </w:num>
  <w:num w:numId="26" w16cid:durableId="401686664">
    <w:abstractNumId w:val="11"/>
  </w:num>
  <w:num w:numId="27" w16cid:durableId="1826042598">
    <w:abstractNumId w:val="13"/>
  </w:num>
  <w:num w:numId="28" w16cid:durableId="1381437229">
    <w:abstractNumId w:val="13"/>
  </w:num>
  <w:num w:numId="29" w16cid:durableId="1397775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46"/>
    <w:rsid w:val="000053F8"/>
    <w:rsid w:val="000171F3"/>
    <w:rsid w:val="00017B58"/>
    <w:rsid w:val="00021083"/>
    <w:rsid w:val="0002196E"/>
    <w:rsid w:val="00024D0A"/>
    <w:rsid w:val="00027748"/>
    <w:rsid w:val="00070065"/>
    <w:rsid w:val="00070153"/>
    <w:rsid w:val="000A4FEE"/>
    <w:rsid w:val="000B5939"/>
    <w:rsid w:val="000C033F"/>
    <w:rsid w:val="000D091A"/>
    <w:rsid w:val="000F0198"/>
    <w:rsid w:val="001134E7"/>
    <w:rsid w:val="00124797"/>
    <w:rsid w:val="001336FF"/>
    <w:rsid w:val="0013438C"/>
    <w:rsid w:val="00136206"/>
    <w:rsid w:val="00140C34"/>
    <w:rsid w:val="00157BBE"/>
    <w:rsid w:val="0017169E"/>
    <w:rsid w:val="001A0579"/>
    <w:rsid w:val="001A5873"/>
    <w:rsid w:val="001A6635"/>
    <w:rsid w:val="001B0EE9"/>
    <w:rsid w:val="001B65B3"/>
    <w:rsid w:val="001D4AC3"/>
    <w:rsid w:val="001E0B77"/>
    <w:rsid w:val="001E60D6"/>
    <w:rsid w:val="001F4355"/>
    <w:rsid w:val="002055BD"/>
    <w:rsid w:val="002070A7"/>
    <w:rsid w:val="0021082C"/>
    <w:rsid w:val="002124D5"/>
    <w:rsid w:val="002330CF"/>
    <w:rsid w:val="00235B78"/>
    <w:rsid w:val="00240023"/>
    <w:rsid w:val="002408EA"/>
    <w:rsid w:val="00252BC3"/>
    <w:rsid w:val="0025603E"/>
    <w:rsid w:val="00256534"/>
    <w:rsid w:val="00256FF5"/>
    <w:rsid w:val="00272165"/>
    <w:rsid w:val="002819D7"/>
    <w:rsid w:val="002A43B0"/>
    <w:rsid w:val="002C1A7E"/>
    <w:rsid w:val="002D3376"/>
    <w:rsid w:val="002E01B2"/>
    <w:rsid w:val="002E482A"/>
    <w:rsid w:val="00311D13"/>
    <w:rsid w:val="00311ED0"/>
    <w:rsid w:val="00315B2A"/>
    <w:rsid w:val="003257F8"/>
    <w:rsid w:val="00327EBF"/>
    <w:rsid w:val="00337163"/>
    <w:rsid w:val="00352706"/>
    <w:rsid w:val="003648C5"/>
    <w:rsid w:val="00367ED5"/>
    <w:rsid w:val="003722FA"/>
    <w:rsid w:val="00390B27"/>
    <w:rsid w:val="00397E03"/>
    <w:rsid w:val="003C0F24"/>
    <w:rsid w:val="003C6617"/>
    <w:rsid w:val="003C7AAF"/>
    <w:rsid w:val="003D2F75"/>
    <w:rsid w:val="003E0A94"/>
    <w:rsid w:val="003F0A04"/>
    <w:rsid w:val="003F1C1C"/>
    <w:rsid w:val="004075B6"/>
    <w:rsid w:val="004169D5"/>
    <w:rsid w:val="0041785F"/>
    <w:rsid w:val="00420952"/>
    <w:rsid w:val="00446BEE"/>
    <w:rsid w:val="004735B1"/>
    <w:rsid w:val="00475459"/>
    <w:rsid w:val="004C3087"/>
    <w:rsid w:val="004C68C9"/>
    <w:rsid w:val="00500A43"/>
    <w:rsid w:val="005025A1"/>
    <w:rsid w:val="00523AF9"/>
    <w:rsid w:val="005305B6"/>
    <w:rsid w:val="00536AAD"/>
    <w:rsid w:val="00544322"/>
    <w:rsid w:val="00553441"/>
    <w:rsid w:val="005679BD"/>
    <w:rsid w:val="00573245"/>
    <w:rsid w:val="00580B21"/>
    <w:rsid w:val="00581A2A"/>
    <w:rsid w:val="0058606A"/>
    <w:rsid w:val="00594C3A"/>
    <w:rsid w:val="005A02D5"/>
    <w:rsid w:val="005A0680"/>
    <w:rsid w:val="005A6FB2"/>
    <w:rsid w:val="005D1822"/>
    <w:rsid w:val="005D52D0"/>
    <w:rsid w:val="005E0708"/>
    <w:rsid w:val="005F73C2"/>
    <w:rsid w:val="00624140"/>
    <w:rsid w:val="006709A9"/>
    <w:rsid w:val="006802A7"/>
    <w:rsid w:val="00684A2E"/>
    <w:rsid w:val="006921E1"/>
    <w:rsid w:val="00696C0A"/>
    <w:rsid w:val="006A28FB"/>
    <w:rsid w:val="006B1302"/>
    <w:rsid w:val="006C1F0D"/>
    <w:rsid w:val="006D7210"/>
    <w:rsid w:val="006F0BD6"/>
    <w:rsid w:val="006F70C2"/>
    <w:rsid w:val="00706246"/>
    <w:rsid w:val="00736348"/>
    <w:rsid w:val="00747AA2"/>
    <w:rsid w:val="00752348"/>
    <w:rsid w:val="00760808"/>
    <w:rsid w:val="007677A7"/>
    <w:rsid w:val="0077376B"/>
    <w:rsid w:val="00781C41"/>
    <w:rsid w:val="007864A3"/>
    <w:rsid w:val="007949D1"/>
    <w:rsid w:val="00797E3D"/>
    <w:rsid w:val="007B426F"/>
    <w:rsid w:val="007B7534"/>
    <w:rsid w:val="007C6E4A"/>
    <w:rsid w:val="007E45FC"/>
    <w:rsid w:val="007F2153"/>
    <w:rsid w:val="00811ABD"/>
    <w:rsid w:val="0081301A"/>
    <w:rsid w:val="00831C13"/>
    <w:rsid w:val="00833D8A"/>
    <w:rsid w:val="00861B92"/>
    <w:rsid w:val="008814FB"/>
    <w:rsid w:val="00884C77"/>
    <w:rsid w:val="008A41BF"/>
    <w:rsid w:val="008C168E"/>
    <w:rsid w:val="008C64EF"/>
    <w:rsid w:val="008C774C"/>
    <w:rsid w:val="008E7826"/>
    <w:rsid w:val="008F5E30"/>
    <w:rsid w:val="008F6FB7"/>
    <w:rsid w:val="00914D7F"/>
    <w:rsid w:val="00927421"/>
    <w:rsid w:val="00944E15"/>
    <w:rsid w:val="0097305A"/>
    <w:rsid w:val="00975DA4"/>
    <w:rsid w:val="009B0836"/>
    <w:rsid w:val="009C0DCC"/>
    <w:rsid w:val="009D1FE7"/>
    <w:rsid w:val="009D6663"/>
    <w:rsid w:val="009D6A87"/>
    <w:rsid w:val="009D6CDA"/>
    <w:rsid w:val="009E680B"/>
    <w:rsid w:val="009E7B61"/>
    <w:rsid w:val="00A071D9"/>
    <w:rsid w:val="00A15A1F"/>
    <w:rsid w:val="00A2258D"/>
    <w:rsid w:val="00A3325A"/>
    <w:rsid w:val="00A43013"/>
    <w:rsid w:val="00A56366"/>
    <w:rsid w:val="00A90CD8"/>
    <w:rsid w:val="00AA4E45"/>
    <w:rsid w:val="00AB2DB9"/>
    <w:rsid w:val="00AB497D"/>
    <w:rsid w:val="00AC14AB"/>
    <w:rsid w:val="00AC543A"/>
    <w:rsid w:val="00AC7018"/>
    <w:rsid w:val="00AD02E8"/>
    <w:rsid w:val="00AD260E"/>
    <w:rsid w:val="00AD5AC5"/>
    <w:rsid w:val="00AD6130"/>
    <w:rsid w:val="00AE4AAF"/>
    <w:rsid w:val="00AF108A"/>
    <w:rsid w:val="00B02E55"/>
    <w:rsid w:val="00B036C1"/>
    <w:rsid w:val="00B10890"/>
    <w:rsid w:val="00B5431F"/>
    <w:rsid w:val="00B6440A"/>
    <w:rsid w:val="00B65A11"/>
    <w:rsid w:val="00B772F2"/>
    <w:rsid w:val="00B777D5"/>
    <w:rsid w:val="00B878E5"/>
    <w:rsid w:val="00BA7162"/>
    <w:rsid w:val="00BC184B"/>
    <w:rsid w:val="00BF7FE0"/>
    <w:rsid w:val="00C12BA1"/>
    <w:rsid w:val="00C16FA2"/>
    <w:rsid w:val="00C36044"/>
    <w:rsid w:val="00C530E0"/>
    <w:rsid w:val="00C6085F"/>
    <w:rsid w:val="00C77C66"/>
    <w:rsid w:val="00C85682"/>
    <w:rsid w:val="00C859FF"/>
    <w:rsid w:val="00C96411"/>
    <w:rsid w:val="00CA4A9D"/>
    <w:rsid w:val="00CB2369"/>
    <w:rsid w:val="00CD3A9F"/>
    <w:rsid w:val="00CF2E5C"/>
    <w:rsid w:val="00CF58B7"/>
    <w:rsid w:val="00D02A8F"/>
    <w:rsid w:val="00D0370F"/>
    <w:rsid w:val="00D1699D"/>
    <w:rsid w:val="00D31349"/>
    <w:rsid w:val="00D351C1"/>
    <w:rsid w:val="00D35EFB"/>
    <w:rsid w:val="00D442E1"/>
    <w:rsid w:val="00D4694D"/>
    <w:rsid w:val="00D47D55"/>
    <w:rsid w:val="00D5021A"/>
    <w:rsid w:val="00D504B3"/>
    <w:rsid w:val="00D52E6F"/>
    <w:rsid w:val="00D55FFD"/>
    <w:rsid w:val="00D712FC"/>
    <w:rsid w:val="00D86BF0"/>
    <w:rsid w:val="00DC65FD"/>
    <w:rsid w:val="00DE4BAF"/>
    <w:rsid w:val="00DF396E"/>
    <w:rsid w:val="00E27C94"/>
    <w:rsid w:val="00E33DFC"/>
    <w:rsid w:val="00E41BD4"/>
    <w:rsid w:val="00E4541A"/>
    <w:rsid w:val="00E51079"/>
    <w:rsid w:val="00E51920"/>
    <w:rsid w:val="00E5473A"/>
    <w:rsid w:val="00E64120"/>
    <w:rsid w:val="00E660A1"/>
    <w:rsid w:val="00E72AE9"/>
    <w:rsid w:val="00E851C4"/>
    <w:rsid w:val="00E85453"/>
    <w:rsid w:val="00EB096F"/>
    <w:rsid w:val="00EF3B1C"/>
    <w:rsid w:val="00F03C3D"/>
    <w:rsid w:val="00F055F1"/>
    <w:rsid w:val="00F06A45"/>
    <w:rsid w:val="00F610AF"/>
    <w:rsid w:val="00F632E6"/>
    <w:rsid w:val="00F828C6"/>
    <w:rsid w:val="00F91E4D"/>
    <w:rsid w:val="00F95FE0"/>
    <w:rsid w:val="00FA2C5A"/>
    <w:rsid w:val="00FA791D"/>
    <w:rsid w:val="00FC2D11"/>
    <w:rsid w:val="00FC3C6C"/>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F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uiPriority w:val="2"/>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uiPriority w:val="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2E482A"/>
    <w:pPr>
      <w:spacing w:before="240" w:after="240" w:line="276" w:lineRule="auto"/>
    </w:pPr>
    <w:rPr>
      <w:rFonts w:ascii="Arial" w:hAnsi="Arial"/>
      <w:lang w:eastAsia="en-US"/>
    </w:rPr>
  </w:style>
  <w:style w:type="paragraph" w:customStyle="1" w:styleId="tabletext0">
    <w:name w:val="table text"/>
    <w:basedOn w:val="Paragraphnonumbers"/>
    <w:link w:val="tabletextChar"/>
    <w:qFormat/>
    <w:rsid w:val="002E482A"/>
    <w:pPr>
      <w:spacing w:before="60" w:after="60" w:line="240" w:lineRule="auto"/>
    </w:pPr>
    <w:rPr>
      <w:lang w:eastAsia="en-GB"/>
    </w:rPr>
  </w:style>
  <w:style w:type="character" w:customStyle="1" w:styleId="tabletextChar">
    <w:name w:val="table text Char"/>
    <w:basedOn w:val="DefaultParagraphFont"/>
    <w:link w:val="tabletext0"/>
    <w:rsid w:val="002E482A"/>
    <w:rPr>
      <w:rFonts w:ascii="Arial" w:hAnsi="Arial"/>
      <w:sz w:val="24"/>
      <w:szCs w:val="24"/>
    </w:rPr>
  </w:style>
  <w:style w:type="character" w:styleId="UnresolvedMention">
    <w:name w:val="Unresolved Mention"/>
    <w:basedOn w:val="DefaultParagraphFont"/>
    <w:uiPriority w:val="99"/>
    <w:semiHidden/>
    <w:unhideWhenUsed/>
    <w:rsid w:val="002E482A"/>
    <w:rPr>
      <w:color w:val="605E5C"/>
      <w:shd w:val="clear" w:color="auto" w:fill="E1DFDD"/>
    </w:rPr>
  </w:style>
  <w:style w:type="paragraph" w:customStyle="1" w:styleId="NICEnormal">
    <w:name w:val="NICE normal"/>
    <w:link w:val="NICEnormalChar"/>
    <w:rsid w:val="00D712FC"/>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D712FC"/>
    <w:rPr>
      <w:rFonts w:ascii="Arial" w:hAnsi="Arial"/>
      <w:sz w:val="24"/>
      <w:szCs w:val="24"/>
      <w:lang w:val="en-US" w:eastAsia="en-US"/>
    </w:rPr>
  </w:style>
  <w:style w:type="paragraph" w:customStyle="1" w:styleId="TableText1">
    <w:name w:val="Table Text 1"/>
    <w:basedOn w:val="Normal"/>
    <w:qFormat/>
    <w:rsid w:val="00D712FC"/>
    <w:rPr>
      <w:rFonts w:ascii="Arial" w:hAnsi="Arial"/>
      <w:sz w:val="22"/>
    </w:rPr>
  </w:style>
  <w:style w:type="character" w:styleId="FollowedHyperlink">
    <w:name w:val="FollowedHyperlink"/>
    <w:basedOn w:val="DefaultParagraphFont"/>
    <w:semiHidden/>
    <w:rsid w:val="00AA4E45"/>
    <w:rPr>
      <w:color w:val="00436C" w:themeColor="followedHyperlink"/>
      <w:u w:val="single"/>
    </w:rPr>
  </w:style>
  <w:style w:type="paragraph" w:styleId="Revision">
    <w:name w:val="Revision"/>
    <w:hidden/>
    <w:uiPriority w:val="99"/>
    <w:semiHidden/>
    <w:rsid w:val="006F70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08755">
      <w:bodyDiv w:val="1"/>
      <w:marLeft w:val="0"/>
      <w:marRight w:val="0"/>
      <w:marTop w:val="0"/>
      <w:marBottom w:val="0"/>
      <w:divBdr>
        <w:top w:val="none" w:sz="0" w:space="0" w:color="auto"/>
        <w:left w:val="none" w:sz="0" w:space="0" w:color="auto"/>
        <w:bottom w:val="none" w:sz="0" w:space="0" w:color="auto"/>
        <w:right w:val="none" w:sz="0" w:space="0" w:color="auto"/>
      </w:divBdr>
    </w:div>
    <w:div w:id="1289818951">
      <w:bodyDiv w:val="1"/>
      <w:marLeft w:val="0"/>
      <w:marRight w:val="0"/>
      <w:marTop w:val="0"/>
      <w:marBottom w:val="0"/>
      <w:divBdr>
        <w:top w:val="none" w:sz="0" w:space="0" w:color="auto"/>
        <w:left w:val="none" w:sz="0" w:space="0" w:color="auto"/>
        <w:bottom w:val="none" w:sz="0" w:space="0" w:color="auto"/>
        <w:right w:val="none" w:sz="0" w:space="0" w:color="auto"/>
      </w:divBdr>
    </w:div>
    <w:div w:id="151676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indicators/ind176-screening-cervical-screening-25-to-49-yea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corporate/ecd1/chapter/talking-about-peop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gland.nhs.uk/2025/06/nhs-rolls-out-more-personalised-cervical-screening-for-millions/" TargetMode="External"/><Relationship Id="rId4" Type="http://schemas.openxmlformats.org/officeDocument/2006/relationships/settings" Target="settings.xml"/><Relationship Id="rId9" Type="http://schemas.openxmlformats.org/officeDocument/2006/relationships/hyperlink" Target="https://www.nice.org.uk/indicators/ind177-screening-cervical-screening-50-to-64-year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6553</Characters>
  <Application>Microsoft Office Word</Application>
  <DocSecurity>0</DocSecurity>
  <Lines>218</Lines>
  <Paragraphs>70</Paragraphs>
  <ScaleCrop>false</ScaleCrop>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2025-10-29T13:16:00Z</dcterms:created>
  <dcterms:modified xsi:type="dcterms:W3CDTF">2025-10-29T13:16:00Z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2025-10-29T13:16:29Z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66e7fcb7-d402-499a-9b52-67d8311247cf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