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348AF" w14:textId="77777777" w:rsidR="003B0466" w:rsidRDefault="003B0466" w:rsidP="00363276">
      <w:pPr>
        <w:pStyle w:val="Title"/>
        <w:rPr>
          <w:sz w:val="40"/>
          <w:szCs w:val="40"/>
        </w:rPr>
      </w:pPr>
      <w:r>
        <w:rPr>
          <w:sz w:val="40"/>
          <w:szCs w:val="40"/>
        </w:rPr>
        <w:t xml:space="preserve">Indicator development programme </w:t>
      </w:r>
    </w:p>
    <w:p w14:paraId="31A83139" w14:textId="77777777"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1C7534C5" w14:textId="61A5F51D" w:rsidR="009B0E59" w:rsidRPr="009B0E59" w:rsidRDefault="009B0E59" w:rsidP="00192685">
      <w:pPr>
        <w:pStyle w:val="Heading1"/>
        <w:rPr>
          <w:lang w:eastAsia="en-GB"/>
        </w:rPr>
      </w:pPr>
      <w:r w:rsidRPr="009B0E59">
        <w:rPr>
          <w:lang w:eastAsia="en-GB"/>
        </w:rPr>
        <w:t xml:space="preserve">Indicator </w:t>
      </w:r>
      <w:r w:rsidR="007D67B7">
        <w:rPr>
          <w:lang w:eastAsia="en-GB"/>
        </w:rPr>
        <w:t>IND322</w:t>
      </w:r>
    </w:p>
    <w:p w14:paraId="09B284DD" w14:textId="1330AA84" w:rsidR="007D67B7" w:rsidRDefault="007D67B7" w:rsidP="007D67B7">
      <w:pPr>
        <w:pStyle w:val="Paragraph"/>
      </w:pPr>
      <w:r>
        <w:t xml:space="preserve">The percentage of patients on the CKD register and currently treated with an </w:t>
      </w:r>
      <w:r w:rsidR="00BA00D7">
        <w:t xml:space="preserve">angiotensin receptor blocker (ARB) or an </w:t>
      </w:r>
      <w:r>
        <w:t>ACE inhibitor (unless these are contraindicated) who are also treated with an SGLT-2 inhibitor if they have:</w:t>
      </w:r>
    </w:p>
    <w:p w14:paraId="209FB6ED" w14:textId="77777777" w:rsidR="007D67B7" w:rsidRDefault="007D67B7" w:rsidP="007D67B7">
      <w:pPr>
        <w:pStyle w:val="Bulletleft1"/>
      </w:pPr>
      <w:r>
        <w:t>no type 2 diabetes and an eGFR 20 ml/min/1.73 m</w:t>
      </w:r>
      <w:r w:rsidRPr="00422853">
        <w:rPr>
          <w:vertAlign w:val="superscript"/>
        </w:rPr>
        <w:t>2</w:t>
      </w:r>
      <w:r>
        <w:t xml:space="preserve"> to 44 ml/min/1.73 m</w:t>
      </w:r>
      <w:r w:rsidRPr="00422853">
        <w:rPr>
          <w:vertAlign w:val="superscript"/>
        </w:rPr>
        <w:t>2</w:t>
      </w:r>
      <w:r>
        <w:t xml:space="preserve">, or </w:t>
      </w:r>
    </w:p>
    <w:p w14:paraId="2A39751F" w14:textId="438BDF95" w:rsidR="007D67B7" w:rsidRDefault="007D67B7" w:rsidP="007D67B7">
      <w:pPr>
        <w:pStyle w:val="Bulletleft1"/>
      </w:pPr>
      <w:r>
        <w:t>no type 2 diabetes and an eGFR 45 ml/min/1.73 m</w:t>
      </w:r>
      <w:r w:rsidRPr="00422853">
        <w:rPr>
          <w:vertAlign w:val="superscript"/>
        </w:rPr>
        <w:t>2</w:t>
      </w:r>
      <w:r>
        <w:t xml:space="preserve"> to 59 ml/min/1.73 m</w:t>
      </w:r>
      <w:r w:rsidRPr="00422853">
        <w:rPr>
          <w:vertAlign w:val="superscript"/>
        </w:rPr>
        <w:t>2</w:t>
      </w:r>
      <w:r>
        <w:t xml:space="preserve"> and a urine </w:t>
      </w:r>
      <w:r w:rsidR="0043425A">
        <w:t>albumin-to-creatinine ratio (</w:t>
      </w:r>
      <w:r>
        <w:t>ACR</w:t>
      </w:r>
      <w:r w:rsidR="0043425A">
        <w:t>)</w:t>
      </w:r>
      <w:r>
        <w:t xml:space="preserve"> of 22.6 mg/mmol or more, or</w:t>
      </w:r>
    </w:p>
    <w:p w14:paraId="794EE3A0" w14:textId="77777777" w:rsidR="007D67B7" w:rsidRDefault="007D67B7" w:rsidP="007D67B7">
      <w:pPr>
        <w:pStyle w:val="Bulletleft1"/>
      </w:pPr>
      <w:r>
        <w:t>type 2 diabetes and a urine ACR 3 mg/mmol or more.</w:t>
      </w:r>
    </w:p>
    <w:p w14:paraId="6CB49918" w14:textId="77777777" w:rsidR="00236060" w:rsidRDefault="00236060" w:rsidP="00192685">
      <w:pPr>
        <w:pStyle w:val="Heading1"/>
      </w:pPr>
      <w:r>
        <w:t xml:space="preserve">Indicator type </w:t>
      </w:r>
    </w:p>
    <w:p w14:paraId="67620C0D" w14:textId="77777777" w:rsidR="00236060" w:rsidRDefault="00236060" w:rsidP="00236060">
      <w:pPr>
        <w:pStyle w:val="Paragraph"/>
      </w:pPr>
      <w:r w:rsidRPr="007D67B7">
        <w:t>General practice indicator suitable for use in the Quality and Outcomes Framework.</w:t>
      </w:r>
    </w:p>
    <w:p w14:paraId="14054F74" w14:textId="77777777"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D184162" w14:textId="77777777" w:rsidTr="002338EB">
        <w:tc>
          <w:tcPr>
            <w:tcW w:w="5949" w:type="dxa"/>
          </w:tcPr>
          <w:p w14:paraId="2AC5CDCA" w14:textId="77777777" w:rsidR="002338EB" w:rsidRPr="002338EB" w:rsidRDefault="002338EB" w:rsidP="002338EB">
            <w:pPr>
              <w:pStyle w:val="Paragraph"/>
              <w:spacing w:before="120" w:after="120" w:line="240" w:lineRule="auto"/>
              <w:rPr>
                <w:b/>
                <w:bCs/>
                <w:sz w:val="22"/>
                <w:szCs w:val="22"/>
              </w:rPr>
            </w:pPr>
            <w:bookmarkStart w:id="0" w:name="_Hlk34309601"/>
            <w:r w:rsidRPr="002338EB">
              <w:rPr>
                <w:b/>
                <w:bCs/>
                <w:sz w:val="22"/>
                <w:szCs w:val="22"/>
              </w:rPr>
              <w:t xml:space="preserve">Considerations </w:t>
            </w:r>
          </w:p>
        </w:tc>
        <w:tc>
          <w:tcPr>
            <w:tcW w:w="3118" w:type="dxa"/>
          </w:tcPr>
          <w:p w14:paraId="01747E27" w14:textId="7777777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4B67E301" w14:textId="77777777" w:rsidTr="002338EB">
        <w:tc>
          <w:tcPr>
            <w:tcW w:w="5949" w:type="dxa"/>
          </w:tcPr>
          <w:p w14:paraId="3F666897" w14:textId="5164186C" w:rsidR="007D67B7" w:rsidRPr="007D67B7" w:rsidRDefault="007D67B7" w:rsidP="007D67B7">
            <w:pPr>
              <w:pStyle w:val="Paragraph"/>
              <w:spacing w:before="120" w:after="120" w:line="240" w:lineRule="auto"/>
              <w:rPr>
                <w:sz w:val="22"/>
              </w:rPr>
            </w:pPr>
            <w:r w:rsidRPr="007D67B7">
              <w:rPr>
                <w:sz w:val="22"/>
              </w:rPr>
              <w:t xml:space="preserve">Chronic kidney disease (CKD) is a long-term condition characterised by abnormal function or structure (or both) and is an important public health problem associated with significant morbidity, premature mortality and high health care costs. Management of CKD aims to prevent or delay disease progression and the development of complications. SGLT-2 inhibitors can be used as an add on to standard care with </w:t>
            </w:r>
            <w:r w:rsidR="00D35CD8">
              <w:rPr>
                <w:sz w:val="22"/>
              </w:rPr>
              <w:t>an</w:t>
            </w:r>
            <w:r w:rsidR="00BA00D7">
              <w:rPr>
                <w:sz w:val="22"/>
              </w:rPr>
              <w:t xml:space="preserve"> ARB or an </w:t>
            </w:r>
            <w:r w:rsidRPr="007D67B7">
              <w:rPr>
                <w:sz w:val="22"/>
              </w:rPr>
              <w:t xml:space="preserve">ACE inhibitor for people with CKD as there is evidence for benefits in terms of CKD progression, cardiovascular events and mortality. </w:t>
            </w:r>
          </w:p>
          <w:p w14:paraId="347C4BC7" w14:textId="56C74325" w:rsidR="002338EB" w:rsidRPr="002338EB" w:rsidRDefault="007D67B7" w:rsidP="007D67B7">
            <w:pPr>
              <w:pStyle w:val="Paragraph"/>
              <w:spacing w:before="120" w:after="120" w:line="240" w:lineRule="auto"/>
              <w:rPr>
                <w:highlight w:val="lightGray"/>
              </w:rPr>
            </w:pPr>
            <w:r w:rsidRPr="007D67B7">
              <w:rPr>
                <w:sz w:val="22"/>
              </w:rPr>
              <w:t>NHS England commissioned the Renal Services Transformation programme to span the full range of renal services and provide implementation of recommendations from the Getting it Right First Time review of renal medicine in March 2021.</w:t>
            </w:r>
          </w:p>
        </w:tc>
        <w:tc>
          <w:tcPr>
            <w:tcW w:w="3118" w:type="dxa"/>
          </w:tcPr>
          <w:p w14:paraId="2B0D960A" w14:textId="77777777" w:rsidR="002338EB" w:rsidRPr="007D67B7" w:rsidRDefault="002338EB" w:rsidP="002338EB">
            <w:pPr>
              <w:spacing w:before="120" w:after="120"/>
              <w:rPr>
                <w:rFonts w:ascii="Arial" w:hAnsi="Arial" w:cs="Arial"/>
                <w:color w:val="000000"/>
                <w:kern w:val="24"/>
                <w:sz w:val="22"/>
                <w:szCs w:val="22"/>
                <w:lang w:val="en-US"/>
              </w:rPr>
            </w:pPr>
            <w:r w:rsidRPr="007D67B7">
              <w:rPr>
                <w:rFonts w:ascii="Arial" w:hAnsi="Arial" w:cs="Arial"/>
                <w:color w:val="000000"/>
                <w:kern w:val="24"/>
                <w:sz w:val="22"/>
                <w:szCs w:val="22"/>
                <w:lang w:val="en-US"/>
              </w:rPr>
              <w:t>The indicator reflects a specific priority area identified by NHS England.</w:t>
            </w:r>
          </w:p>
          <w:p w14:paraId="4341B920" w14:textId="77777777" w:rsidR="002338EB" w:rsidRPr="002338EB" w:rsidRDefault="002338EB" w:rsidP="002338EB">
            <w:pPr>
              <w:pStyle w:val="Paragraph"/>
              <w:spacing w:before="120" w:after="120" w:line="240" w:lineRule="auto"/>
              <w:rPr>
                <w:highlight w:val="lightGray"/>
              </w:rPr>
            </w:pPr>
          </w:p>
        </w:tc>
      </w:tr>
      <w:tr w:rsidR="00735337" w14:paraId="10D4EFAE" w14:textId="77777777" w:rsidTr="002338EB">
        <w:tc>
          <w:tcPr>
            <w:tcW w:w="5949" w:type="dxa"/>
          </w:tcPr>
          <w:p w14:paraId="64C29967" w14:textId="304108A4" w:rsidR="007D67B7" w:rsidRPr="007D67B7" w:rsidRDefault="007D67B7" w:rsidP="007D67B7">
            <w:pPr>
              <w:pStyle w:val="Paragraph"/>
              <w:spacing w:before="120" w:after="120" w:line="240" w:lineRule="auto"/>
              <w:rPr>
                <w:sz w:val="22"/>
              </w:rPr>
            </w:pPr>
            <w:r w:rsidRPr="007D67B7">
              <w:rPr>
                <w:sz w:val="22"/>
              </w:rPr>
              <w:t xml:space="preserve">This area is based on committee and stakeholder knowledge and experience. </w:t>
            </w:r>
          </w:p>
          <w:p w14:paraId="1883E6CD" w14:textId="0A759E85" w:rsidR="007D67B7" w:rsidRPr="007D67B7" w:rsidRDefault="007D67B7" w:rsidP="007D67B7">
            <w:pPr>
              <w:pStyle w:val="Paragraph"/>
              <w:spacing w:before="120" w:after="120" w:line="240" w:lineRule="auto"/>
              <w:rPr>
                <w:sz w:val="22"/>
              </w:rPr>
            </w:pPr>
            <w:r w:rsidRPr="007D67B7">
              <w:rPr>
                <w:sz w:val="22"/>
              </w:rPr>
              <w:t xml:space="preserve">Prevalence of CKD stage 3a to 5 is 4.6% according to data from the </w:t>
            </w:r>
            <w:hyperlink r:id="rId7" w:history="1">
              <w:r w:rsidRPr="007D67B7">
                <w:rPr>
                  <w:rStyle w:val="Hyperlink"/>
                  <w:sz w:val="22"/>
                </w:rPr>
                <w:t>Quality and Outcomes Framework</w:t>
              </w:r>
            </w:hyperlink>
            <w:r w:rsidRPr="007D67B7">
              <w:rPr>
                <w:sz w:val="22"/>
              </w:rPr>
              <w:t xml:space="preserve"> (2024 to 2025). </w:t>
            </w:r>
          </w:p>
          <w:p w14:paraId="0DF22F1E" w14:textId="0E787109" w:rsidR="00735337" w:rsidRPr="002338EB" w:rsidRDefault="007D67B7" w:rsidP="007D67B7">
            <w:pPr>
              <w:pStyle w:val="Paragraph"/>
              <w:spacing w:before="120" w:after="120" w:line="240" w:lineRule="auto"/>
              <w:rPr>
                <w:highlight w:val="lightGray"/>
              </w:rPr>
            </w:pPr>
            <w:r w:rsidRPr="007D67B7">
              <w:rPr>
                <w:sz w:val="22"/>
              </w:rPr>
              <w:t xml:space="preserve">Data from </w:t>
            </w:r>
            <w:hyperlink r:id="rId8" w:history="1">
              <w:r w:rsidRPr="007D67B7">
                <w:rPr>
                  <w:rStyle w:val="Hyperlink"/>
                  <w:sz w:val="22"/>
                </w:rPr>
                <w:t>NHS England’s Indicators No Longer In QOF (INLIQ)</w:t>
              </w:r>
            </w:hyperlink>
            <w:r w:rsidRPr="007D67B7">
              <w:rPr>
                <w:sz w:val="22"/>
              </w:rPr>
              <w:t xml:space="preserve"> collection 2022 to 2023 showed 44% achievement </w:t>
            </w:r>
            <w:r w:rsidRPr="007D67B7">
              <w:rPr>
                <w:sz w:val="22"/>
              </w:rPr>
              <w:lastRenderedPageBreak/>
              <w:t>for indicator CKD004 (the percentage of patients on the CKD register whose notes have a record of a urine albumin:creatinine ratio (or protein:creatinine ratio) test in the preceding 12 months).</w:t>
            </w:r>
          </w:p>
        </w:tc>
        <w:tc>
          <w:tcPr>
            <w:tcW w:w="3118" w:type="dxa"/>
          </w:tcPr>
          <w:p w14:paraId="1F0652CA" w14:textId="77777777" w:rsidR="00735337" w:rsidRPr="007D67B7" w:rsidRDefault="00735337" w:rsidP="00735337">
            <w:pPr>
              <w:spacing w:before="120" w:after="120"/>
              <w:rPr>
                <w:rFonts w:ascii="Arial" w:hAnsi="Arial" w:cs="Arial"/>
                <w:color w:val="000000"/>
                <w:kern w:val="24"/>
                <w:sz w:val="22"/>
                <w:szCs w:val="22"/>
                <w:lang w:val="en-US"/>
              </w:rPr>
            </w:pPr>
            <w:r w:rsidRPr="007D67B7">
              <w:rPr>
                <w:rFonts w:ascii="Arial" w:hAnsi="Arial" w:cs="Arial"/>
                <w:color w:val="000000"/>
                <w:kern w:val="24"/>
                <w:sz w:val="22"/>
                <w:szCs w:val="22"/>
                <w:lang w:val="en-US"/>
              </w:rPr>
              <w:lastRenderedPageBreak/>
              <w:t>The indicator relates to an area where there is known variation in practice.</w:t>
            </w:r>
          </w:p>
          <w:p w14:paraId="50A2CE66" w14:textId="77777777" w:rsidR="00735337" w:rsidRPr="007D67B7" w:rsidRDefault="00735337" w:rsidP="00735337">
            <w:pPr>
              <w:pStyle w:val="Paragraph"/>
              <w:spacing w:before="120" w:after="120" w:line="240" w:lineRule="auto"/>
            </w:pPr>
            <w:r w:rsidRPr="007D67B7">
              <w:rPr>
                <w:rFonts w:cs="Arial"/>
                <w:color w:val="000000"/>
                <w:kern w:val="24"/>
                <w:sz w:val="22"/>
                <w:szCs w:val="22"/>
                <w:lang w:val="en-US"/>
              </w:rPr>
              <w:t>The indicator addresses under-treatment.</w:t>
            </w:r>
          </w:p>
        </w:tc>
      </w:tr>
      <w:tr w:rsidR="00735337" w14:paraId="71207D80" w14:textId="77777777" w:rsidTr="002338EB">
        <w:tc>
          <w:tcPr>
            <w:tcW w:w="5949" w:type="dxa"/>
          </w:tcPr>
          <w:p w14:paraId="57DD7722" w14:textId="70939AA7" w:rsidR="00735337" w:rsidRPr="00AB6032" w:rsidRDefault="007D67B7" w:rsidP="00735337">
            <w:pPr>
              <w:spacing w:before="120" w:after="120"/>
              <w:rPr>
                <w:rFonts w:ascii="Arial" w:hAnsi="Arial" w:cs="Arial"/>
                <w:sz w:val="22"/>
                <w:szCs w:val="22"/>
                <w:highlight w:val="cyan"/>
              </w:rPr>
            </w:pPr>
            <w:r w:rsidRPr="007D67B7">
              <w:rPr>
                <w:rFonts w:ascii="Arial" w:hAnsi="Arial" w:cs="Arial"/>
                <w:sz w:val="22"/>
                <w:szCs w:val="22"/>
              </w:rPr>
              <w:t>SGLT-2 inhibitors can be used as an add on to optimised standard care with</w:t>
            </w:r>
            <w:r w:rsidR="00BA00D7">
              <w:rPr>
                <w:rFonts w:ascii="Arial" w:hAnsi="Arial" w:cs="Arial"/>
                <w:sz w:val="22"/>
                <w:szCs w:val="22"/>
              </w:rPr>
              <w:t xml:space="preserve"> an ARB or an</w:t>
            </w:r>
            <w:r w:rsidRPr="007D67B7">
              <w:rPr>
                <w:rFonts w:ascii="Arial" w:hAnsi="Arial" w:cs="Arial"/>
                <w:sz w:val="22"/>
                <w:szCs w:val="22"/>
              </w:rPr>
              <w:t xml:space="preserve"> ACE inhibitor</w:t>
            </w:r>
            <w:r w:rsidR="003B2DCE">
              <w:rPr>
                <w:rFonts w:ascii="Arial" w:hAnsi="Arial" w:cs="Arial"/>
                <w:sz w:val="22"/>
                <w:szCs w:val="22"/>
              </w:rPr>
              <w:t xml:space="preserve"> </w:t>
            </w:r>
            <w:r w:rsidRPr="007D67B7">
              <w:rPr>
                <w:rFonts w:ascii="Arial" w:hAnsi="Arial" w:cs="Arial"/>
                <w:sz w:val="22"/>
                <w:szCs w:val="22"/>
              </w:rPr>
              <w:t>for people with CKD as there is evidence for benefits in terms of CKD progression, cardiovascular events and mortality.</w:t>
            </w:r>
          </w:p>
        </w:tc>
        <w:tc>
          <w:tcPr>
            <w:tcW w:w="3118" w:type="dxa"/>
          </w:tcPr>
          <w:p w14:paraId="66302A57" w14:textId="77777777" w:rsidR="00735337" w:rsidRPr="007D67B7" w:rsidRDefault="00735337" w:rsidP="00735337">
            <w:pPr>
              <w:spacing w:before="120" w:after="120"/>
              <w:rPr>
                <w:rFonts w:ascii="Arial" w:hAnsi="Arial" w:cs="Arial"/>
                <w:color w:val="000000"/>
                <w:kern w:val="24"/>
                <w:sz w:val="22"/>
                <w:szCs w:val="22"/>
                <w:lang w:val="en-US"/>
              </w:rPr>
            </w:pPr>
            <w:r w:rsidRPr="007D67B7">
              <w:rPr>
                <w:rFonts w:ascii="Arial" w:hAnsi="Arial" w:cs="Arial"/>
                <w:color w:val="000000"/>
                <w:kern w:val="24"/>
                <w:sz w:val="22"/>
                <w:szCs w:val="22"/>
                <w:lang w:val="en-US"/>
              </w:rPr>
              <w:t>The indicator will lead to a meaningful improvement in patient outcomes.</w:t>
            </w:r>
          </w:p>
          <w:p w14:paraId="60D54763" w14:textId="77777777" w:rsidR="00735337" w:rsidRPr="002338EB" w:rsidRDefault="00735337" w:rsidP="00735337">
            <w:pPr>
              <w:spacing w:before="120" w:after="120"/>
              <w:rPr>
                <w:rFonts w:ascii="Arial" w:hAnsi="Arial" w:cs="Arial"/>
                <w:color w:val="000000"/>
                <w:kern w:val="24"/>
                <w:sz w:val="22"/>
                <w:szCs w:val="22"/>
                <w:highlight w:val="lightGray"/>
                <w:lang w:val="en-US"/>
              </w:rPr>
            </w:pPr>
          </w:p>
        </w:tc>
      </w:tr>
      <w:bookmarkEnd w:id="0"/>
    </w:tbl>
    <w:p w14:paraId="067B7DDB" w14:textId="77777777" w:rsidR="002338EB" w:rsidRDefault="002338EB" w:rsidP="002338EB">
      <w:pPr>
        <w:pStyle w:val="Heading3"/>
      </w:pPr>
    </w:p>
    <w:p w14:paraId="4A97F2D4" w14:textId="77777777"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6D9AF6C0" w14:textId="77777777" w:rsidTr="001C517D">
        <w:tc>
          <w:tcPr>
            <w:tcW w:w="5949" w:type="dxa"/>
          </w:tcPr>
          <w:p w14:paraId="424B98AA"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692C8FF1"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0F8E1C7E" w14:textId="77777777" w:rsidTr="001C517D">
        <w:tc>
          <w:tcPr>
            <w:tcW w:w="5949" w:type="dxa"/>
          </w:tcPr>
          <w:p w14:paraId="62B7CF5B" w14:textId="32BE22A1" w:rsidR="007D67B7" w:rsidRDefault="007D67B7" w:rsidP="007D67B7">
            <w:pPr>
              <w:spacing w:before="120" w:after="120"/>
              <w:rPr>
                <w:rFonts w:ascii="Arial" w:hAnsi="Arial" w:cs="Arial"/>
                <w:color w:val="000000"/>
                <w:kern w:val="24"/>
                <w:sz w:val="22"/>
                <w:szCs w:val="22"/>
                <w:lang w:eastAsia="en-GB"/>
              </w:rPr>
            </w:pPr>
            <w:hyperlink r:id="rId9" w:history="1">
              <w:r w:rsidRPr="007D67B7">
                <w:rPr>
                  <w:rStyle w:val="Hyperlink"/>
                  <w:rFonts w:ascii="Arial" w:hAnsi="Arial" w:cs="Arial"/>
                  <w:kern w:val="24"/>
                  <w:sz w:val="22"/>
                  <w:szCs w:val="22"/>
                  <w:lang w:eastAsia="en-GB"/>
                </w:rPr>
                <w:t>Dapagliflozin for treating chronic kidney disease. NICE technology appraisal TA1075</w:t>
              </w:r>
            </w:hyperlink>
            <w:r w:rsidRPr="007D67B7">
              <w:rPr>
                <w:rFonts w:ascii="Arial" w:hAnsi="Arial" w:cs="Arial"/>
                <w:color w:val="000000"/>
                <w:kern w:val="24"/>
                <w:sz w:val="22"/>
                <w:szCs w:val="22"/>
                <w:lang w:eastAsia="en-GB"/>
              </w:rPr>
              <w:t xml:space="preserve"> (2025), recommendation 1.1</w:t>
            </w:r>
          </w:p>
          <w:p w14:paraId="35143F7B" w14:textId="7962C7FA" w:rsidR="0043425A" w:rsidRPr="0043425A" w:rsidRDefault="0043425A" w:rsidP="0043425A">
            <w:pPr>
              <w:spacing w:before="120" w:after="120"/>
              <w:rPr>
                <w:rFonts w:ascii="Arial" w:hAnsi="Arial" w:cs="Arial"/>
                <w:color w:val="000000"/>
                <w:kern w:val="24"/>
                <w:sz w:val="22"/>
                <w:szCs w:val="22"/>
              </w:rPr>
            </w:pPr>
            <w:r>
              <w:rPr>
                <w:rFonts w:ascii="Arial" w:hAnsi="Arial" w:cs="Arial"/>
                <w:color w:val="000000"/>
                <w:kern w:val="24"/>
                <w:sz w:val="22"/>
                <w:szCs w:val="22"/>
                <w:lang w:eastAsia="en-GB"/>
              </w:rPr>
              <w:t xml:space="preserve">1.1 </w:t>
            </w:r>
            <w:r w:rsidRPr="0043425A">
              <w:rPr>
                <w:rFonts w:ascii="Arial" w:hAnsi="Arial" w:cs="Arial"/>
                <w:color w:val="000000"/>
                <w:kern w:val="24"/>
                <w:sz w:val="22"/>
                <w:szCs w:val="22"/>
              </w:rPr>
              <w:t>Dapagliflozin can be used as an option to treat chronic kidney disease (CKD) in adults, if:</w:t>
            </w:r>
          </w:p>
          <w:p w14:paraId="64D428AC" w14:textId="77777777" w:rsidR="0043425A" w:rsidRPr="0043425A" w:rsidRDefault="0043425A" w:rsidP="0043425A">
            <w:pPr>
              <w:numPr>
                <w:ilvl w:val="0"/>
                <w:numId w:val="43"/>
              </w:numPr>
              <w:spacing w:before="120" w:after="120"/>
              <w:rPr>
                <w:rFonts w:ascii="Arial" w:hAnsi="Arial" w:cs="Arial"/>
                <w:color w:val="000000"/>
                <w:kern w:val="24"/>
                <w:sz w:val="22"/>
                <w:szCs w:val="22"/>
                <w:lang w:eastAsia="en-GB"/>
              </w:rPr>
            </w:pPr>
            <w:r w:rsidRPr="0043425A">
              <w:rPr>
                <w:rFonts w:ascii="Arial" w:hAnsi="Arial" w:cs="Arial"/>
                <w:color w:val="000000"/>
                <w:kern w:val="24"/>
                <w:sz w:val="22"/>
                <w:szCs w:val="22"/>
                <w:lang w:eastAsia="en-GB"/>
              </w:rPr>
              <w:t>it is an add-on to optimised standard care including the highest tolerated licensed dose of angiotensin-converting enzyme (ACE) inhibitors or angiotensin</w:t>
            </w:r>
            <w:r w:rsidRPr="0043425A">
              <w:rPr>
                <w:rFonts w:ascii="Arial" w:hAnsi="Arial" w:cs="Arial"/>
                <w:color w:val="000000"/>
                <w:kern w:val="24"/>
                <w:sz w:val="22"/>
                <w:szCs w:val="22"/>
                <w:lang w:eastAsia="en-GB"/>
              </w:rPr>
              <w:noBreakHyphen/>
              <w:t>2 receptor antagonists, unless these are contraindicated, and</w:t>
            </w:r>
          </w:p>
          <w:p w14:paraId="3A294A44" w14:textId="77777777" w:rsidR="0043425A" w:rsidRPr="0043425A" w:rsidRDefault="0043425A" w:rsidP="0043425A">
            <w:pPr>
              <w:numPr>
                <w:ilvl w:val="0"/>
                <w:numId w:val="43"/>
              </w:numPr>
              <w:spacing w:before="120" w:after="120"/>
              <w:rPr>
                <w:rFonts w:ascii="Arial" w:hAnsi="Arial" w:cs="Arial"/>
                <w:color w:val="000000"/>
                <w:kern w:val="24"/>
                <w:sz w:val="22"/>
                <w:szCs w:val="22"/>
                <w:lang w:eastAsia="en-GB"/>
              </w:rPr>
            </w:pPr>
            <w:r w:rsidRPr="0043425A">
              <w:rPr>
                <w:rFonts w:ascii="Arial" w:hAnsi="Arial" w:cs="Arial"/>
                <w:color w:val="000000"/>
                <w:kern w:val="24"/>
                <w:sz w:val="22"/>
                <w:szCs w:val="22"/>
                <w:lang w:eastAsia="en-GB"/>
              </w:rPr>
              <w:t>people have an estimated glomerular filtration rate (eGFR) of:</w:t>
            </w:r>
          </w:p>
          <w:p w14:paraId="5D12EF3D" w14:textId="77777777" w:rsidR="0043425A" w:rsidRPr="0043425A" w:rsidRDefault="0043425A" w:rsidP="0043425A">
            <w:pPr>
              <w:numPr>
                <w:ilvl w:val="1"/>
                <w:numId w:val="43"/>
              </w:numPr>
              <w:spacing w:before="120" w:after="120"/>
              <w:rPr>
                <w:rFonts w:ascii="Arial" w:hAnsi="Arial" w:cs="Arial"/>
                <w:color w:val="000000"/>
                <w:kern w:val="24"/>
                <w:sz w:val="22"/>
                <w:szCs w:val="22"/>
                <w:lang w:eastAsia="en-GB"/>
              </w:rPr>
            </w:pPr>
            <w:r w:rsidRPr="0043425A">
              <w:rPr>
                <w:rFonts w:ascii="Arial" w:hAnsi="Arial" w:cs="Arial"/>
                <w:color w:val="000000"/>
                <w:kern w:val="24"/>
                <w:sz w:val="22"/>
                <w:szCs w:val="22"/>
                <w:lang w:eastAsia="en-GB"/>
              </w:rPr>
              <w:t>20 ml/min/1.73 m</w:t>
            </w:r>
            <w:r w:rsidRPr="0043425A">
              <w:rPr>
                <w:rFonts w:ascii="Arial" w:hAnsi="Arial" w:cs="Arial"/>
                <w:color w:val="000000"/>
                <w:kern w:val="24"/>
                <w:sz w:val="22"/>
                <w:szCs w:val="22"/>
                <w:vertAlign w:val="superscript"/>
                <w:lang w:eastAsia="en-GB"/>
              </w:rPr>
              <w:t>2</w:t>
            </w:r>
            <w:r w:rsidRPr="0043425A">
              <w:rPr>
                <w:rFonts w:ascii="Arial" w:hAnsi="Arial" w:cs="Arial"/>
                <w:color w:val="000000"/>
                <w:kern w:val="24"/>
                <w:sz w:val="22"/>
                <w:szCs w:val="22"/>
                <w:lang w:eastAsia="en-GB"/>
              </w:rPr>
              <w:t> to less than 45 ml/min/1.73 m</w:t>
            </w:r>
            <w:r w:rsidRPr="0043425A">
              <w:rPr>
                <w:rFonts w:ascii="Arial" w:hAnsi="Arial" w:cs="Arial"/>
                <w:color w:val="000000"/>
                <w:kern w:val="24"/>
                <w:sz w:val="22"/>
                <w:szCs w:val="22"/>
                <w:vertAlign w:val="superscript"/>
                <w:lang w:eastAsia="en-GB"/>
              </w:rPr>
              <w:t>2</w:t>
            </w:r>
            <w:r w:rsidRPr="0043425A">
              <w:rPr>
                <w:rFonts w:ascii="Arial" w:hAnsi="Arial" w:cs="Arial"/>
                <w:color w:val="000000"/>
                <w:kern w:val="24"/>
                <w:sz w:val="22"/>
                <w:szCs w:val="22"/>
                <w:lang w:eastAsia="en-GB"/>
              </w:rPr>
              <w:t> or</w:t>
            </w:r>
          </w:p>
          <w:p w14:paraId="3A70DD83" w14:textId="77777777" w:rsidR="0043425A" w:rsidRPr="0043425A" w:rsidRDefault="0043425A" w:rsidP="0043425A">
            <w:pPr>
              <w:numPr>
                <w:ilvl w:val="1"/>
                <w:numId w:val="43"/>
              </w:numPr>
              <w:spacing w:before="120" w:after="120"/>
              <w:rPr>
                <w:rFonts w:ascii="Arial" w:hAnsi="Arial" w:cs="Arial"/>
                <w:color w:val="000000"/>
                <w:kern w:val="24"/>
                <w:sz w:val="22"/>
                <w:szCs w:val="22"/>
                <w:lang w:eastAsia="en-GB"/>
              </w:rPr>
            </w:pPr>
            <w:r w:rsidRPr="0043425A">
              <w:rPr>
                <w:rFonts w:ascii="Arial" w:hAnsi="Arial" w:cs="Arial"/>
                <w:color w:val="000000"/>
                <w:kern w:val="24"/>
                <w:sz w:val="22"/>
                <w:szCs w:val="22"/>
                <w:lang w:eastAsia="en-GB"/>
              </w:rPr>
              <w:t>45 ml/min/1.73 m</w:t>
            </w:r>
            <w:r w:rsidRPr="0043425A">
              <w:rPr>
                <w:rFonts w:ascii="Arial" w:hAnsi="Arial" w:cs="Arial"/>
                <w:color w:val="000000"/>
                <w:kern w:val="24"/>
                <w:sz w:val="22"/>
                <w:szCs w:val="22"/>
                <w:vertAlign w:val="superscript"/>
                <w:lang w:eastAsia="en-GB"/>
              </w:rPr>
              <w:t>2</w:t>
            </w:r>
            <w:r w:rsidRPr="0043425A">
              <w:rPr>
                <w:rFonts w:ascii="Arial" w:hAnsi="Arial" w:cs="Arial"/>
                <w:color w:val="000000"/>
                <w:kern w:val="24"/>
                <w:sz w:val="22"/>
                <w:szCs w:val="22"/>
                <w:lang w:eastAsia="en-GB"/>
              </w:rPr>
              <w:t> to 90 ml/min/1.73 m</w:t>
            </w:r>
            <w:r w:rsidRPr="0043425A">
              <w:rPr>
                <w:rFonts w:ascii="Arial" w:hAnsi="Arial" w:cs="Arial"/>
                <w:color w:val="000000"/>
                <w:kern w:val="24"/>
                <w:sz w:val="22"/>
                <w:szCs w:val="22"/>
                <w:vertAlign w:val="superscript"/>
                <w:lang w:eastAsia="en-GB"/>
              </w:rPr>
              <w:t>2</w:t>
            </w:r>
            <w:r w:rsidRPr="0043425A">
              <w:rPr>
                <w:rFonts w:ascii="Arial" w:hAnsi="Arial" w:cs="Arial"/>
                <w:color w:val="000000"/>
                <w:kern w:val="24"/>
                <w:sz w:val="22"/>
                <w:szCs w:val="22"/>
                <w:lang w:eastAsia="en-GB"/>
              </w:rPr>
              <w:t>, and either:</w:t>
            </w:r>
          </w:p>
          <w:p w14:paraId="16EEC914" w14:textId="77777777" w:rsidR="0043425A" w:rsidRPr="0043425A" w:rsidRDefault="0043425A" w:rsidP="0043425A">
            <w:pPr>
              <w:numPr>
                <w:ilvl w:val="2"/>
                <w:numId w:val="43"/>
              </w:numPr>
              <w:spacing w:before="120" w:after="120"/>
              <w:rPr>
                <w:rFonts w:ascii="Arial" w:hAnsi="Arial" w:cs="Arial"/>
                <w:color w:val="000000"/>
                <w:kern w:val="24"/>
                <w:sz w:val="22"/>
                <w:szCs w:val="22"/>
                <w:lang w:eastAsia="en-GB"/>
              </w:rPr>
            </w:pPr>
            <w:r w:rsidRPr="0043425A">
              <w:rPr>
                <w:rFonts w:ascii="Arial" w:hAnsi="Arial" w:cs="Arial"/>
                <w:color w:val="000000"/>
                <w:kern w:val="24"/>
                <w:sz w:val="22"/>
                <w:szCs w:val="22"/>
                <w:lang w:eastAsia="en-GB"/>
              </w:rPr>
              <w:t>a urine albumin-to-creatinine ratio of 22.6 mg/mmol or more, or</w:t>
            </w:r>
          </w:p>
          <w:p w14:paraId="61A4B99D" w14:textId="77777777" w:rsidR="0043425A" w:rsidRPr="0043425A" w:rsidRDefault="0043425A" w:rsidP="0043425A">
            <w:pPr>
              <w:numPr>
                <w:ilvl w:val="2"/>
                <w:numId w:val="43"/>
              </w:numPr>
              <w:spacing w:before="120" w:after="120"/>
              <w:rPr>
                <w:rFonts w:ascii="Arial" w:hAnsi="Arial" w:cs="Arial"/>
                <w:color w:val="000000"/>
                <w:kern w:val="24"/>
                <w:sz w:val="22"/>
                <w:szCs w:val="22"/>
                <w:lang w:eastAsia="en-GB"/>
              </w:rPr>
            </w:pPr>
            <w:r w:rsidRPr="0043425A">
              <w:rPr>
                <w:rFonts w:ascii="Arial" w:hAnsi="Arial" w:cs="Arial"/>
                <w:color w:val="000000"/>
                <w:kern w:val="24"/>
                <w:sz w:val="22"/>
                <w:szCs w:val="22"/>
                <w:lang w:eastAsia="en-GB"/>
              </w:rPr>
              <w:t>type 2 diabetes.</w:t>
            </w:r>
          </w:p>
          <w:p w14:paraId="409ABCEF" w14:textId="4AC8A106" w:rsidR="007D67B7" w:rsidRDefault="007D67B7" w:rsidP="007D67B7">
            <w:pPr>
              <w:spacing w:before="120" w:after="120"/>
              <w:rPr>
                <w:rFonts w:ascii="Arial" w:hAnsi="Arial" w:cs="Arial"/>
                <w:color w:val="000000"/>
                <w:kern w:val="24"/>
                <w:sz w:val="22"/>
                <w:szCs w:val="22"/>
                <w:lang w:eastAsia="en-GB"/>
              </w:rPr>
            </w:pPr>
            <w:hyperlink r:id="rId10" w:history="1">
              <w:r w:rsidRPr="007D67B7">
                <w:rPr>
                  <w:rStyle w:val="Hyperlink"/>
                  <w:rFonts w:ascii="Arial" w:hAnsi="Arial" w:cs="Arial"/>
                  <w:kern w:val="24"/>
                  <w:sz w:val="22"/>
                  <w:szCs w:val="22"/>
                  <w:lang w:eastAsia="en-GB"/>
                </w:rPr>
                <w:t>Empagliflozin for treating chronic kidney disease. NICE technology appraisal TA942</w:t>
              </w:r>
            </w:hyperlink>
            <w:r w:rsidRPr="007D67B7">
              <w:rPr>
                <w:rFonts w:ascii="Arial" w:hAnsi="Arial" w:cs="Arial"/>
                <w:color w:val="000000"/>
                <w:kern w:val="24"/>
                <w:sz w:val="22"/>
                <w:szCs w:val="22"/>
                <w:lang w:eastAsia="en-GB"/>
              </w:rPr>
              <w:t xml:space="preserve"> (2023), recommendation 1.1</w:t>
            </w:r>
          </w:p>
          <w:p w14:paraId="59CDE6E2" w14:textId="77777777" w:rsidR="0043425A" w:rsidRPr="0043425A" w:rsidRDefault="0043425A" w:rsidP="0043425A">
            <w:pPr>
              <w:spacing w:before="120" w:after="120"/>
              <w:rPr>
                <w:rFonts w:ascii="Arial" w:hAnsi="Arial" w:cs="Arial"/>
                <w:color w:val="000000"/>
                <w:kern w:val="24"/>
                <w:sz w:val="22"/>
                <w:szCs w:val="22"/>
              </w:rPr>
            </w:pPr>
            <w:r>
              <w:rPr>
                <w:rFonts w:ascii="Arial" w:hAnsi="Arial" w:cs="Arial"/>
                <w:color w:val="000000"/>
                <w:kern w:val="24"/>
                <w:sz w:val="22"/>
                <w:szCs w:val="22"/>
                <w:lang w:eastAsia="en-GB"/>
              </w:rPr>
              <w:t xml:space="preserve">1.1 </w:t>
            </w:r>
            <w:r w:rsidRPr="0043425A">
              <w:rPr>
                <w:rFonts w:ascii="Arial" w:hAnsi="Arial" w:cs="Arial"/>
                <w:color w:val="000000"/>
                <w:kern w:val="24"/>
                <w:sz w:val="22"/>
                <w:szCs w:val="22"/>
              </w:rPr>
              <w:t>Empagliflozin is recommended as an option for treating chronic kidney disease (CKD) in adults, only if:</w:t>
            </w:r>
          </w:p>
          <w:p w14:paraId="4B1F4A23" w14:textId="77777777" w:rsidR="0043425A" w:rsidRPr="0043425A" w:rsidRDefault="0043425A" w:rsidP="0043425A">
            <w:pPr>
              <w:numPr>
                <w:ilvl w:val="0"/>
                <w:numId w:val="44"/>
              </w:numPr>
              <w:spacing w:before="120" w:after="120"/>
              <w:rPr>
                <w:rFonts w:ascii="Arial" w:hAnsi="Arial" w:cs="Arial"/>
                <w:color w:val="000000"/>
                <w:kern w:val="24"/>
                <w:sz w:val="22"/>
                <w:szCs w:val="22"/>
                <w:lang w:eastAsia="en-GB"/>
              </w:rPr>
            </w:pPr>
            <w:r w:rsidRPr="0043425A">
              <w:rPr>
                <w:rFonts w:ascii="Arial" w:hAnsi="Arial" w:cs="Arial"/>
                <w:color w:val="000000"/>
                <w:kern w:val="24"/>
                <w:sz w:val="22"/>
                <w:szCs w:val="22"/>
                <w:lang w:eastAsia="en-GB"/>
              </w:rPr>
              <w:t>it is an add-on to optimised standard care including the highest tolerated licensed dose of angiotensin-converting enzyme (ACE) inhibitors or angiotensin-receptor blockers (ARBs), unless these are contraindicated, and</w:t>
            </w:r>
          </w:p>
          <w:p w14:paraId="0A6BF8FC" w14:textId="77777777" w:rsidR="0043425A" w:rsidRPr="0043425A" w:rsidRDefault="0043425A" w:rsidP="0043425A">
            <w:pPr>
              <w:numPr>
                <w:ilvl w:val="0"/>
                <w:numId w:val="44"/>
              </w:numPr>
              <w:spacing w:before="120" w:after="120"/>
              <w:rPr>
                <w:rFonts w:ascii="Arial" w:hAnsi="Arial" w:cs="Arial"/>
                <w:color w:val="000000"/>
                <w:kern w:val="24"/>
                <w:sz w:val="22"/>
                <w:szCs w:val="22"/>
                <w:lang w:eastAsia="en-GB"/>
              </w:rPr>
            </w:pPr>
            <w:r w:rsidRPr="0043425A">
              <w:rPr>
                <w:rFonts w:ascii="Arial" w:hAnsi="Arial" w:cs="Arial"/>
                <w:color w:val="000000"/>
                <w:kern w:val="24"/>
                <w:sz w:val="22"/>
                <w:szCs w:val="22"/>
                <w:lang w:eastAsia="en-GB"/>
              </w:rPr>
              <w:t>people have an estimated glomerular filtration rate of:</w:t>
            </w:r>
          </w:p>
          <w:p w14:paraId="6B3B8DF9" w14:textId="77777777" w:rsidR="0043425A" w:rsidRPr="0043425A" w:rsidRDefault="0043425A" w:rsidP="0043425A">
            <w:pPr>
              <w:numPr>
                <w:ilvl w:val="1"/>
                <w:numId w:val="44"/>
              </w:numPr>
              <w:spacing w:before="120" w:after="120"/>
              <w:rPr>
                <w:rFonts w:ascii="Arial" w:hAnsi="Arial" w:cs="Arial"/>
                <w:color w:val="000000"/>
                <w:kern w:val="24"/>
                <w:sz w:val="22"/>
                <w:szCs w:val="22"/>
                <w:lang w:eastAsia="en-GB"/>
              </w:rPr>
            </w:pPr>
            <w:r w:rsidRPr="0043425A">
              <w:rPr>
                <w:rFonts w:ascii="Arial" w:hAnsi="Arial" w:cs="Arial"/>
                <w:color w:val="000000"/>
                <w:kern w:val="24"/>
                <w:sz w:val="22"/>
                <w:szCs w:val="22"/>
                <w:lang w:eastAsia="en-GB"/>
              </w:rPr>
              <w:t>20 ml/min/1.73 m</w:t>
            </w:r>
            <w:r w:rsidRPr="0043425A">
              <w:rPr>
                <w:rFonts w:ascii="Arial" w:hAnsi="Arial" w:cs="Arial"/>
                <w:color w:val="000000"/>
                <w:kern w:val="24"/>
                <w:sz w:val="22"/>
                <w:szCs w:val="22"/>
                <w:vertAlign w:val="superscript"/>
                <w:lang w:eastAsia="en-GB"/>
              </w:rPr>
              <w:t>2</w:t>
            </w:r>
            <w:r w:rsidRPr="0043425A">
              <w:rPr>
                <w:rFonts w:ascii="Arial" w:hAnsi="Arial" w:cs="Arial"/>
                <w:color w:val="000000"/>
                <w:kern w:val="24"/>
                <w:sz w:val="22"/>
                <w:szCs w:val="22"/>
                <w:lang w:eastAsia="en-GB"/>
              </w:rPr>
              <w:t> to less than 45 ml/min/1.73 m</w:t>
            </w:r>
            <w:r w:rsidRPr="0043425A">
              <w:rPr>
                <w:rFonts w:ascii="Arial" w:hAnsi="Arial" w:cs="Arial"/>
                <w:color w:val="000000"/>
                <w:kern w:val="24"/>
                <w:sz w:val="22"/>
                <w:szCs w:val="22"/>
                <w:vertAlign w:val="superscript"/>
                <w:lang w:eastAsia="en-GB"/>
              </w:rPr>
              <w:t>2</w:t>
            </w:r>
            <w:r w:rsidRPr="0043425A">
              <w:rPr>
                <w:rFonts w:ascii="Arial" w:hAnsi="Arial" w:cs="Arial"/>
                <w:color w:val="000000"/>
                <w:kern w:val="24"/>
                <w:sz w:val="22"/>
                <w:szCs w:val="22"/>
                <w:lang w:eastAsia="en-GB"/>
              </w:rPr>
              <w:t> or</w:t>
            </w:r>
          </w:p>
          <w:p w14:paraId="66C26CA9" w14:textId="77777777" w:rsidR="0043425A" w:rsidRPr="0043425A" w:rsidRDefault="0043425A" w:rsidP="0043425A">
            <w:pPr>
              <w:numPr>
                <w:ilvl w:val="1"/>
                <w:numId w:val="44"/>
              </w:numPr>
              <w:spacing w:before="120" w:after="120"/>
              <w:rPr>
                <w:rFonts w:ascii="Arial" w:hAnsi="Arial" w:cs="Arial"/>
                <w:color w:val="000000"/>
                <w:kern w:val="24"/>
                <w:sz w:val="22"/>
                <w:szCs w:val="22"/>
                <w:lang w:eastAsia="en-GB"/>
              </w:rPr>
            </w:pPr>
            <w:r w:rsidRPr="0043425A">
              <w:rPr>
                <w:rFonts w:ascii="Arial" w:hAnsi="Arial" w:cs="Arial"/>
                <w:color w:val="000000"/>
                <w:kern w:val="24"/>
                <w:sz w:val="22"/>
                <w:szCs w:val="22"/>
                <w:lang w:eastAsia="en-GB"/>
              </w:rPr>
              <w:lastRenderedPageBreak/>
              <w:t>45 ml/min/1.73 m</w:t>
            </w:r>
            <w:r w:rsidRPr="0043425A">
              <w:rPr>
                <w:rFonts w:ascii="Arial" w:hAnsi="Arial" w:cs="Arial"/>
                <w:color w:val="000000"/>
                <w:kern w:val="24"/>
                <w:sz w:val="22"/>
                <w:szCs w:val="22"/>
                <w:vertAlign w:val="superscript"/>
                <w:lang w:eastAsia="en-GB"/>
              </w:rPr>
              <w:t>2</w:t>
            </w:r>
            <w:r w:rsidRPr="0043425A">
              <w:rPr>
                <w:rFonts w:ascii="Arial" w:hAnsi="Arial" w:cs="Arial"/>
                <w:color w:val="000000"/>
                <w:kern w:val="24"/>
                <w:sz w:val="22"/>
                <w:szCs w:val="22"/>
                <w:lang w:eastAsia="en-GB"/>
              </w:rPr>
              <w:t> to 90 ml/min/1.73 m</w:t>
            </w:r>
            <w:r w:rsidRPr="0043425A">
              <w:rPr>
                <w:rFonts w:ascii="Arial" w:hAnsi="Arial" w:cs="Arial"/>
                <w:color w:val="000000"/>
                <w:kern w:val="24"/>
                <w:sz w:val="22"/>
                <w:szCs w:val="22"/>
                <w:vertAlign w:val="superscript"/>
                <w:lang w:eastAsia="en-GB"/>
              </w:rPr>
              <w:t>2</w:t>
            </w:r>
            <w:r w:rsidRPr="0043425A">
              <w:rPr>
                <w:rFonts w:ascii="Arial" w:hAnsi="Arial" w:cs="Arial"/>
                <w:color w:val="000000"/>
                <w:kern w:val="24"/>
                <w:sz w:val="22"/>
                <w:szCs w:val="22"/>
                <w:lang w:eastAsia="en-GB"/>
              </w:rPr>
              <w:t> and either:</w:t>
            </w:r>
          </w:p>
          <w:p w14:paraId="4BCF7C1D" w14:textId="77777777" w:rsidR="0043425A" w:rsidRPr="0043425A" w:rsidRDefault="0043425A" w:rsidP="0043425A">
            <w:pPr>
              <w:numPr>
                <w:ilvl w:val="2"/>
                <w:numId w:val="44"/>
              </w:numPr>
              <w:spacing w:before="120" w:after="120"/>
              <w:rPr>
                <w:rFonts w:ascii="Arial" w:hAnsi="Arial" w:cs="Arial"/>
                <w:color w:val="000000"/>
                <w:kern w:val="24"/>
                <w:sz w:val="22"/>
                <w:szCs w:val="22"/>
                <w:lang w:eastAsia="en-GB"/>
              </w:rPr>
            </w:pPr>
            <w:r w:rsidRPr="0043425A">
              <w:rPr>
                <w:rFonts w:ascii="Arial" w:hAnsi="Arial" w:cs="Arial"/>
                <w:color w:val="000000"/>
                <w:kern w:val="24"/>
                <w:sz w:val="22"/>
                <w:szCs w:val="22"/>
                <w:lang w:eastAsia="en-GB"/>
              </w:rPr>
              <w:t>a urine albumin-to-creatinine ratio of 22.6 mg/mmol or more, or</w:t>
            </w:r>
          </w:p>
          <w:p w14:paraId="71D953E0" w14:textId="77777777" w:rsidR="0043425A" w:rsidRPr="0043425A" w:rsidRDefault="0043425A" w:rsidP="0043425A">
            <w:pPr>
              <w:numPr>
                <w:ilvl w:val="2"/>
                <w:numId w:val="44"/>
              </w:numPr>
              <w:spacing w:before="120" w:after="120"/>
              <w:rPr>
                <w:rFonts w:ascii="Arial" w:hAnsi="Arial" w:cs="Arial"/>
                <w:color w:val="000000"/>
                <w:kern w:val="24"/>
                <w:sz w:val="22"/>
                <w:szCs w:val="22"/>
                <w:lang w:eastAsia="en-GB"/>
              </w:rPr>
            </w:pPr>
            <w:r w:rsidRPr="0043425A">
              <w:rPr>
                <w:rFonts w:ascii="Arial" w:hAnsi="Arial" w:cs="Arial"/>
                <w:color w:val="000000"/>
                <w:kern w:val="24"/>
                <w:sz w:val="22"/>
                <w:szCs w:val="22"/>
                <w:lang w:eastAsia="en-GB"/>
              </w:rPr>
              <w:t>type 2 diabetes.</w:t>
            </w:r>
          </w:p>
          <w:p w14:paraId="0B4F05BA" w14:textId="0CB47D27" w:rsidR="007D67B7" w:rsidRPr="007D67B7" w:rsidRDefault="007D67B7" w:rsidP="007D67B7">
            <w:pPr>
              <w:spacing w:before="120" w:after="120"/>
              <w:rPr>
                <w:rFonts w:ascii="Arial" w:hAnsi="Arial" w:cs="Arial"/>
                <w:color w:val="000000"/>
                <w:kern w:val="24"/>
                <w:sz w:val="22"/>
                <w:szCs w:val="22"/>
                <w:lang w:eastAsia="en-GB"/>
              </w:rPr>
            </w:pPr>
            <w:hyperlink r:id="rId11" w:history="1">
              <w:r w:rsidRPr="007D67B7">
                <w:rPr>
                  <w:rStyle w:val="Hyperlink"/>
                  <w:rFonts w:ascii="Arial" w:hAnsi="Arial" w:cs="Arial"/>
                  <w:kern w:val="24"/>
                  <w:sz w:val="22"/>
                  <w:szCs w:val="22"/>
                  <w:lang w:eastAsia="en-GB"/>
                </w:rPr>
                <w:t>Type 2 diabetes in adults: management. NICE guideline NG28</w:t>
              </w:r>
            </w:hyperlink>
            <w:r w:rsidRPr="007D67B7">
              <w:rPr>
                <w:rFonts w:ascii="Arial" w:hAnsi="Arial" w:cs="Arial"/>
                <w:color w:val="000000"/>
                <w:kern w:val="24"/>
                <w:sz w:val="22"/>
                <w:szCs w:val="22"/>
                <w:lang w:eastAsia="en-GB"/>
              </w:rPr>
              <w:t xml:space="preserve"> (2015, updated 2021), recommendations 1.8.17 to 1.8.19</w:t>
            </w:r>
          </w:p>
          <w:p w14:paraId="719B6F6F" w14:textId="77777777" w:rsidR="007D67B7" w:rsidRPr="007D67B7" w:rsidRDefault="007D67B7" w:rsidP="007D67B7">
            <w:pPr>
              <w:spacing w:before="120" w:after="120"/>
              <w:rPr>
                <w:rFonts w:ascii="Arial" w:hAnsi="Arial" w:cs="Arial"/>
                <w:color w:val="000000"/>
                <w:kern w:val="24"/>
                <w:sz w:val="22"/>
                <w:szCs w:val="22"/>
                <w:lang w:eastAsia="en-GB"/>
              </w:rPr>
            </w:pPr>
            <w:r w:rsidRPr="007D67B7">
              <w:rPr>
                <w:rFonts w:ascii="Arial" w:hAnsi="Arial" w:cs="Arial"/>
                <w:color w:val="000000"/>
                <w:kern w:val="24"/>
                <w:sz w:val="22"/>
                <w:szCs w:val="22"/>
                <w:lang w:eastAsia="en-GB"/>
              </w:rPr>
              <w:t>1.8.17 For adults with type 2 diabetes and CKD who are taking an ARB or an ACE inhibitor (titrated to the highest licensed dose that they can tolerate), offer an SGLT2 inhibitor (in addition to the ARB or ACE inhibitor) if:</w:t>
            </w:r>
          </w:p>
          <w:p w14:paraId="730EDE5F" w14:textId="77777777" w:rsidR="007D67B7" w:rsidRPr="007D67B7" w:rsidRDefault="007D67B7" w:rsidP="007D67B7">
            <w:pPr>
              <w:spacing w:before="120" w:after="120"/>
              <w:rPr>
                <w:rFonts w:ascii="Arial" w:hAnsi="Arial" w:cs="Arial"/>
                <w:color w:val="000000"/>
                <w:kern w:val="24"/>
                <w:sz w:val="22"/>
                <w:szCs w:val="22"/>
                <w:lang w:eastAsia="en-GB"/>
              </w:rPr>
            </w:pPr>
            <w:r w:rsidRPr="007D67B7">
              <w:rPr>
                <w:rFonts w:ascii="Arial" w:hAnsi="Arial" w:cs="Arial"/>
                <w:color w:val="000000"/>
                <w:kern w:val="24"/>
                <w:sz w:val="22"/>
                <w:szCs w:val="22"/>
                <w:lang w:eastAsia="en-GB"/>
              </w:rPr>
              <w:t>•</w:t>
            </w:r>
            <w:r w:rsidRPr="007D67B7">
              <w:rPr>
                <w:rFonts w:ascii="Arial" w:hAnsi="Arial" w:cs="Arial"/>
                <w:color w:val="000000"/>
                <w:kern w:val="24"/>
                <w:sz w:val="22"/>
                <w:szCs w:val="22"/>
                <w:lang w:eastAsia="en-GB"/>
              </w:rPr>
              <w:tab/>
              <w:t>ACR is over 30 mg/mmol and</w:t>
            </w:r>
          </w:p>
          <w:p w14:paraId="1C75D5D4" w14:textId="77777777" w:rsidR="007D67B7" w:rsidRPr="007D67B7" w:rsidRDefault="007D67B7" w:rsidP="007D67B7">
            <w:pPr>
              <w:spacing w:before="120" w:after="120"/>
              <w:rPr>
                <w:rFonts w:ascii="Arial" w:hAnsi="Arial" w:cs="Arial"/>
                <w:color w:val="000000"/>
                <w:kern w:val="24"/>
                <w:sz w:val="22"/>
                <w:szCs w:val="22"/>
                <w:lang w:eastAsia="en-GB"/>
              </w:rPr>
            </w:pPr>
            <w:r w:rsidRPr="007D67B7">
              <w:rPr>
                <w:rFonts w:ascii="Arial" w:hAnsi="Arial" w:cs="Arial"/>
                <w:color w:val="000000"/>
                <w:kern w:val="24"/>
                <w:sz w:val="22"/>
                <w:szCs w:val="22"/>
                <w:lang w:eastAsia="en-GB"/>
              </w:rPr>
              <w:t>•</w:t>
            </w:r>
            <w:r w:rsidRPr="007D67B7">
              <w:rPr>
                <w:rFonts w:ascii="Arial" w:hAnsi="Arial" w:cs="Arial"/>
                <w:color w:val="000000"/>
                <w:kern w:val="24"/>
                <w:sz w:val="22"/>
                <w:szCs w:val="22"/>
                <w:lang w:eastAsia="en-GB"/>
              </w:rPr>
              <w:tab/>
              <w:t>they meet the criteria in the marketing authorisation (including relevant estimated glomerular filtration rate [eGFR] thresholds).</w:t>
            </w:r>
          </w:p>
          <w:p w14:paraId="6F98EE78" w14:textId="77777777" w:rsidR="007D67B7" w:rsidRPr="007D67B7" w:rsidRDefault="007D67B7" w:rsidP="007D67B7">
            <w:pPr>
              <w:spacing w:before="120" w:after="120"/>
              <w:rPr>
                <w:rFonts w:ascii="Arial" w:hAnsi="Arial" w:cs="Arial"/>
                <w:color w:val="000000"/>
                <w:kern w:val="24"/>
                <w:sz w:val="22"/>
                <w:szCs w:val="22"/>
                <w:lang w:eastAsia="en-GB"/>
              </w:rPr>
            </w:pPr>
            <w:r w:rsidRPr="007D67B7">
              <w:rPr>
                <w:rFonts w:ascii="Arial" w:hAnsi="Arial" w:cs="Arial"/>
                <w:color w:val="000000"/>
                <w:kern w:val="24"/>
                <w:sz w:val="22"/>
                <w:szCs w:val="22"/>
                <w:lang w:eastAsia="en-GB"/>
              </w:rPr>
              <w:t>In November 2021, not all SGLT2 inhibitors were licensed for this indication. See NICE's information on prescribing medicines. [2021]</w:t>
            </w:r>
          </w:p>
          <w:p w14:paraId="5901643C" w14:textId="77777777" w:rsidR="007D67B7" w:rsidRPr="007D67B7" w:rsidRDefault="007D67B7" w:rsidP="007D67B7">
            <w:pPr>
              <w:spacing w:before="120" w:after="120"/>
              <w:rPr>
                <w:rFonts w:ascii="Arial" w:hAnsi="Arial" w:cs="Arial"/>
                <w:color w:val="000000"/>
                <w:kern w:val="24"/>
                <w:sz w:val="22"/>
                <w:szCs w:val="22"/>
                <w:lang w:eastAsia="en-GB"/>
              </w:rPr>
            </w:pPr>
            <w:r w:rsidRPr="007D67B7">
              <w:rPr>
                <w:rFonts w:ascii="Arial" w:hAnsi="Arial" w:cs="Arial"/>
                <w:color w:val="000000"/>
                <w:kern w:val="24"/>
                <w:sz w:val="22"/>
                <w:szCs w:val="22"/>
                <w:lang w:eastAsia="en-GB"/>
              </w:rPr>
              <w:t>1.8.18 For adults with type 2 diabetes and CKD who are taking an ARB or an ACE inhibitor (titrated to the highest licensed dose that they can tolerate), consider an SGLT2 inhibitor (in addition to the ARB or ACE inhibitor) if:</w:t>
            </w:r>
          </w:p>
          <w:p w14:paraId="256F2857" w14:textId="77777777" w:rsidR="007D67B7" w:rsidRPr="007D67B7" w:rsidRDefault="007D67B7" w:rsidP="007D67B7">
            <w:pPr>
              <w:spacing w:before="120" w:after="120"/>
              <w:rPr>
                <w:rFonts w:ascii="Arial" w:hAnsi="Arial" w:cs="Arial"/>
                <w:color w:val="000000"/>
                <w:kern w:val="24"/>
                <w:sz w:val="22"/>
                <w:szCs w:val="22"/>
                <w:lang w:eastAsia="en-GB"/>
              </w:rPr>
            </w:pPr>
            <w:r w:rsidRPr="007D67B7">
              <w:rPr>
                <w:rFonts w:ascii="Arial" w:hAnsi="Arial" w:cs="Arial"/>
                <w:color w:val="000000"/>
                <w:kern w:val="24"/>
                <w:sz w:val="22"/>
                <w:szCs w:val="22"/>
                <w:lang w:eastAsia="en-GB"/>
              </w:rPr>
              <w:t>•</w:t>
            </w:r>
            <w:r w:rsidRPr="007D67B7">
              <w:rPr>
                <w:rFonts w:ascii="Arial" w:hAnsi="Arial" w:cs="Arial"/>
                <w:color w:val="000000"/>
                <w:kern w:val="24"/>
                <w:sz w:val="22"/>
                <w:szCs w:val="22"/>
                <w:lang w:eastAsia="en-GB"/>
              </w:rPr>
              <w:tab/>
              <w:t>ACR is between 3 and 30 mg/mmol and</w:t>
            </w:r>
          </w:p>
          <w:p w14:paraId="346B6394" w14:textId="77777777" w:rsidR="007D67B7" w:rsidRPr="007D67B7" w:rsidRDefault="007D67B7" w:rsidP="007D67B7">
            <w:pPr>
              <w:spacing w:before="120" w:after="120"/>
              <w:rPr>
                <w:rFonts w:ascii="Arial" w:hAnsi="Arial" w:cs="Arial"/>
                <w:color w:val="000000"/>
                <w:kern w:val="24"/>
                <w:sz w:val="22"/>
                <w:szCs w:val="22"/>
                <w:lang w:eastAsia="en-GB"/>
              </w:rPr>
            </w:pPr>
            <w:r w:rsidRPr="007D67B7">
              <w:rPr>
                <w:rFonts w:ascii="Arial" w:hAnsi="Arial" w:cs="Arial"/>
                <w:color w:val="000000"/>
                <w:kern w:val="24"/>
                <w:sz w:val="22"/>
                <w:szCs w:val="22"/>
                <w:lang w:eastAsia="en-GB"/>
              </w:rPr>
              <w:t>•</w:t>
            </w:r>
            <w:r w:rsidRPr="007D67B7">
              <w:rPr>
                <w:rFonts w:ascii="Arial" w:hAnsi="Arial" w:cs="Arial"/>
                <w:color w:val="000000"/>
                <w:kern w:val="24"/>
                <w:sz w:val="22"/>
                <w:szCs w:val="22"/>
                <w:lang w:eastAsia="en-GB"/>
              </w:rPr>
              <w:tab/>
              <w:t>they meet the criteria in the marketing authorisation (including relevant eGFR thresholds).</w:t>
            </w:r>
          </w:p>
          <w:p w14:paraId="16D7F3AB" w14:textId="77777777" w:rsidR="007D67B7" w:rsidRPr="007D67B7" w:rsidRDefault="007D67B7" w:rsidP="007D67B7">
            <w:pPr>
              <w:spacing w:before="120" w:after="120"/>
              <w:rPr>
                <w:rFonts w:ascii="Arial" w:hAnsi="Arial" w:cs="Arial"/>
                <w:color w:val="000000"/>
                <w:kern w:val="24"/>
                <w:sz w:val="22"/>
                <w:szCs w:val="22"/>
                <w:lang w:eastAsia="en-GB"/>
              </w:rPr>
            </w:pPr>
            <w:r w:rsidRPr="007D67B7">
              <w:rPr>
                <w:rFonts w:ascii="Arial" w:hAnsi="Arial" w:cs="Arial"/>
                <w:color w:val="000000"/>
                <w:kern w:val="24"/>
                <w:sz w:val="22"/>
                <w:szCs w:val="22"/>
                <w:lang w:eastAsia="en-GB"/>
              </w:rPr>
              <w:t xml:space="preserve">In November 2021, not all SGLT2 inhibitors were licensed for this indication. See NICE's information on prescribing medicines. [2021] </w:t>
            </w:r>
          </w:p>
          <w:p w14:paraId="01F080F6" w14:textId="3CCF04F3" w:rsidR="002338EB" w:rsidRPr="009B3583" w:rsidRDefault="007D67B7" w:rsidP="009B3583">
            <w:pPr>
              <w:spacing w:before="120" w:after="120"/>
            </w:pPr>
            <w:r w:rsidRPr="007D67B7">
              <w:rPr>
                <w:rFonts w:ascii="Arial" w:hAnsi="Arial" w:cs="Arial"/>
                <w:color w:val="000000"/>
                <w:kern w:val="24"/>
                <w:sz w:val="22"/>
                <w:szCs w:val="22"/>
                <w:lang w:eastAsia="en-GB"/>
              </w:rPr>
              <w:t>1.8.19 For guidance on dapagliflozin for adults with CKD, see NICE's technology appraisal guidance on dapagliflozin for treating chronic kidney disease. [2022]</w:t>
            </w:r>
          </w:p>
        </w:tc>
        <w:tc>
          <w:tcPr>
            <w:tcW w:w="3118" w:type="dxa"/>
          </w:tcPr>
          <w:p w14:paraId="695C3D3D" w14:textId="77777777" w:rsidR="002338EB" w:rsidRPr="00311865" w:rsidRDefault="002338EB" w:rsidP="002338EB">
            <w:pPr>
              <w:spacing w:before="120" w:after="120"/>
              <w:rPr>
                <w:rFonts w:ascii="Arial" w:hAnsi="Arial" w:cs="Arial"/>
                <w:color w:val="000000"/>
                <w:kern w:val="24"/>
                <w:sz w:val="22"/>
                <w:szCs w:val="22"/>
                <w:lang w:val="en-US"/>
              </w:rPr>
            </w:pPr>
            <w:r w:rsidRPr="00311865">
              <w:rPr>
                <w:rFonts w:ascii="Arial" w:hAnsi="Arial" w:cs="Arial"/>
                <w:color w:val="000000"/>
                <w:kern w:val="24"/>
                <w:sz w:val="22"/>
                <w:szCs w:val="22"/>
                <w:lang w:val="en-US"/>
              </w:rPr>
              <w:lastRenderedPageBreak/>
              <w:t xml:space="preserve">The indicator is derived from a high-quality evidence base. </w:t>
            </w:r>
          </w:p>
          <w:p w14:paraId="12A64412" w14:textId="77777777" w:rsidR="002338EB" w:rsidRPr="002338EB" w:rsidRDefault="002338EB" w:rsidP="002338EB">
            <w:pPr>
              <w:pStyle w:val="Paragraph"/>
              <w:spacing w:before="120" w:after="120" w:line="240" w:lineRule="auto"/>
              <w:rPr>
                <w:highlight w:val="lightGray"/>
              </w:rPr>
            </w:pPr>
            <w:r w:rsidRPr="00311865">
              <w:rPr>
                <w:rFonts w:cs="Arial"/>
                <w:color w:val="000000"/>
                <w:kern w:val="24"/>
                <w:sz w:val="22"/>
                <w:szCs w:val="22"/>
                <w:lang w:val="en-US"/>
              </w:rPr>
              <w:t>The indicator aligns with the evidence base.</w:t>
            </w:r>
          </w:p>
        </w:tc>
      </w:tr>
    </w:tbl>
    <w:p w14:paraId="59E7B8DB" w14:textId="77777777" w:rsidR="002338EB" w:rsidRDefault="002338EB" w:rsidP="002338EB">
      <w:pPr>
        <w:pStyle w:val="Paragraph"/>
      </w:pPr>
    </w:p>
    <w:p w14:paraId="29AB9468" w14:textId="77777777"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26EB9A9F" w14:textId="77777777" w:rsidTr="001C517D">
        <w:tc>
          <w:tcPr>
            <w:tcW w:w="5949" w:type="dxa"/>
          </w:tcPr>
          <w:p w14:paraId="3669345F"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7D0AEB23"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60317DBB" w14:textId="77777777" w:rsidTr="001C517D">
        <w:tc>
          <w:tcPr>
            <w:tcW w:w="5949" w:type="dxa"/>
          </w:tcPr>
          <w:p w14:paraId="4DA7B611" w14:textId="6B2795EF" w:rsidR="00BE1F45" w:rsidRPr="00C92FA7" w:rsidRDefault="002338EB" w:rsidP="00BE1F45">
            <w:pPr>
              <w:spacing w:before="120" w:after="120"/>
              <w:rPr>
                <w:rFonts w:ascii="Arial" w:hAnsi="Arial" w:cs="Arial"/>
                <w:color w:val="000000"/>
                <w:kern w:val="24"/>
                <w:sz w:val="22"/>
                <w:szCs w:val="22"/>
              </w:rPr>
            </w:pPr>
            <w:r w:rsidRPr="00C92FA7">
              <w:rPr>
                <w:rFonts w:ascii="Arial" w:hAnsi="Arial" w:cs="Arial"/>
                <w:color w:val="000000"/>
                <w:kern w:val="24"/>
                <w:sz w:val="22"/>
                <w:szCs w:val="22"/>
              </w:rPr>
              <w:t xml:space="preserve">Numerator: </w:t>
            </w:r>
            <w:r w:rsidR="007D67B7" w:rsidRPr="00C92FA7">
              <w:rPr>
                <w:rFonts w:ascii="Arial" w:hAnsi="Arial" w:cs="Arial"/>
                <w:color w:val="000000"/>
                <w:kern w:val="24"/>
                <w:sz w:val="22"/>
                <w:szCs w:val="22"/>
              </w:rPr>
              <w:t>The number of patients in the denominator who are currently treated with an SGLT-2 inhibitor</w:t>
            </w:r>
            <w:r w:rsidR="00BE1F45" w:rsidRPr="00C92FA7">
              <w:rPr>
                <w:rFonts w:ascii="Arial" w:hAnsi="Arial" w:cs="Arial"/>
                <w:color w:val="000000"/>
                <w:kern w:val="24"/>
                <w:sz w:val="22"/>
                <w:szCs w:val="22"/>
              </w:rPr>
              <w:t>.</w:t>
            </w:r>
          </w:p>
          <w:p w14:paraId="13F3F1D9" w14:textId="0C0A8452" w:rsidR="007D67B7" w:rsidRPr="00C92FA7" w:rsidRDefault="00BE1F45" w:rsidP="007D67B7">
            <w:pPr>
              <w:spacing w:before="120" w:after="120"/>
              <w:rPr>
                <w:rFonts w:ascii="Arial" w:hAnsi="Arial" w:cs="Arial"/>
                <w:color w:val="000000"/>
                <w:kern w:val="24"/>
                <w:sz w:val="22"/>
                <w:szCs w:val="22"/>
              </w:rPr>
            </w:pPr>
            <w:r w:rsidRPr="00C92FA7">
              <w:rPr>
                <w:rFonts w:ascii="Arial" w:hAnsi="Arial" w:cs="Arial"/>
                <w:color w:val="000000"/>
                <w:kern w:val="24"/>
                <w:sz w:val="22"/>
                <w:szCs w:val="22"/>
              </w:rPr>
              <w:t xml:space="preserve">Denominator: </w:t>
            </w:r>
            <w:r w:rsidR="007D67B7" w:rsidRPr="00C92FA7">
              <w:rPr>
                <w:rFonts w:ascii="Arial" w:hAnsi="Arial" w:cs="Arial"/>
                <w:color w:val="000000"/>
                <w:kern w:val="24"/>
                <w:sz w:val="22"/>
                <w:szCs w:val="22"/>
              </w:rPr>
              <w:t xml:space="preserve">The number of patients on the CKD register currently treated with </w:t>
            </w:r>
            <w:r w:rsidR="00C92FA7" w:rsidRPr="00C92FA7">
              <w:rPr>
                <w:rFonts w:ascii="Arial" w:hAnsi="Arial" w:cs="Arial"/>
                <w:color w:val="000000"/>
                <w:kern w:val="24"/>
                <w:sz w:val="22"/>
                <w:szCs w:val="22"/>
              </w:rPr>
              <w:t>an</w:t>
            </w:r>
            <w:r w:rsidR="007D67B7" w:rsidRPr="00C92FA7">
              <w:rPr>
                <w:rFonts w:ascii="Arial" w:hAnsi="Arial" w:cs="Arial"/>
                <w:color w:val="000000"/>
                <w:kern w:val="24"/>
                <w:sz w:val="22"/>
                <w:szCs w:val="22"/>
              </w:rPr>
              <w:t xml:space="preserve"> </w:t>
            </w:r>
            <w:r w:rsidR="00BA00D7">
              <w:rPr>
                <w:rFonts w:ascii="Arial" w:hAnsi="Arial" w:cs="Arial"/>
                <w:color w:val="000000"/>
                <w:kern w:val="24"/>
                <w:sz w:val="22"/>
                <w:szCs w:val="22"/>
              </w:rPr>
              <w:t xml:space="preserve">ARB or an </w:t>
            </w:r>
            <w:r w:rsidR="007D67B7" w:rsidRPr="00C92FA7">
              <w:rPr>
                <w:rFonts w:ascii="Arial" w:hAnsi="Arial" w:cs="Arial"/>
                <w:color w:val="000000"/>
                <w:kern w:val="24"/>
                <w:sz w:val="22"/>
                <w:szCs w:val="22"/>
              </w:rPr>
              <w:t xml:space="preserve">ACE inhibitor (unless </w:t>
            </w:r>
            <w:r w:rsidR="00C92FA7" w:rsidRPr="00C92FA7">
              <w:rPr>
                <w:rFonts w:ascii="Arial" w:hAnsi="Arial" w:cs="Arial"/>
                <w:color w:val="000000"/>
                <w:kern w:val="24"/>
                <w:sz w:val="22"/>
                <w:szCs w:val="22"/>
              </w:rPr>
              <w:t xml:space="preserve">these are </w:t>
            </w:r>
            <w:r w:rsidR="007D67B7" w:rsidRPr="00C92FA7">
              <w:rPr>
                <w:rFonts w:ascii="Arial" w:hAnsi="Arial" w:cs="Arial"/>
                <w:color w:val="000000"/>
                <w:kern w:val="24"/>
                <w:sz w:val="22"/>
                <w:szCs w:val="22"/>
              </w:rPr>
              <w:t>contraindicated) and:</w:t>
            </w:r>
          </w:p>
          <w:p w14:paraId="1091BF9E" w14:textId="700AF3EA" w:rsidR="007D67B7" w:rsidRPr="00BA4502" w:rsidRDefault="007D67B7" w:rsidP="00BA4502">
            <w:pPr>
              <w:pStyle w:val="ListParagraph"/>
              <w:numPr>
                <w:ilvl w:val="0"/>
                <w:numId w:val="46"/>
              </w:numPr>
              <w:spacing w:before="120" w:after="120"/>
              <w:rPr>
                <w:rFonts w:ascii="Arial" w:hAnsi="Arial" w:cs="Arial"/>
                <w:color w:val="000000"/>
                <w:kern w:val="24"/>
                <w:sz w:val="22"/>
                <w:szCs w:val="22"/>
              </w:rPr>
            </w:pPr>
            <w:r w:rsidRPr="00BA4502">
              <w:rPr>
                <w:rFonts w:ascii="Arial" w:hAnsi="Arial" w:cs="Arial"/>
                <w:color w:val="000000"/>
                <w:kern w:val="24"/>
                <w:sz w:val="22"/>
                <w:szCs w:val="22"/>
              </w:rPr>
              <w:t>no type 2 diabetes and eGFR 20 ml/min/1.73 m</w:t>
            </w:r>
            <w:r w:rsidRPr="00BA4502">
              <w:rPr>
                <w:rFonts w:ascii="Arial" w:hAnsi="Arial" w:cs="Arial"/>
                <w:color w:val="000000"/>
                <w:kern w:val="24"/>
                <w:sz w:val="22"/>
                <w:szCs w:val="22"/>
                <w:vertAlign w:val="superscript"/>
              </w:rPr>
              <w:t>2</w:t>
            </w:r>
            <w:r w:rsidRPr="00BA4502">
              <w:rPr>
                <w:rFonts w:ascii="Arial" w:hAnsi="Arial" w:cs="Arial"/>
                <w:color w:val="000000"/>
                <w:kern w:val="24"/>
                <w:sz w:val="22"/>
                <w:szCs w:val="22"/>
              </w:rPr>
              <w:t xml:space="preserve"> to 44 ml/min/1.73 m</w:t>
            </w:r>
            <w:r w:rsidRPr="00BA4502">
              <w:rPr>
                <w:rFonts w:ascii="Arial" w:hAnsi="Arial" w:cs="Arial"/>
                <w:color w:val="000000"/>
                <w:kern w:val="24"/>
                <w:sz w:val="22"/>
                <w:szCs w:val="22"/>
                <w:vertAlign w:val="superscript"/>
              </w:rPr>
              <w:t>2</w:t>
            </w:r>
            <w:r w:rsidRPr="00BA4502">
              <w:rPr>
                <w:rFonts w:ascii="Arial" w:hAnsi="Arial" w:cs="Arial"/>
                <w:color w:val="000000"/>
                <w:kern w:val="24"/>
                <w:sz w:val="22"/>
                <w:szCs w:val="22"/>
              </w:rPr>
              <w:t>, or</w:t>
            </w:r>
          </w:p>
          <w:p w14:paraId="4270C333" w14:textId="5B303DF7" w:rsidR="007D67B7" w:rsidRPr="00BA4502" w:rsidRDefault="007D67B7" w:rsidP="00BA4502">
            <w:pPr>
              <w:pStyle w:val="ListParagraph"/>
              <w:numPr>
                <w:ilvl w:val="0"/>
                <w:numId w:val="46"/>
              </w:numPr>
              <w:spacing w:before="120" w:after="120"/>
              <w:rPr>
                <w:rFonts w:ascii="Arial" w:hAnsi="Arial" w:cs="Arial"/>
                <w:color w:val="000000"/>
                <w:kern w:val="24"/>
                <w:sz w:val="22"/>
                <w:szCs w:val="22"/>
              </w:rPr>
            </w:pPr>
            <w:r w:rsidRPr="00BA4502">
              <w:rPr>
                <w:rFonts w:ascii="Arial" w:hAnsi="Arial" w:cs="Arial"/>
                <w:color w:val="000000"/>
                <w:kern w:val="24"/>
                <w:sz w:val="22"/>
                <w:szCs w:val="22"/>
              </w:rPr>
              <w:lastRenderedPageBreak/>
              <w:t>no type 2 diabetes and eGFR 45 ml/min/1.73 m</w:t>
            </w:r>
            <w:r w:rsidRPr="00BA4502">
              <w:rPr>
                <w:rFonts w:ascii="Arial" w:hAnsi="Arial" w:cs="Arial"/>
                <w:color w:val="000000"/>
                <w:kern w:val="24"/>
                <w:sz w:val="22"/>
                <w:szCs w:val="22"/>
                <w:vertAlign w:val="superscript"/>
              </w:rPr>
              <w:t>2</w:t>
            </w:r>
            <w:r w:rsidRPr="00BA4502">
              <w:rPr>
                <w:rFonts w:ascii="Arial" w:hAnsi="Arial" w:cs="Arial"/>
                <w:color w:val="000000"/>
                <w:kern w:val="24"/>
                <w:sz w:val="22"/>
                <w:szCs w:val="22"/>
              </w:rPr>
              <w:t xml:space="preserve"> to 59 ml/min/1.73 m</w:t>
            </w:r>
            <w:r w:rsidRPr="00BA4502">
              <w:rPr>
                <w:rFonts w:ascii="Arial" w:hAnsi="Arial" w:cs="Arial"/>
                <w:color w:val="000000"/>
                <w:kern w:val="24"/>
                <w:sz w:val="22"/>
                <w:szCs w:val="22"/>
                <w:vertAlign w:val="superscript"/>
              </w:rPr>
              <w:t>2</w:t>
            </w:r>
            <w:r w:rsidRPr="00BA4502">
              <w:rPr>
                <w:rFonts w:ascii="Arial" w:hAnsi="Arial" w:cs="Arial"/>
                <w:color w:val="000000"/>
                <w:kern w:val="24"/>
                <w:sz w:val="22"/>
                <w:szCs w:val="22"/>
              </w:rPr>
              <w:t xml:space="preserve"> and urine ACR of 22.6 mg/mmol or more, or</w:t>
            </w:r>
          </w:p>
          <w:p w14:paraId="7A25B76D" w14:textId="1C98DDE7" w:rsidR="00C92FA7" w:rsidRPr="00BA4502" w:rsidRDefault="007D67B7" w:rsidP="00BA4502">
            <w:pPr>
              <w:pStyle w:val="ListParagraph"/>
              <w:numPr>
                <w:ilvl w:val="0"/>
                <w:numId w:val="46"/>
              </w:numPr>
              <w:spacing w:before="120" w:after="120"/>
              <w:rPr>
                <w:rFonts w:ascii="Arial" w:hAnsi="Arial" w:cs="Arial"/>
                <w:color w:val="000000"/>
                <w:kern w:val="24"/>
                <w:sz w:val="22"/>
                <w:szCs w:val="22"/>
              </w:rPr>
            </w:pPr>
            <w:r w:rsidRPr="00BA4502">
              <w:rPr>
                <w:rFonts w:ascii="Arial" w:hAnsi="Arial" w:cs="Arial"/>
                <w:color w:val="000000"/>
                <w:kern w:val="24"/>
                <w:sz w:val="22"/>
                <w:szCs w:val="22"/>
              </w:rPr>
              <w:t xml:space="preserve">type 2 diabetes and urine ACR 3 mg/mmol or more. </w:t>
            </w:r>
          </w:p>
          <w:p w14:paraId="4DC11485" w14:textId="2A9473FD" w:rsidR="001A3CA6" w:rsidRPr="00BA4502" w:rsidRDefault="001A3CA6" w:rsidP="00BA4502">
            <w:pPr>
              <w:spacing w:before="120" w:after="120"/>
              <w:rPr>
                <w:rFonts w:ascii="Arial" w:hAnsi="Arial" w:cs="Arial"/>
                <w:color w:val="000000"/>
                <w:kern w:val="24"/>
                <w:sz w:val="22"/>
                <w:szCs w:val="22"/>
              </w:rPr>
            </w:pPr>
            <w:r w:rsidRPr="00BA4502">
              <w:rPr>
                <w:rFonts w:ascii="Arial" w:hAnsi="Arial" w:cs="Arial"/>
                <w:color w:val="000000"/>
                <w:kern w:val="24"/>
                <w:sz w:val="22"/>
                <w:szCs w:val="22"/>
              </w:rPr>
              <w:t xml:space="preserve">Exclusions: </w:t>
            </w:r>
            <w:r w:rsidR="00C92FA7" w:rsidRPr="00BA4502">
              <w:rPr>
                <w:rFonts w:ascii="Arial" w:hAnsi="Arial" w:cs="Arial"/>
                <w:color w:val="000000"/>
                <w:kern w:val="24"/>
                <w:sz w:val="22"/>
                <w:szCs w:val="22"/>
              </w:rPr>
              <w:t>Patients with eGFR less than 20 ml/min/1.73 m</w:t>
            </w:r>
            <w:r w:rsidR="00C92FA7" w:rsidRPr="00BA4502">
              <w:rPr>
                <w:rFonts w:ascii="Arial" w:hAnsi="Arial" w:cs="Arial"/>
                <w:color w:val="000000"/>
                <w:kern w:val="24"/>
                <w:sz w:val="22"/>
                <w:szCs w:val="22"/>
                <w:vertAlign w:val="superscript"/>
              </w:rPr>
              <w:t>2</w:t>
            </w:r>
            <w:r w:rsidR="00C92FA7" w:rsidRPr="00BA4502">
              <w:rPr>
                <w:rFonts w:ascii="Arial" w:hAnsi="Arial" w:cs="Arial"/>
                <w:color w:val="000000"/>
                <w:kern w:val="24"/>
                <w:sz w:val="22"/>
                <w:szCs w:val="22"/>
              </w:rPr>
              <w:t>.</w:t>
            </w:r>
          </w:p>
          <w:p w14:paraId="269E777E" w14:textId="77777777" w:rsidR="009B3583" w:rsidRDefault="00CE5520" w:rsidP="00C92FA7">
            <w:pPr>
              <w:pStyle w:val="Paragraph"/>
              <w:spacing w:before="120" w:after="120"/>
              <w:rPr>
                <w:rFonts w:cs="Arial"/>
                <w:color w:val="000000"/>
                <w:kern w:val="24"/>
                <w:sz w:val="22"/>
                <w:szCs w:val="22"/>
              </w:rPr>
            </w:pPr>
            <w:r w:rsidRPr="00C92FA7">
              <w:rPr>
                <w:rFonts w:cs="Arial"/>
                <w:color w:val="000000"/>
                <w:kern w:val="24"/>
                <w:sz w:val="22"/>
                <w:szCs w:val="22"/>
              </w:rPr>
              <w:t xml:space="preserve">Definitions: </w:t>
            </w:r>
          </w:p>
          <w:p w14:paraId="18A686DF" w14:textId="4790E73D" w:rsidR="00BA4502" w:rsidRDefault="00C92FA7" w:rsidP="009B3583">
            <w:pPr>
              <w:pStyle w:val="Paragraph"/>
              <w:numPr>
                <w:ilvl w:val="0"/>
                <w:numId w:val="42"/>
              </w:numPr>
              <w:spacing w:before="120" w:after="120"/>
              <w:rPr>
                <w:rFonts w:cs="Arial"/>
                <w:color w:val="000000"/>
                <w:kern w:val="24"/>
                <w:sz w:val="22"/>
                <w:szCs w:val="22"/>
              </w:rPr>
            </w:pPr>
            <w:r w:rsidRPr="00C92FA7">
              <w:rPr>
                <w:rFonts w:cs="Arial"/>
                <w:color w:val="000000"/>
                <w:kern w:val="24"/>
                <w:sz w:val="22"/>
                <w:szCs w:val="22"/>
              </w:rPr>
              <w:t xml:space="preserve">Current treatment with an </w:t>
            </w:r>
            <w:r w:rsidR="00BA00D7">
              <w:rPr>
                <w:rFonts w:cs="Arial"/>
                <w:color w:val="000000"/>
                <w:kern w:val="24"/>
                <w:sz w:val="22"/>
                <w:szCs w:val="22"/>
              </w:rPr>
              <w:t xml:space="preserve">ARB or an </w:t>
            </w:r>
            <w:r w:rsidRPr="00C92FA7">
              <w:rPr>
                <w:rFonts w:cs="Arial"/>
                <w:color w:val="000000"/>
                <w:kern w:val="24"/>
                <w:sz w:val="22"/>
                <w:szCs w:val="22"/>
              </w:rPr>
              <w:t>ACE inhibitor is defined as a prescription in the last 6 months of the reporting period. This should be before the last prescription of an SGLT-2 inhibitor</w:t>
            </w:r>
            <w:r w:rsidR="009B3583">
              <w:rPr>
                <w:rFonts w:cs="Arial"/>
                <w:color w:val="000000"/>
                <w:kern w:val="24"/>
                <w:sz w:val="22"/>
                <w:szCs w:val="22"/>
              </w:rPr>
              <w:t>.</w:t>
            </w:r>
          </w:p>
          <w:p w14:paraId="033D130E" w14:textId="38F135B7" w:rsidR="00CE5520" w:rsidRPr="009B3583" w:rsidRDefault="00C92FA7" w:rsidP="009B3583">
            <w:pPr>
              <w:pStyle w:val="Paragraph"/>
              <w:numPr>
                <w:ilvl w:val="0"/>
                <w:numId w:val="42"/>
              </w:numPr>
              <w:spacing w:before="120" w:after="120"/>
              <w:rPr>
                <w:rFonts w:cs="Arial"/>
                <w:color w:val="000000"/>
                <w:kern w:val="24"/>
                <w:sz w:val="22"/>
                <w:szCs w:val="22"/>
              </w:rPr>
            </w:pPr>
            <w:r w:rsidRPr="009B3583">
              <w:rPr>
                <w:rFonts w:cs="Arial"/>
                <w:color w:val="000000"/>
                <w:kern w:val="24"/>
                <w:sz w:val="22"/>
                <w:szCs w:val="22"/>
              </w:rPr>
              <w:t>The last recorded ACR measurement and last recorded eGFR measurement should be used for inclusion in the indicator.</w:t>
            </w:r>
          </w:p>
          <w:p w14:paraId="5910A04E" w14:textId="4DC0ED75" w:rsidR="00735337" w:rsidRPr="002338EB" w:rsidRDefault="001A3CA6" w:rsidP="002338EB">
            <w:pPr>
              <w:pStyle w:val="Paragraph"/>
              <w:spacing w:before="120" w:after="120" w:line="240" w:lineRule="auto"/>
              <w:rPr>
                <w:highlight w:val="lightGray"/>
              </w:rPr>
            </w:pPr>
            <w:r w:rsidRPr="00C92FA7">
              <w:rPr>
                <w:rFonts w:cs="Arial"/>
                <w:color w:val="000000"/>
                <w:kern w:val="24"/>
                <w:sz w:val="22"/>
                <w:szCs w:val="22"/>
              </w:rPr>
              <w:t xml:space="preserve">Personalised care adjustments or exception reporting should be considered to account for situations where the patient declines, does not attend or if </w:t>
            </w:r>
            <w:r w:rsidR="00C92FA7" w:rsidRPr="00C92FA7">
              <w:rPr>
                <w:rFonts w:cs="Arial"/>
                <w:color w:val="000000"/>
                <w:kern w:val="24"/>
                <w:sz w:val="22"/>
                <w:szCs w:val="22"/>
              </w:rPr>
              <w:t xml:space="preserve">treatment with an SGLT-2 inhibitor </w:t>
            </w:r>
            <w:r w:rsidRPr="00C92FA7">
              <w:rPr>
                <w:rFonts w:cs="Arial"/>
                <w:color w:val="000000"/>
                <w:kern w:val="24"/>
                <w:sz w:val="22"/>
                <w:szCs w:val="22"/>
              </w:rPr>
              <w:t>is not appropriate.</w:t>
            </w:r>
          </w:p>
        </w:tc>
        <w:tc>
          <w:tcPr>
            <w:tcW w:w="3118" w:type="dxa"/>
          </w:tcPr>
          <w:p w14:paraId="2C42A20A" w14:textId="77777777" w:rsidR="002338EB" w:rsidRPr="00C92FA7" w:rsidRDefault="002338EB" w:rsidP="002338EB">
            <w:pPr>
              <w:spacing w:before="120" w:after="120"/>
              <w:rPr>
                <w:rFonts w:ascii="Arial" w:hAnsi="Arial" w:cs="Arial"/>
                <w:color w:val="000000"/>
                <w:kern w:val="24"/>
                <w:sz w:val="22"/>
                <w:szCs w:val="22"/>
              </w:rPr>
            </w:pPr>
            <w:r w:rsidRPr="00C92FA7">
              <w:rPr>
                <w:rFonts w:ascii="Arial" w:hAnsi="Arial" w:cs="Arial"/>
                <w:color w:val="000000"/>
                <w:kern w:val="24"/>
                <w:sz w:val="22"/>
                <w:szCs w:val="22"/>
              </w:rPr>
              <w:lastRenderedPageBreak/>
              <w:t>The indicator has defined components necessary to construct the indicator, including numerator, denominator and exclusions.</w:t>
            </w:r>
          </w:p>
          <w:p w14:paraId="134F31AD" w14:textId="77777777" w:rsidR="002338EB" w:rsidRPr="002338EB" w:rsidRDefault="002338EB" w:rsidP="002338EB">
            <w:pPr>
              <w:pStyle w:val="Paragraph"/>
              <w:spacing w:before="120" w:after="120" w:line="240" w:lineRule="auto"/>
              <w:rPr>
                <w:highlight w:val="lightGray"/>
              </w:rPr>
            </w:pPr>
          </w:p>
        </w:tc>
      </w:tr>
      <w:tr w:rsidR="002338EB" w14:paraId="29A3B060" w14:textId="77777777" w:rsidTr="001C517D">
        <w:tc>
          <w:tcPr>
            <w:tcW w:w="5949" w:type="dxa"/>
          </w:tcPr>
          <w:p w14:paraId="53233245" w14:textId="0C94D668" w:rsidR="002C1326" w:rsidRPr="009B3583" w:rsidRDefault="00224955" w:rsidP="009B3583">
            <w:pPr>
              <w:pStyle w:val="Paragraph"/>
              <w:spacing w:before="120" w:after="120" w:line="240" w:lineRule="auto"/>
              <w:rPr>
                <w:rFonts w:cs="Arial"/>
                <w:color w:val="000000"/>
                <w:kern w:val="24"/>
                <w:sz w:val="22"/>
                <w:szCs w:val="22"/>
                <w:highlight w:val="lightGray"/>
              </w:rPr>
            </w:pPr>
            <w:r w:rsidRPr="00224955">
              <w:rPr>
                <w:rFonts w:cs="Arial"/>
                <w:color w:val="000000"/>
                <w:kern w:val="24"/>
                <w:sz w:val="22"/>
                <w:szCs w:val="22"/>
              </w:rPr>
              <w:t xml:space="preserve">To be classified as suitable for use in QOF, there should be an average minimum population of more than 20 patients per practice eligible for inclusion in the denominator prior to application of personalised care adjustments. Data from CPRD </w:t>
            </w:r>
            <w:proofErr w:type="spellStart"/>
            <w:r w:rsidRPr="00224955">
              <w:rPr>
                <w:rFonts w:cs="Arial"/>
                <w:color w:val="000000"/>
                <w:kern w:val="24"/>
                <w:sz w:val="22"/>
                <w:szCs w:val="22"/>
              </w:rPr>
              <w:t>Aurum</w:t>
            </w:r>
            <w:proofErr w:type="spellEnd"/>
            <w:r w:rsidRPr="00224955">
              <w:rPr>
                <w:rFonts w:cs="Arial"/>
                <w:color w:val="000000"/>
                <w:kern w:val="24"/>
                <w:sz w:val="22"/>
                <w:szCs w:val="22"/>
              </w:rPr>
              <w:t xml:space="preserve"> (March 2024 release) shows that 0.6% of people in England are eligible for inclusion in the denominator as described in the indicator specification. An average practice with 10,000 patients would have around 58 eligible patients. Clinical Practice Research Datalink. (2024). CPRD </w:t>
            </w:r>
            <w:proofErr w:type="spellStart"/>
            <w:r w:rsidRPr="00224955">
              <w:rPr>
                <w:rFonts w:cs="Arial"/>
                <w:color w:val="000000"/>
                <w:kern w:val="24"/>
                <w:sz w:val="22"/>
                <w:szCs w:val="22"/>
              </w:rPr>
              <w:t>Aurum</w:t>
            </w:r>
            <w:proofErr w:type="spellEnd"/>
            <w:r w:rsidRPr="00224955">
              <w:rPr>
                <w:rFonts w:cs="Arial"/>
                <w:color w:val="000000"/>
                <w:kern w:val="24"/>
                <w:sz w:val="22"/>
                <w:szCs w:val="22"/>
              </w:rPr>
              <w:t xml:space="preserve"> March 2024 (Version 2024.03.001) [Data set]. Clinical Practice Research Datalink. </w:t>
            </w:r>
            <w:hyperlink r:id="rId12" w:history="1">
              <w:r w:rsidRPr="00224955">
                <w:rPr>
                  <w:rStyle w:val="Hyperlink"/>
                  <w:rFonts w:cs="Arial"/>
                  <w:kern w:val="24"/>
                  <w:sz w:val="22"/>
                  <w:szCs w:val="22"/>
                </w:rPr>
                <w:t>https://doi.org/10.48329/yxmq-vk87</w:t>
              </w:r>
            </w:hyperlink>
            <w:r w:rsidRPr="00224955">
              <w:rPr>
                <w:rFonts w:cs="Arial"/>
                <w:color w:val="000000"/>
                <w:kern w:val="24"/>
                <w:sz w:val="22"/>
                <w:szCs w:val="22"/>
              </w:rPr>
              <w:t>.</w:t>
            </w:r>
          </w:p>
        </w:tc>
        <w:tc>
          <w:tcPr>
            <w:tcW w:w="3118" w:type="dxa"/>
          </w:tcPr>
          <w:p w14:paraId="084C5B5C" w14:textId="2E34241A" w:rsidR="002338EB" w:rsidRPr="00C92FA7" w:rsidRDefault="002338EB" w:rsidP="009B3583">
            <w:pPr>
              <w:pStyle w:val="Paragraph"/>
              <w:spacing w:before="120" w:after="120" w:line="240" w:lineRule="auto"/>
              <w:rPr>
                <w:rFonts w:cs="Arial"/>
                <w:color w:val="000000"/>
                <w:kern w:val="24"/>
                <w:sz w:val="22"/>
                <w:szCs w:val="22"/>
              </w:rPr>
            </w:pPr>
            <w:r w:rsidRPr="00C92FA7">
              <w:rPr>
                <w:rFonts w:cs="Arial"/>
                <w:color w:val="000000"/>
                <w:kern w:val="24"/>
                <w:sz w:val="22"/>
                <w:szCs w:val="22"/>
              </w:rPr>
              <w:t xml:space="preserve">The indicator </w:t>
            </w:r>
            <w:r w:rsidR="002C1326" w:rsidRPr="00C92FA7">
              <w:rPr>
                <w:rFonts w:cs="Arial"/>
                <w:color w:val="000000"/>
                <w:kern w:val="24"/>
                <w:sz w:val="22"/>
                <w:szCs w:val="22"/>
              </w:rPr>
              <w:t>does</w:t>
            </w:r>
            <w:r w:rsidRPr="00C92FA7">
              <w:rPr>
                <w:rFonts w:cs="Arial"/>
                <w:color w:val="000000"/>
                <w:kern w:val="24"/>
                <w:sz w:val="22"/>
                <w:szCs w:val="22"/>
              </w:rPr>
              <w:t xml:space="preserve"> outline minimum numbers of patients needed to be confident in the assessment of variation.</w:t>
            </w:r>
          </w:p>
          <w:p w14:paraId="7459872D" w14:textId="195C258D" w:rsidR="000C4A97" w:rsidRPr="002338EB" w:rsidRDefault="000C4A97" w:rsidP="009B3583">
            <w:pPr>
              <w:pStyle w:val="Paragraph"/>
              <w:spacing w:before="120" w:after="120" w:line="240" w:lineRule="auto"/>
              <w:rPr>
                <w:highlight w:val="lightGray"/>
              </w:rPr>
            </w:pPr>
            <w:r w:rsidRPr="00C92FA7">
              <w:rPr>
                <w:rFonts w:cs="Arial"/>
                <w:color w:val="000000"/>
                <w:kern w:val="24"/>
                <w:sz w:val="22"/>
                <w:szCs w:val="22"/>
              </w:rPr>
              <w:t xml:space="preserve">Available data does suggest that the number of eligible patients per average </w:t>
            </w:r>
            <w:r w:rsidR="00C92FA7" w:rsidRPr="00C92FA7">
              <w:rPr>
                <w:rFonts w:cs="Arial"/>
                <w:color w:val="000000"/>
                <w:kern w:val="24"/>
                <w:sz w:val="22"/>
                <w:szCs w:val="22"/>
              </w:rPr>
              <w:t>GP practice</w:t>
            </w:r>
            <w:r w:rsidRPr="00C92FA7">
              <w:rPr>
                <w:rFonts w:cs="Arial"/>
                <w:color w:val="000000"/>
                <w:kern w:val="24"/>
                <w:sz w:val="22"/>
                <w:szCs w:val="22"/>
              </w:rPr>
              <w:t xml:space="preserve"> would be above this minimum number.</w:t>
            </w:r>
          </w:p>
        </w:tc>
      </w:tr>
    </w:tbl>
    <w:p w14:paraId="07B2236D" w14:textId="77777777" w:rsidR="002338EB" w:rsidRDefault="002338EB" w:rsidP="002338EB">
      <w:pPr>
        <w:pStyle w:val="Paragraph"/>
      </w:pPr>
    </w:p>
    <w:p w14:paraId="5805CA30" w14:textId="77777777"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7D401F57" w14:textId="77777777" w:rsidTr="001C517D">
        <w:tc>
          <w:tcPr>
            <w:tcW w:w="5949" w:type="dxa"/>
          </w:tcPr>
          <w:p w14:paraId="712A791D"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05753A09"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1333E8E0" w14:textId="77777777" w:rsidTr="001C517D">
        <w:tc>
          <w:tcPr>
            <w:tcW w:w="5949" w:type="dxa"/>
          </w:tcPr>
          <w:p w14:paraId="1FFF5607" w14:textId="54FDB8A6" w:rsidR="00C92FA7" w:rsidRPr="00C92FA7" w:rsidRDefault="00C92FA7" w:rsidP="00C92FA7">
            <w:pPr>
              <w:spacing w:before="120" w:after="120"/>
              <w:rPr>
                <w:rFonts w:cs="Arial"/>
                <w:sz w:val="22"/>
                <w:szCs w:val="22"/>
              </w:rPr>
            </w:pPr>
            <w:r w:rsidRPr="00C92FA7">
              <w:rPr>
                <w:rFonts w:ascii="Arial" w:hAnsi="Arial" w:cs="Arial"/>
                <w:sz w:val="22"/>
                <w:szCs w:val="22"/>
              </w:rPr>
              <w:t>Data can be extracted from the GPES system.</w:t>
            </w:r>
          </w:p>
          <w:p w14:paraId="2194031E" w14:textId="3A576A53" w:rsidR="00735337" w:rsidRPr="00C92FA7" w:rsidRDefault="00735337" w:rsidP="00735337">
            <w:pPr>
              <w:pStyle w:val="Paragraph"/>
              <w:spacing w:before="120" w:after="120" w:line="240" w:lineRule="auto"/>
            </w:pPr>
            <w:r w:rsidRPr="00C92FA7">
              <w:rPr>
                <w:rFonts w:cs="Arial"/>
                <w:sz w:val="22"/>
                <w:szCs w:val="22"/>
              </w:rPr>
              <w:t xml:space="preserve"> </w:t>
            </w:r>
          </w:p>
        </w:tc>
        <w:tc>
          <w:tcPr>
            <w:tcW w:w="3118" w:type="dxa"/>
          </w:tcPr>
          <w:p w14:paraId="5EFFD05D" w14:textId="77777777" w:rsidR="00735337" w:rsidRPr="00C92FA7" w:rsidRDefault="00735337" w:rsidP="00735337">
            <w:pPr>
              <w:spacing w:before="120" w:after="120"/>
              <w:rPr>
                <w:rFonts w:ascii="Arial" w:hAnsi="Arial" w:cs="Arial"/>
                <w:color w:val="000000"/>
                <w:kern w:val="24"/>
                <w:sz w:val="22"/>
                <w:szCs w:val="22"/>
              </w:rPr>
            </w:pPr>
            <w:r w:rsidRPr="00C92FA7">
              <w:rPr>
                <w:rFonts w:ascii="Arial" w:hAnsi="Arial" w:cs="Arial"/>
                <w:color w:val="000000"/>
                <w:kern w:val="24"/>
                <w:sz w:val="22"/>
                <w:szCs w:val="22"/>
              </w:rPr>
              <w:t>The indicator is repeatable.</w:t>
            </w:r>
          </w:p>
          <w:p w14:paraId="16E9677D" w14:textId="77777777" w:rsidR="00735337" w:rsidRPr="00C92FA7" w:rsidRDefault="00735337" w:rsidP="00735337">
            <w:pPr>
              <w:pStyle w:val="Paragraph"/>
              <w:spacing w:before="120" w:after="120" w:line="240" w:lineRule="auto"/>
            </w:pPr>
          </w:p>
        </w:tc>
      </w:tr>
      <w:tr w:rsidR="00735337" w14:paraId="2D873F99" w14:textId="77777777" w:rsidTr="001C517D">
        <w:tc>
          <w:tcPr>
            <w:tcW w:w="5949" w:type="dxa"/>
          </w:tcPr>
          <w:p w14:paraId="171B71BE" w14:textId="77777777" w:rsidR="00735337" w:rsidRDefault="00C92FA7" w:rsidP="00C92FA7">
            <w:pPr>
              <w:spacing w:before="120" w:after="120"/>
              <w:rPr>
                <w:rFonts w:ascii="Arial" w:hAnsi="Arial" w:cs="Arial"/>
                <w:sz w:val="22"/>
                <w:szCs w:val="22"/>
              </w:rPr>
            </w:pPr>
            <w:r w:rsidRPr="00C92FA7">
              <w:rPr>
                <w:rFonts w:ascii="Arial" w:hAnsi="Arial" w:cs="Arial"/>
                <w:sz w:val="22"/>
                <w:szCs w:val="22"/>
              </w:rPr>
              <w:t xml:space="preserve">NHS England’s opinion is that this indicator is feasible. New code clusters for SGLT-2 inhibitors, CKD care reviews and ACR will be required. </w:t>
            </w:r>
          </w:p>
          <w:p w14:paraId="6C10DE4D" w14:textId="528A548A" w:rsidR="00C92FA7" w:rsidRPr="00C92FA7" w:rsidRDefault="00C92FA7" w:rsidP="00C92FA7">
            <w:pPr>
              <w:spacing w:before="120" w:after="120"/>
              <w:rPr>
                <w:rFonts w:ascii="Arial" w:hAnsi="Arial" w:cs="Arial"/>
                <w:sz w:val="22"/>
                <w:szCs w:val="22"/>
              </w:rPr>
            </w:pPr>
            <w:r w:rsidRPr="00C92FA7">
              <w:rPr>
                <w:rFonts w:ascii="Arial" w:hAnsi="Arial" w:cs="Arial"/>
                <w:sz w:val="22"/>
                <w:szCs w:val="22"/>
              </w:rPr>
              <w:t xml:space="preserve">Other codes to consider would be coding for diabetic kidney disease, MAL and PRT clusters. Stakeholder comments at consultation for IND262 suggest SNOMED </w:t>
            </w:r>
            <w:r w:rsidRPr="00C92FA7">
              <w:rPr>
                <w:rFonts w:ascii="Arial" w:hAnsi="Arial" w:cs="Arial"/>
                <w:sz w:val="22"/>
                <w:szCs w:val="22"/>
              </w:rPr>
              <w:lastRenderedPageBreak/>
              <w:t>code clusters for MAL may need to be updated to include CKD A2 codes as are included in the PRT clusters.</w:t>
            </w:r>
          </w:p>
        </w:tc>
        <w:tc>
          <w:tcPr>
            <w:tcW w:w="3118" w:type="dxa"/>
          </w:tcPr>
          <w:p w14:paraId="5E2D32A5" w14:textId="77777777" w:rsidR="00735337" w:rsidRPr="00C92FA7" w:rsidRDefault="00735337" w:rsidP="00735337">
            <w:pPr>
              <w:spacing w:before="120" w:after="120"/>
              <w:rPr>
                <w:rFonts w:ascii="Arial" w:hAnsi="Arial" w:cs="Arial"/>
                <w:color w:val="000000"/>
                <w:kern w:val="24"/>
                <w:sz w:val="22"/>
                <w:szCs w:val="22"/>
              </w:rPr>
            </w:pPr>
            <w:r w:rsidRPr="00C92FA7">
              <w:rPr>
                <w:rFonts w:ascii="Arial" w:hAnsi="Arial" w:cs="Arial"/>
                <w:color w:val="000000"/>
                <w:kern w:val="24"/>
                <w:sz w:val="22"/>
                <w:szCs w:val="22"/>
              </w:rPr>
              <w:lastRenderedPageBreak/>
              <w:t xml:space="preserve">The indicator is measuring what it is designed to measure. </w:t>
            </w:r>
          </w:p>
          <w:p w14:paraId="06FCDBC1" w14:textId="01070B1B" w:rsidR="00735337" w:rsidRPr="00C92FA7" w:rsidRDefault="00735337" w:rsidP="00735337">
            <w:pPr>
              <w:spacing w:before="120" w:after="120"/>
              <w:rPr>
                <w:rFonts w:ascii="Arial" w:hAnsi="Arial" w:cs="Arial"/>
                <w:color w:val="000000"/>
                <w:kern w:val="24"/>
                <w:sz w:val="22"/>
                <w:szCs w:val="22"/>
              </w:rPr>
            </w:pPr>
            <w:r w:rsidRPr="00C92FA7">
              <w:rPr>
                <w:rFonts w:ascii="Arial" w:hAnsi="Arial" w:cs="Arial"/>
                <w:color w:val="000000"/>
                <w:kern w:val="24"/>
                <w:sz w:val="22"/>
                <w:szCs w:val="22"/>
              </w:rPr>
              <w:t xml:space="preserve">The indicator uses </w:t>
            </w:r>
            <w:r w:rsidR="00C92FA7">
              <w:rPr>
                <w:rFonts w:ascii="Arial" w:hAnsi="Arial" w:cs="Arial"/>
                <w:color w:val="000000"/>
                <w:kern w:val="24"/>
                <w:sz w:val="22"/>
                <w:szCs w:val="22"/>
              </w:rPr>
              <w:t xml:space="preserve">some </w:t>
            </w:r>
            <w:r w:rsidRPr="00C92FA7">
              <w:rPr>
                <w:rFonts w:ascii="Arial" w:hAnsi="Arial" w:cs="Arial"/>
                <w:color w:val="000000"/>
                <w:kern w:val="24"/>
                <w:sz w:val="22"/>
                <w:szCs w:val="22"/>
              </w:rPr>
              <w:t xml:space="preserve">existing </w:t>
            </w:r>
            <w:r w:rsidR="00C92FA7">
              <w:rPr>
                <w:rFonts w:ascii="Arial" w:hAnsi="Arial" w:cs="Arial"/>
                <w:color w:val="000000"/>
                <w:kern w:val="24"/>
                <w:sz w:val="22"/>
                <w:szCs w:val="22"/>
              </w:rPr>
              <w:t xml:space="preserve">clinical code clusters, </w:t>
            </w:r>
            <w:r w:rsidR="00C92FA7">
              <w:rPr>
                <w:rFonts w:ascii="Arial" w:hAnsi="Arial" w:cs="Arial"/>
                <w:color w:val="000000"/>
                <w:kern w:val="24"/>
                <w:sz w:val="22"/>
                <w:szCs w:val="22"/>
              </w:rPr>
              <w:lastRenderedPageBreak/>
              <w:t>but additional ones may need to be developed</w:t>
            </w:r>
            <w:r w:rsidRPr="00C92FA7">
              <w:rPr>
                <w:rFonts w:ascii="Arial" w:hAnsi="Arial" w:cs="Arial"/>
                <w:color w:val="000000"/>
                <w:kern w:val="24"/>
                <w:sz w:val="22"/>
                <w:szCs w:val="22"/>
              </w:rPr>
              <w:t>.</w:t>
            </w:r>
          </w:p>
        </w:tc>
      </w:tr>
    </w:tbl>
    <w:p w14:paraId="389FAB2C" w14:textId="77777777" w:rsidR="002338EB" w:rsidRDefault="002338EB" w:rsidP="002338EB">
      <w:pPr>
        <w:pStyle w:val="Paragraph"/>
      </w:pPr>
    </w:p>
    <w:p w14:paraId="6076819C" w14:textId="77777777"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7E084E8E" w14:textId="77777777" w:rsidTr="001C517D">
        <w:tc>
          <w:tcPr>
            <w:tcW w:w="5949" w:type="dxa"/>
          </w:tcPr>
          <w:p w14:paraId="3D573A94"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566F11BC"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377EA82A" w14:textId="77777777" w:rsidTr="001C517D">
        <w:tc>
          <w:tcPr>
            <w:tcW w:w="5949" w:type="dxa"/>
          </w:tcPr>
          <w:p w14:paraId="77EDE0ED" w14:textId="490915EF" w:rsidR="00C92FA7" w:rsidRPr="00C92FA7" w:rsidRDefault="00C92FA7" w:rsidP="00C92FA7">
            <w:pPr>
              <w:spacing w:before="120" w:after="120"/>
              <w:rPr>
                <w:rFonts w:ascii="Arial" w:hAnsi="Arial" w:cs="Arial"/>
                <w:sz w:val="22"/>
                <w:szCs w:val="22"/>
              </w:rPr>
            </w:pPr>
            <w:r w:rsidRPr="00C92FA7">
              <w:rPr>
                <w:rFonts w:ascii="Arial" w:hAnsi="Arial" w:cs="Arial"/>
                <w:sz w:val="22"/>
                <w:szCs w:val="22"/>
              </w:rPr>
              <w:t xml:space="preserve">Stakeholder feedback at consultation on similar indicator IND262 </w:t>
            </w:r>
            <w:r>
              <w:rPr>
                <w:rFonts w:ascii="Arial" w:hAnsi="Arial" w:cs="Arial"/>
                <w:sz w:val="22"/>
                <w:szCs w:val="22"/>
              </w:rPr>
              <w:t xml:space="preserve">in 2023 </w:t>
            </w:r>
            <w:r w:rsidRPr="00C92FA7">
              <w:rPr>
                <w:rFonts w:ascii="Arial" w:hAnsi="Arial" w:cs="Arial"/>
                <w:sz w:val="22"/>
                <w:szCs w:val="22"/>
              </w:rPr>
              <w:t xml:space="preserve">and discussion at the indicator advisory committee for IND262 suggests general practitioners are familiar with prescribing of SGLT-2 inhibitors for heart failure and type 2 diabetes and are becoming more familiar with prescribing for CKD. Comments suggest that a multidisciplinary team approach with input from specialists in secondary care may be needed. </w:t>
            </w:r>
          </w:p>
          <w:p w14:paraId="56CDEE56" w14:textId="0267D3D7" w:rsidR="00735337" w:rsidRPr="009B3583" w:rsidRDefault="00C92FA7" w:rsidP="009B3583">
            <w:pPr>
              <w:spacing w:before="120" w:after="120"/>
            </w:pPr>
            <w:r w:rsidRPr="00C92FA7">
              <w:rPr>
                <w:rFonts w:ascii="Arial" w:hAnsi="Arial" w:cs="Arial"/>
                <w:sz w:val="22"/>
                <w:szCs w:val="22"/>
              </w:rPr>
              <w:t xml:space="preserve">Some patients eligible for treatment with an SGLT-2 inhibitor may not be included in the denominator due to the complexity of the indicator, including issues with coding, frequency of ACR measurement and their last ACR result (see risk considerations in the section below). </w:t>
            </w:r>
          </w:p>
        </w:tc>
        <w:tc>
          <w:tcPr>
            <w:tcW w:w="3118" w:type="dxa"/>
          </w:tcPr>
          <w:p w14:paraId="096D0C54" w14:textId="77777777" w:rsidR="00735337" w:rsidRPr="00A47852" w:rsidRDefault="00735337" w:rsidP="00735337">
            <w:pPr>
              <w:pStyle w:val="Paragraph"/>
              <w:spacing w:before="120" w:after="120" w:line="240" w:lineRule="auto"/>
              <w:rPr>
                <w:highlight w:val="lightGray"/>
              </w:rPr>
            </w:pPr>
            <w:r w:rsidRPr="00C92FA7">
              <w:rPr>
                <w:rFonts w:cs="Arial"/>
                <w:color w:val="000000"/>
                <w:kern w:val="24"/>
                <w:sz w:val="22"/>
                <w:szCs w:val="22"/>
              </w:rPr>
              <w:t>The indicator assesses performance that is attributable to or within the control of the audience</w:t>
            </w:r>
          </w:p>
        </w:tc>
      </w:tr>
      <w:tr w:rsidR="00735337" w14:paraId="327B6AC4" w14:textId="77777777" w:rsidTr="001C517D">
        <w:tc>
          <w:tcPr>
            <w:tcW w:w="5949" w:type="dxa"/>
          </w:tcPr>
          <w:p w14:paraId="11062F33" w14:textId="553D08F0" w:rsidR="00A47852" w:rsidRPr="00C92FA7" w:rsidRDefault="00C92FA7" w:rsidP="00735337">
            <w:pPr>
              <w:pStyle w:val="Paragraph"/>
              <w:spacing w:before="120" w:after="120" w:line="240" w:lineRule="auto"/>
              <w:rPr>
                <w:rFonts w:cs="Arial"/>
                <w:sz w:val="22"/>
                <w:szCs w:val="22"/>
              </w:rPr>
            </w:pPr>
            <w:r w:rsidRPr="00C92FA7">
              <w:rPr>
                <w:rFonts w:cs="Arial"/>
                <w:sz w:val="22"/>
                <w:szCs w:val="22"/>
              </w:rPr>
              <w:t>Data can be extracted from the GPES system.</w:t>
            </w:r>
          </w:p>
          <w:p w14:paraId="354D6622" w14:textId="0E099321" w:rsidR="00735337" w:rsidRPr="00C92FA7" w:rsidRDefault="00735337" w:rsidP="00735337">
            <w:pPr>
              <w:pStyle w:val="Paragraph"/>
              <w:spacing w:before="120" w:after="120" w:line="240" w:lineRule="auto"/>
            </w:pPr>
          </w:p>
        </w:tc>
        <w:tc>
          <w:tcPr>
            <w:tcW w:w="3118" w:type="dxa"/>
          </w:tcPr>
          <w:p w14:paraId="7553FF70" w14:textId="77777777" w:rsidR="00735337" w:rsidRPr="00C92FA7" w:rsidRDefault="00735337" w:rsidP="00735337">
            <w:pPr>
              <w:pStyle w:val="Paragraph"/>
              <w:spacing w:before="120" w:after="120" w:line="240" w:lineRule="auto"/>
            </w:pPr>
            <w:r w:rsidRPr="00C92FA7">
              <w:rPr>
                <w:rFonts w:cs="Arial"/>
                <w:color w:val="000000"/>
                <w:kern w:val="24"/>
                <w:sz w:val="22"/>
                <w:szCs w:val="22"/>
              </w:rPr>
              <w:t>The results of the indicator can be used to improve practice</w:t>
            </w:r>
          </w:p>
        </w:tc>
      </w:tr>
    </w:tbl>
    <w:p w14:paraId="43BBBD71" w14:textId="77777777" w:rsidR="002338EB" w:rsidRDefault="002338EB" w:rsidP="002338EB">
      <w:pPr>
        <w:pStyle w:val="Paragraph"/>
      </w:pPr>
    </w:p>
    <w:p w14:paraId="145F6288" w14:textId="77777777"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37D45B7D" w14:textId="77777777" w:rsidTr="001C517D">
        <w:tc>
          <w:tcPr>
            <w:tcW w:w="5949" w:type="dxa"/>
          </w:tcPr>
          <w:p w14:paraId="2A53C403"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A93814D"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7809C042" w14:textId="77777777" w:rsidTr="001C517D">
        <w:tc>
          <w:tcPr>
            <w:tcW w:w="5949" w:type="dxa"/>
          </w:tcPr>
          <w:p w14:paraId="59F884EA" w14:textId="77777777" w:rsidR="00C92FA7" w:rsidRDefault="00C92FA7" w:rsidP="00C92FA7">
            <w:pPr>
              <w:pStyle w:val="Paragraph"/>
              <w:spacing w:before="120" w:after="120" w:line="240" w:lineRule="auto"/>
              <w:rPr>
                <w:rFonts w:cs="Arial"/>
                <w:color w:val="000000"/>
                <w:kern w:val="24"/>
                <w:sz w:val="22"/>
                <w:szCs w:val="22"/>
                <w:lang w:eastAsia="en-GB"/>
              </w:rPr>
            </w:pPr>
            <w:r w:rsidRPr="00C92FA7">
              <w:rPr>
                <w:rFonts w:cs="Arial"/>
                <w:color w:val="000000"/>
                <w:kern w:val="24"/>
                <w:sz w:val="22"/>
                <w:szCs w:val="22"/>
                <w:lang w:eastAsia="en-GB"/>
              </w:rPr>
              <w:t>When reviewing similar indicator IND262</w:t>
            </w:r>
            <w:r>
              <w:rPr>
                <w:rFonts w:cs="Arial"/>
                <w:color w:val="000000"/>
                <w:kern w:val="24"/>
                <w:sz w:val="22"/>
                <w:szCs w:val="22"/>
                <w:lang w:eastAsia="en-GB"/>
              </w:rPr>
              <w:t xml:space="preserve"> in 2023</w:t>
            </w:r>
            <w:r w:rsidRPr="00C92FA7">
              <w:rPr>
                <w:rFonts w:cs="Arial"/>
                <w:color w:val="000000"/>
                <w:kern w:val="24"/>
                <w:sz w:val="22"/>
                <w:szCs w:val="22"/>
                <w:lang w:eastAsia="en-GB"/>
              </w:rPr>
              <w:t xml:space="preserve">, the indicator advisory committee heard about poor coding of CKD and type 2 diabetes, including missing coding as well as inaccurate coding. Feedback from stakeholders during consultation for IND262 and members of the indicator advisory committee noted that an indicator in this area would promote correct coding. </w:t>
            </w:r>
          </w:p>
          <w:p w14:paraId="3EDBA530" w14:textId="274A4012" w:rsidR="00C92FA7" w:rsidRPr="00C92FA7" w:rsidRDefault="00C92FA7" w:rsidP="00C92FA7">
            <w:pPr>
              <w:pStyle w:val="Paragraph"/>
              <w:spacing w:before="120" w:after="120" w:line="240" w:lineRule="auto"/>
              <w:rPr>
                <w:rFonts w:cs="Arial"/>
                <w:color w:val="000000"/>
                <w:kern w:val="24"/>
                <w:sz w:val="22"/>
                <w:szCs w:val="22"/>
                <w:lang w:eastAsia="en-GB"/>
              </w:rPr>
            </w:pPr>
            <w:r w:rsidRPr="00C92FA7">
              <w:rPr>
                <w:rFonts w:cs="Arial"/>
                <w:color w:val="000000"/>
                <w:kern w:val="24"/>
                <w:sz w:val="22"/>
                <w:szCs w:val="22"/>
                <w:lang w:eastAsia="en-GB"/>
              </w:rPr>
              <w:t>The last urine ACR result is required for</w:t>
            </w:r>
            <w:r w:rsidR="00835D5F">
              <w:rPr>
                <w:rFonts w:cs="Arial"/>
                <w:color w:val="000000"/>
                <w:kern w:val="24"/>
                <w:sz w:val="22"/>
                <w:szCs w:val="22"/>
                <w:lang w:eastAsia="en-GB"/>
              </w:rPr>
              <w:t xml:space="preserve"> some of </w:t>
            </w:r>
            <w:r w:rsidRPr="00C92FA7">
              <w:rPr>
                <w:rFonts w:cs="Arial"/>
                <w:color w:val="000000"/>
                <w:kern w:val="24"/>
                <w:sz w:val="22"/>
                <w:szCs w:val="22"/>
                <w:lang w:eastAsia="en-GB"/>
              </w:rPr>
              <w:t xml:space="preserve">the denominator. Stakeholder comments at consultation for IND262 and during testing for IND262 suggest that this approach risks inaccurate inclusion and exclusion in the denominator, for example, people with transient proteinuria or people effectively treated with </w:t>
            </w:r>
            <w:r w:rsidR="00BA00D7">
              <w:rPr>
                <w:rFonts w:cs="Arial"/>
                <w:color w:val="000000"/>
                <w:kern w:val="24"/>
                <w:sz w:val="22"/>
                <w:szCs w:val="22"/>
                <w:lang w:eastAsia="en-GB"/>
              </w:rPr>
              <w:t xml:space="preserve">ARBs </w:t>
            </w:r>
            <w:r w:rsidRPr="00C92FA7">
              <w:rPr>
                <w:rFonts w:cs="Arial"/>
                <w:color w:val="000000"/>
                <w:kern w:val="24"/>
                <w:sz w:val="22"/>
                <w:szCs w:val="22"/>
                <w:lang w:eastAsia="en-GB"/>
              </w:rPr>
              <w:t>and ACE inhibitors</w:t>
            </w:r>
            <w:r>
              <w:rPr>
                <w:rFonts w:cs="Arial"/>
                <w:color w:val="000000"/>
                <w:kern w:val="24"/>
                <w:sz w:val="22"/>
                <w:szCs w:val="22"/>
                <w:lang w:eastAsia="en-GB"/>
              </w:rPr>
              <w:t>,</w:t>
            </w:r>
            <w:r w:rsidRPr="00C92FA7">
              <w:rPr>
                <w:rFonts w:cs="Arial"/>
                <w:color w:val="000000"/>
                <w:kern w:val="24"/>
                <w:sz w:val="22"/>
                <w:szCs w:val="22"/>
                <w:lang w:eastAsia="en-GB"/>
              </w:rPr>
              <w:t xml:space="preserve"> or SGLT-2 inhibitors. PCAs could be used to exclude people with transient proteinuria from the denominator. The indicator advisory committee suggested that IND262 should be accompanied by introduction of indicator IND144 on annual urine ACR tests for patients with CKD. Regular urine ACR testing would ensure </w:t>
            </w:r>
            <w:r w:rsidRPr="00C92FA7">
              <w:rPr>
                <w:rFonts w:cs="Arial"/>
                <w:color w:val="000000"/>
                <w:kern w:val="24"/>
                <w:sz w:val="22"/>
                <w:szCs w:val="22"/>
                <w:lang w:eastAsia="en-GB"/>
              </w:rPr>
              <w:lastRenderedPageBreak/>
              <w:t xml:space="preserve">identification of patients with increasing proteinuria over time. QOF data for CKD004 in 2014/15 shows an intervention rate of 77% (the percentage of patients on the CKD register whose notes have a record of a urine ACR (or protein:creatinine ratio) test in the preceding 12 months). Urine ACR is a laboratory test that may not be received directly by GP systems and may not be converted into an extractable format for the purposes of this indicator. This may impact on denominator numbers. Denominator numbers may increase if ACR testing or coding increases. </w:t>
            </w:r>
          </w:p>
          <w:p w14:paraId="0B5CF4CA" w14:textId="0EAC8EE5" w:rsidR="00C92FA7" w:rsidRPr="00C92FA7" w:rsidRDefault="00C92FA7" w:rsidP="00C92FA7">
            <w:pPr>
              <w:pStyle w:val="Paragraph"/>
              <w:spacing w:before="120" w:after="120" w:line="240" w:lineRule="auto"/>
              <w:rPr>
                <w:rFonts w:cs="Arial"/>
                <w:color w:val="000000"/>
                <w:kern w:val="24"/>
                <w:sz w:val="22"/>
                <w:szCs w:val="22"/>
                <w:lang w:eastAsia="en-GB"/>
              </w:rPr>
            </w:pPr>
            <w:r w:rsidRPr="00C92FA7">
              <w:rPr>
                <w:rFonts w:cs="Arial"/>
                <w:color w:val="000000"/>
                <w:kern w:val="24"/>
                <w:sz w:val="22"/>
                <w:szCs w:val="22"/>
                <w:lang w:eastAsia="en-GB"/>
              </w:rPr>
              <w:t>Dapagliflozin and empagliflozin are recommended by NICE as options to treat CKD. The eGFR eligible for treatment in the technology appraisals for empagliflozin and dapagliflozin is 20 to 90 ml/min/1.73 m</w:t>
            </w:r>
            <w:r w:rsidRPr="00311865">
              <w:rPr>
                <w:rFonts w:cs="Arial"/>
                <w:color w:val="000000"/>
                <w:kern w:val="24"/>
                <w:sz w:val="22"/>
                <w:szCs w:val="22"/>
                <w:vertAlign w:val="superscript"/>
                <w:lang w:eastAsia="en-GB"/>
              </w:rPr>
              <w:t>2</w:t>
            </w:r>
            <w:r w:rsidRPr="00C92FA7">
              <w:rPr>
                <w:rFonts w:cs="Arial"/>
                <w:color w:val="000000"/>
                <w:kern w:val="24"/>
                <w:sz w:val="22"/>
                <w:szCs w:val="22"/>
                <w:lang w:eastAsia="en-GB"/>
              </w:rPr>
              <w:t>. The indicator excludes people with CKD who have an eGFR between 60 and 90 ml/min/1.73 m</w:t>
            </w:r>
            <w:r w:rsidRPr="00311865">
              <w:rPr>
                <w:rFonts w:cs="Arial"/>
                <w:color w:val="000000"/>
                <w:kern w:val="24"/>
                <w:sz w:val="22"/>
                <w:szCs w:val="22"/>
                <w:vertAlign w:val="superscript"/>
                <w:lang w:eastAsia="en-GB"/>
              </w:rPr>
              <w:t>2</w:t>
            </w:r>
            <w:r w:rsidRPr="00C92FA7">
              <w:rPr>
                <w:rFonts w:cs="Arial"/>
                <w:color w:val="000000"/>
                <w:kern w:val="24"/>
                <w:sz w:val="22"/>
                <w:szCs w:val="22"/>
                <w:lang w:eastAsia="en-GB"/>
              </w:rPr>
              <w:t xml:space="preserve"> as these would not be included on the CKD register. The CKD register includes people with stage 3a to stage 5 as this is the cohort with moderate to severe CKD and are at moderate to very high risk of progression and risk of developing comorbidity in comparison with people with stage 2 CKD (eGFR 60 to 89 ml/min/1.73 m</w:t>
            </w:r>
            <w:r w:rsidRPr="00311865">
              <w:rPr>
                <w:rFonts w:cs="Arial"/>
                <w:color w:val="000000"/>
                <w:kern w:val="24"/>
                <w:sz w:val="22"/>
                <w:szCs w:val="22"/>
                <w:vertAlign w:val="superscript"/>
                <w:lang w:eastAsia="en-GB"/>
              </w:rPr>
              <w:t>2</w:t>
            </w:r>
            <w:r w:rsidRPr="00C92FA7">
              <w:rPr>
                <w:rFonts w:cs="Arial"/>
                <w:color w:val="000000"/>
                <w:kern w:val="24"/>
                <w:sz w:val="22"/>
                <w:szCs w:val="22"/>
                <w:lang w:eastAsia="en-GB"/>
              </w:rPr>
              <w:t xml:space="preserve">). The indicator specification uses an eGFR result for inclusion in the denominator. The indicator advisory committee (June 2024) were concerned that fluctuations in eGFR may impact on inclusion in the denominator and there was suggestion that more than one eGFR result should be used for inclusion in the denominator to ensure people with an acute kidney injury are not incorrectly included in the denominator. The indicator uses last eGFR for measurement purposes. One eGFR result is used as supported by NICE’s guideline on chronic kidney disease. This recommends a minimum of one measurement in a 12-month period, with repeat eGFR measurement recommended to assess progression of CKD. </w:t>
            </w:r>
            <w:r w:rsidR="00224955" w:rsidRPr="00224955">
              <w:rPr>
                <w:rFonts w:cs="Arial"/>
                <w:color w:val="000000"/>
                <w:kern w:val="24"/>
                <w:sz w:val="22"/>
                <w:szCs w:val="22"/>
                <w:lang w:eastAsia="en-GB"/>
              </w:rPr>
              <w:t>Data from CPRD (see specification section in this document) shows a measurement of eGFR in more than 90% of patients on the CKD register.</w:t>
            </w:r>
          </w:p>
          <w:p w14:paraId="08278E67" w14:textId="187DFD1C" w:rsidR="00C92FA7" w:rsidRPr="00C92FA7" w:rsidRDefault="00C92FA7" w:rsidP="00C92FA7">
            <w:pPr>
              <w:pStyle w:val="Paragraph"/>
              <w:spacing w:before="120" w:after="120" w:line="240" w:lineRule="auto"/>
              <w:rPr>
                <w:rFonts w:cs="Arial"/>
                <w:color w:val="000000"/>
                <w:kern w:val="24"/>
                <w:sz w:val="22"/>
                <w:szCs w:val="22"/>
                <w:lang w:eastAsia="en-GB"/>
              </w:rPr>
            </w:pPr>
            <w:r w:rsidRPr="00C92FA7">
              <w:rPr>
                <w:rFonts w:cs="Arial"/>
                <w:color w:val="000000"/>
                <w:kern w:val="24"/>
                <w:sz w:val="22"/>
                <w:szCs w:val="22"/>
                <w:lang w:eastAsia="en-GB"/>
              </w:rPr>
              <w:t xml:space="preserve">Recommendations in NG28, TA1075 and TA942 are for patients to be prescribed maximally tolerated doses of </w:t>
            </w:r>
            <w:r w:rsidR="00BA00D7">
              <w:rPr>
                <w:rFonts w:cs="Arial"/>
                <w:color w:val="000000"/>
                <w:kern w:val="24"/>
                <w:sz w:val="22"/>
                <w:szCs w:val="22"/>
                <w:lang w:eastAsia="en-GB"/>
              </w:rPr>
              <w:t xml:space="preserve">ARBs </w:t>
            </w:r>
            <w:r w:rsidRPr="00C92FA7">
              <w:rPr>
                <w:rFonts w:cs="Arial"/>
                <w:color w:val="000000"/>
                <w:kern w:val="24"/>
                <w:sz w:val="22"/>
                <w:szCs w:val="22"/>
                <w:lang w:eastAsia="en-GB"/>
              </w:rPr>
              <w:t xml:space="preserve">and ACE inhibitors before treatment with SGLT2 inhibitors, unless </w:t>
            </w:r>
            <w:r w:rsidR="00835D5F">
              <w:rPr>
                <w:rFonts w:cs="Arial"/>
                <w:color w:val="000000"/>
                <w:kern w:val="24"/>
                <w:sz w:val="22"/>
                <w:szCs w:val="22"/>
                <w:lang w:eastAsia="en-GB"/>
              </w:rPr>
              <w:t xml:space="preserve">these are </w:t>
            </w:r>
            <w:r w:rsidRPr="00C92FA7">
              <w:rPr>
                <w:rFonts w:cs="Arial"/>
                <w:color w:val="000000"/>
                <w:kern w:val="24"/>
                <w:sz w:val="22"/>
                <w:szCs w:val="22"/>
                <w:lang w:eastAsia="en-GB"/>
              </w:rPr>
              <w:t xml:space="preserve">contraindicated. Maximally tolerated doses are not coded and cannot be extracted from GPES. The indicator assumes patients prescribed ACE inhibitors or </w:t>
            </w:r>
            <w:r w:rsidR="00BA00D7">
              <w:rPr>
                <w:rFonts w:cs="Arial"/>
                <w:color w:val="000000"/>
                <w:kern w:val="24"/>
                <w:sz w:val="22"/>
                <w:szCs w:val="22"/>
                <w:lang w:eastAsia="en-GB"/>
              </w:rPr>
              <w:t>ARBs</w:t>
            </w:r>
            <w:r w:rsidRPr="00C92FA7">
              <w:rPr>
                <w:rFonts w:cs="Arial"/>
                <w:color w:val="000000"/>
                <w:kern w:val="24"/>
                <w:sz w:val="22"/>
                <w:szCs w:val="22"/>
                <w:lang w:eastAsia="en-GB"/>
              </w:rPr>
              <w:t xml:space="preserve"> will be titrated to the highest tolerated doses as per advice from the indicator advisory committee and expert opinion. </w:t>
            </w:r>
          </w:p>
          <w:p w14:paraId="24704144" w14:textId="4ACD2526" w:rsidR="00A47852" w:rsidRPr="00835D5F" w:rsidRDefault="00C92FA7" w:rsidP="00A47852">
            <w:pPr>
              <w:pStyle w:val="Paragraph"/>
              <w:spacing w:before="120" w:after="120" w:line="240" w:lineRule="auto"/>
              <w:rPr>
                <w:rFonts w:cs="Arial"/>
                <w:color w:val="000000"/>
                <w:kern w:val="24"/>
                <w:sz w:val="22"/>
                <w:szCs w:val="22"/>
                <w:lang w:eastAsia="en-GB"/>
              </w:rPr>
            </w:pPr>
            <w:r w:rsidRPr="00C92FA7">
              <w:rPr>
                <w:rFonts w:cs="Arial"/>
                <w:color w:val="000000"/>
                <w:kern w:val="24"/>
                <w:sz w:val="22"/>
                <w:szCs w:val="22"/>
                <w:lang w:eastAsia="en-GB"/>
              </w:rPr>
              <w:t>There are some contraindications to SGLT-2 inhibitor prescribing and a risk of diabetic ketoacidosis for patients with type 2 diabetes. Modifiable risk factors should be addressed before starting an SGLT2 inhibitor. Personalised care adjustments (PCAs) could be used if treatment is not suitable.</w:t>
            </w:r>
          </w:p>
        </w:tc>
        <w:tc>
          <w:tcPr>
            <w:tcW w:w="3118" w:type="dxa"/>
          </w:tcPr>
          <w:p w14:paraId="545C67DF" w14:textId="77777777" w:rsidR="00A47852" w:rsidRPr="00A47852" w:rsidRDefault="00A47852" w:rsidP="00A47852">
            <w:pPr>
              <w:pStyle w:val="Paragraph"/>
              <w:spacing w:before="120" w:after="120" w:line="240" w:lineRule="auto"/>
              <w:rPr>
                <w:highlight w:val="lightGray"/>
              </w:rPr>
            </w:pPr>
            <w:r w:rsidRPr="00835D5F">
              <w:rPr>
                <w:rFonts w:cs="Arial"/>
                <w:color w:val="000000"/>
                <w:kern w:val="24"/>
                <w:sz w:val="22"/>
                <w:szCs w:val="22"/>
              </w:rPr>
              <w:lastRenderedPageBreak/>
              <w:t>The indicator has an acceptable risk of unintended consequences.</w:t>
            </w:r>
          </w:p>
        </w:tc>
      </w:tr>
    </w:tbl>
    <w:p w14:paraId="4B4CBBF2" w14:textId="77777777" w:rsidR="006C3D61" w:rsidRDefault="006C3D61" w:rsidP="00192685">
      <w:pPr>
        <w:pStyle w:val="Heading1"/>
      </w:pPr>
      <w:r>
        <w:lastRenderedPageBreak/>
        <w:t>NICE indicator advisory committee recommendation</w:t>
      </w:r>
    </w:p>
    <w:p w14:paraId="0E8951B7" w14:textId="47251097" w:rsidR="0077603D" w:rsidRPr="00407F14" w:rsidRDefault="0077603D" w:rsidP="00835D5F">
      <w:pPr>
        <w:pStyle w:val="Paragraph"/>
      </w:pPr>
      <w:r w:rsidRPr="00835D5F">
        <w:t>The NICE indicator advisory committee approved this indicator for publication on the menu. They advised that</w:t>
      </w:r>
      <w:r w:rsidR="00835D5F" w:rsidRPr="00835D5F">
        <w:t xml:space="preserve"> that implementation of this indicator should be in concurrence with implementation of NICE menu indicator IND144 on annual ACR measurement.</w:t>
      </w:r>
      <w:r w:rsidR="00835D5F" w:rsidRPr="00407F14">
        <w:t xml:space="preserve"> </w:t>
      </w:r>
    </w:p>
    <w:p w14:paraId="451087A3" w14:textId="77777777" w:rsidR="00D73835" w:rsidRDefault="00D73835" w:rsidP="003605D5">
      <w:pPr>
        <w:pStyle w:val="Heading1"/>
      </w:pPr>
    </w:p>
    <w:sectPr w:rsidR="00D73835" w:rsidSect="003E4657">
      <w:headerReference w:type="default" r:id="rId13"/>
      <w:footerReference w:type="default" r:id="rId14"/>
      <w:headerReference w:type="first" r:id="rId15"/>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F9135" w14:textId="77777777" w:rsidR="007D67B7" w:rsidRDefault="007D67B7" w:rsidP="00446BEE">
      <w:r>
        <w:separator/>
      </w:r>
    </w:p>
  </w:endnote>
  <w:endnote w:type="continuationSeparator" w:id="0">
    <w:p w14:paraId="3ECB66DC" w14:textId="77777777" w:rsidR="007D67B7" w:rsidRDefault="007D67B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9709" w14:textId="669633B3" w:rsidR="00BB14CA" w:rsidRPr="008C1C95" w:rsidRDefault="00835D5F" w:rsidP="008C1C95">
    <w:pPr>
      <w:pStyle w:val="Footer"/>
      <w:jc w:val="right"/>
    </w:pPr>
    <w:r>
      <w:t>IND322</w:t>
    </w:r>
    <w:r w:rsidR="009B0E59">
      <w:t>: Validity assessment</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7BC00" w14:textId="77777777" w:rsidR="007D67B7" w:rsidRDefault="007D67B7" w:rsidP="00446BEE">
      <w:r>
        <w:separator/>
      </w:r>
    </w:p>
  </w:footnote>
  <w:footnote w:type="continuationSeparator" w:id="0">
    <w:p w14:paraId="66123A84" w14:textId="77777777" w:rsidR="007D67B7" w:rsidRDefault="007D67B7"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FAE3" w14:textId="77777777" w:rsidR="00BB14CA" w:rsidRDefault="00BB14CA" w:rsidP="003E4657">
    <w:pPr>
      <w:pStyle w:val="Header"/>
      <w:tabs>
        <w:tab w:val="left" w:pos="2768"/>
        <w:tab w:val="center" w:pos="4156"/>
      </w:tabs>
      <w:rPr>
        <w:b/>
        <w:color w:val="FF0000"/>
        <w:sz w:val="22"/>
        <w:szCs w:val="22"/>
      </w:rPr>
    </w:pPr>
  </w:p>
  <w:p w14:paraId="0B6CC43D"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6889" w14:textId="77777777" w:rsidR="003E4657" w:rsidRDefault="003E4657">
    <w:pPr>
      <w:pStyle w:val="Header"/>
    </w:pPr>
    <w:r w:rsidRPr="003E4657">
      <w:rPr>
        <w:rFonts w:ascii="Times New Roman" w:hAnsi="Times New Roman"/>
        <w:noProof/>
        <w:lang w:eastAsia="en-GB"/>
      </w:rPr>
      <w:drawing>
        <wp:inline distT="0" distB="0" distL="0" distR="0" wp14:anchorId="778C6359" wp14:editId="5FCC3BB3">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2EC3897"/>
    <w:multiLevelType w:val="hybridMultilevel"/>
    <w:tmpl w:val="4E5A624E"/>
    <w:lvl w:ilvl="0" w:tplc="49165C7E">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0F241AA6"/>
    <w:multiLevelType w:val="hybridMultilevel"/>
    <w:tmpl w:val="4216D58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C2B3603"/>
    <w:multiLevelType w:val="hybridMultilevel"/>
    <w:tmpl w:val="94F62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7D0373"/>
    <w:multiLevelType w:val="hybridMultilevel"/>
    <w:tmpl w:val="F2924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3C0114"/>
    <w:multiLevelType w:val="multilevel"/>
    <w:tmpl w:val="F4588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6" w15:restartNumberingAfterBreak="0">
    <w:nsid w:val="67B26D0B"/>
    <w:multiLevelType w:val="multilevel"/>
    <w:tmpl w:val="3D0A0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238192">
    <w:abstractNumId w:val="37"/>
  </w:num>
  <w:num w:numId="2" w16cid:durableId="233853175">
    <w:abstractNumId w:val="13"/>
  </w:num>
  <w:num w:numId="3" w16cid:durableId="1529370562">
    <w:abstractNumId w:val="30"/>
  </w:num>
  <w:num w:numId="4" w16cid:durableId="657612754">
    <w:abstractNumId w:val="14"/>
  </w:num>
  <w:num w:numId="5" w16cid:durableId="1193808871">
    <w:abstractNumId w:val="27"/>
  </w:num>
  <w:num w:numId="6" w16cid:durableId="781268177">
    <w:abstractNumId w:val="2"/>
  </w:num>
  <w:num w:numId="7" w16cid:durableId="201872007">
    <w:abstractNumId w:val="12"/>
  </w:num>
  <w:num w:numId="8" w16cid:durableId="1295333019">
    <w:abstractNumId w:val="25"/>
  </w:num>
  <w:num w:numId="9" w16cid:durableId="513112173">
    <w:abstractNumId w:val="26"/>
  </w:num>
  <w:num w:numId="10" w16cid:durableId="2049523386">
    <w:abstractNumId w:val="7"/>
  </w:num>
  <w:num w:numId="11" w16cid:durableId="1370840847">
    <w:abstractNumId w:val="9"/>
  </w:num>
  <w:num w:numId="12" w16cid:durableId="1021859395">
    <w:abstractNumId w:val="3"/>
  </w:num>
  <w:num w:numId="13" w16cid:durableId="1167093030">
    <w:abstractNumId w:val="35"/>
  </w:num>
  <w:num w:numId="14" w16cid:durableId="1771392860">
    <w:abstractNumId w:val="16"/>
  </w:num>
  <w:num w:numId="15" w16cid:durableId="1260019971">
    <w:abstractNumId w:val="11"/>
  </w:num>
  <w:num w:numId="16" w16cid:durableId="546987736">
    <w:abstractNumId w:val="22"/>
  </w:num>
  <w:num w:numId="17" w16cid:durableId="2137412053">
    <w:abstractNumId w:val="19"/>
  </w:num>
  <w:num w:numId="18" w16cid:durableId="2039037637">
    <w:abstractNumId w:val="24"/>
  </w:num>
  <w:num w:numId="19" w16cid:durableId="1939945119">
    <w:abstractNumId w:val="28"/>
  </w:num>
  <w:num w:numId="20" w16cid:durableId="1057584041">
    <w:abstractNumId w:val="8"/>
  </w:num>
  <w:num w:numId="21" w16cid:durableId="1439716324">
    <w:abstractNumId w:val="32"/>
  </w:num>
  <w:num w:numId="22" w16cid:durableId="321355733">
    <w:abstractNumId w:val="0"/>
  </w:num>
  <w:num w:numId="23" w16cid:durableId="317730129">
    <w:abstractNumId w:val="6"/>
  </w:num>
  <w:num w:numId="24" w16cid:durableId="480850916">
    <w:abstractNumId w:val="29"/>
  </w:num>
  <w:num w:numId="25" w16cid:durableId="130027160">
    <w:abstractNumId w:val="21"/>
  </w:num>
  <w:num w:numId="26" w16cid:durableId="58794158">
    <w:abstractNumId w:val="20"/>
  </w:num>
  <w:num w:numId="27" w16cid:durableId="21445449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10"/>
  </w:num>
  <w:num w:numId="29" w16cid:durableId="1249540939">
    <w:abstractNumId w:val="7"/>
  </w:num>
  <w:num w:numId="30" w16cid:durableId="1681851572">
    <w:abstractNumId w:val="15"/>
  </w:num>
  <w:num w:numId="31" w16cid:durableId="1344086205">
    <w:abstractNumId w:val="7"/>
  </w:num>
  <w:num w:numId="32" w16cid:durableId="1152327747">
    <w:abstractNumId w:val="7"/>
  </w:num>
  <w:num w:numId="33" w16cid:durableId="1533374662">
    <w:abstractNumId w:val="7"/>
  </w:num>
  <w:num w:numId="34" w16cid:durableId="827785448">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7"/>
  </w:num>
  <w:num w:numId="36" w16cid:durableId="1121265795">
    <w:abstractNumId w:val="7"/>
  </w:num>
  <w:num w:numId="37" w16cid:durableId="1261986610">
    <w:abstractNumId w:val="7"/>
  </w:num>
  <w:num w:numId="38" w16cid:durableId="413625216">
    <w:abstractNumId w:val="33"/>
  </w:num>
  <w:num w:numId="39" w16cid:durableId="1357119577">
    <w:abstractNumId w:val="23"/>
  </w:num>
  <w:num w:numId="40" w16cid:durableId="1472091102">
    <w:abstractNumId w:val="5"/>
  </w:num>
  <w:num w:numId="41" w16cid:durableId="1238249051">
    <w:abstractNumId w:val="1"/>
  </w:num>
  <w:num w:numId="42" w16cid:durableId="401492297">
    <w:abstractNumId w:val="18"/>
  </w:num>
  <w:num w:numId="43" w16cid:durableId="1706952953">
    <w:abstractNumId w:val="36"/>
  </w:num>
  <w:num w:numId="44" w16cid:durableId="1672022189">
    <w:abstractNumId w:val="34"/>
  </w:num>
  <w:num w:numId="45" w16cid:durableId="322245992">
    <w:abstractNumId w:val="31"/>
  </w:num>
  <w:num w:numId="46" w16cid:durableId="1582833725">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7B7"/>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A97"/>
    <w:rsid w:val="000C4D57"/>
    <w:rsid w:val="000C4EE8"/>
    <w:rsid w:val="000C7A5D"/>
    <w:rsid w:val="000D04B0"/>
    <w:rsid w:val="000D1487"/>
    <w:rsid w:val="000D3776"/>
    <w:rsid w:val="000E0E0D"/>
    <w:rsid w:val="000E3EE8"/>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5596"/>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4E6C"/>
    <w:rsid w:val="00196653"/>
    <w:rsid w:val="00196E29"/>
    <w:rsid w:val="001976DA"/>
    <w:rsid w:val="001A056C"/>
    <w:rsid w:val="001A23E4"/>
    <w:rsid w:val="001A281B"/>
    <w:rsid w:val="001A3011"/>
    <w:rsid w:val="001A3CA6"/>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957"/>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955"/>
    <w:rsid w:val="00224AEE"/>
    <w:rsid w:val="00225FF4"/>
    <w:rsid w:val="00230A13"/>
    <w:rsid w:val="002331C6"/>
    <w:rsid w:val="002338EB"/>
    <w:rsid w:val="00236060"/>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865"/>
    <w:rsid w:val="00311ED0"/>
    <w:rsid w:val="00311FE4"/>
    <w:rsid w:val="003132FA"/>
    <w:rsid w:val="00314933"/>
    <w:rsid w:val="0031497D"/>
    <w:rsid w:val="00316D48"/>
    <w:rsid w:val="00317416"/>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466"/>
    <w:rsid w:val="003B091A"/>
    <w:rsid w:val="003B1C33"/>
    <w:rsid w:val="003B254D"/>
    <w:rsid w:val="003B298F"/>
    <w:rsid w:val="003B2DCE"/>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2C9"/>
    <w:rsid w:val="003E1787"/>
    <w:rsid w:val="003E22FC"/>
    <w:rsid w:val="003E4657"/>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3425A"/>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159F3"/>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8F9"/>
    <w:rsid w:val="005D4C95"/>
    <w:rsid w:val="005E0AC1"/>
    <w:rsid w:val="005E2508"/>
    <w:rsid w:val="005E437F"/>
    <w:rsid w:val="005E58ED"/>
    <w:rsid w:val="005E62A7"/>
    <w:rsid w:val="005E6B30"/>
    <w:rsid w:val="005F25FD"/>
    <w:rsid w:val="005F3989"/>
    <w:rsid w:val="005F3C5C"/>
    <w:rsid w:val="005F3C69"/>
    <w:rsid w:val="005F5AFD"/>
    <w:rsid w:val="005F6BB8"/>
    <w:rsid w:val="005F6F0A"/>
    <w:rsid w:val="005F7681"/>
    <w:rsid w:val="00601291"/>
    <w:rsid w:val="0060351B"/>
    <w:rsid w:val="00607959"/>
    <w:rsid w:val="0061221F"/>
    <w:rsid w:val="00614078"/>
    <w:rsid w:val="006150A0"/>
    <w:rsid w:val="0062228B"/>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4C74"/>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1E2"/>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C1642"/>
    <w:rsid w:val="007C33F3"/>
    <w:rsid w:val="007C4561"/>
    <w:rsid w:val="007C4814"/>
    <w:rsid w:val="007C516A"/>
    <w:rsid w:val="007C6CFD"/>
    <w:rsid w:val="007D28D7"/>
    <w:rsid w:val="007D31FD"/>
    <w:rsid w:val="007D67B7"/>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1E6D"/>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35D5F"/>
    <w:rsid w:val="00840FF7"/>
    <w:rsid w:val="00841169"/>
    <w:rsid w:val="00844032"/>
    <w:rsid w:val="008443D8"/>
    <w:rsid w:val="008445E7"/>
    <w:rsid w:val="00847D3A"/>
    <w:rsid w:val="00855549"/>
    <w:rsid w:val="0086032D"/>
    <w:rsid w:val="00861B3D"/>
    <w:rsid w:val="00862879"/>
    <w:rsid w:val="00865C6A"/>
    <w:rsid w:val="00865CE7"/>
    <w:rsid w:val="0086701C"/>
    <w:rsid w:val="00867262"/>
    <w:rsid w:val="00870BDD"/>
    <w:rsid w:val="008717F1"/>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0D92"/>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9B0"/>
    <w:rsid w:val="009543A4"/>
    <w:rsid w:val="00955F17"/>
    <w:rsid w:val="009562D0"/>
    <w:rsid w:val="00957124"/>
    <w:rsid w:val="00960B9B"/>
    <w:rsid w:val="00960CC3"/>
    <w:rsid w:val="009613CD"/>
    <w:rsid w:val="0096180D"/>
    <w:rsid w:val="00961E3B"/>
    <w:rsid w:val="00962360"/>
    <w:rsid w:val="0096568F"/>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358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33A8E"/>
    <w:rsid w:val="00A4094A"/>
    <w:rsid w:val="00A426BE"/>
    <w:rsid w:val="00A436C0"/>
    <w:rsid w:val="00A47852"/>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2C2"/>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0D7"/>
    <w:rsid w:val="00BA02F9"/>
    <w:rsid w:val="00BA164A"/>
    <w:rsid w:val="00BA31F9"/>
    <w:rsid w:val="00BA3317"/>
    <w:rsid w:val="00BA3FDA"/>
    <w:rsid w:val="00BA4313"/>
    <w:rsid w:val="00BA4502"/>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1898"/>
    <w:rsid w:val="00BE1F45"/>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194"/>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26E"/>
    <w:rsid w:val="00C8156F"/>
    <w:rsid w:val="00C86682"/>
    <w:rsid w:val="00C90846"/>
    <w:rsid w:val="00C92700"/>
    <w:rsid w:val="00C92E3F"/>
    <w:rsid w:val="00C92FA7"/>
    <w:rsid w:val="00C94681"/>
    <w:rsid w:val="00CA129E"/>
    <w:rsid w:val="00CA20B5"/>
    <w:rsid w:val="00CA3562"/>
    <w:rsid w:val="00CA371D"/>
    <w:rsid w:val="00CA6681"/>
    <w:rsid w:val="00CA738F"/>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4EB8"/>
    <w:rsid w:val="00CD5502"/>
    <w:rsid w:val="00CE0526"/>
    <w:rsid w:val="00CE1ED9"/>
    <w:rsid w:val="00CE3665"/>
    <w:rsid w:val="00CE4F42"/>
    <w:rsid w:val="00CE5520"/>
    <w:rsid w:val="00CF0BB4"/>
    <w:rsid w:val="00CF1333"/>
    <w:rsid w:val="00CF1BB4"/>
    <w:rsid w:val="00CF2FF8"/>
    <w:rsid w:val="00CF3F6B"/>
    <w:rsid w:val="00CF4851"/>
    <w:rsid w:val="00CF58B7"/>
    <w:rsid w:val="00CF5DD6"/>
    <w:rsid w:val="00CF66C5"/>
    <w:rsid w:val="00D0069F"/>
    <w:rsid w:val="00D007C0"/>
    <w:rsid w:val="00D05493"/>
    <w:rsid w:val="00D103E1"/>
    <w:rsid w:val="00D11C27"/>
    <w:rsid w:val="00D13EFE"/>
    <w:rsid w:val="00D148D5"/>
    <w:rsid w:val="00D16E6A"/>
    <w:rsid w:val="00D172EA"/>
    <w:rsid w:val="00D1792B"/>
    <w:rsid w:val="00D224A1"/>
    <w:rsid w:val="00D2279D"/>
    <w:rsid w:val="00D2772A"/>
    <w:rsid w:val="00D33FC2"/>
    <w:rsid w:val="00D349ED"/>
    <w:rsid w:val="00D351C1"/>
    <w:rsid w:val="00D35CD8"/>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3F71"/>
    <w:rsid w:val="00E045EE"/>
    <w:rsid w:val="00E05904"/>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2FE5"/>
    <w:rsid w:val="00E53A58"/>
    <w:rsid w:val="00E542FA"/>
    <w:rsid w:val="00E54D26"/>
    <w:rsid w:val="00E620CC"/>
    <w:rsid w:val="00E63ADD"/>
    <w:rsid w:val="00E64120"/>
    <w:rsid w:val="00E65FA3"/>
    <w:rsid w:val="00E678CB"/>
    <w:rsid w:val="00E67D1E"/>
    <w:rsid w:val="00E707FD"/>
    <w:rsid w:val="00E710D7"/>
    <w:rsid w:val="00E71348"/>
    <w:rsid w:val="00E71657"/>
    <w:rsid w:val="00E72EDE"/>
    <w:rsid w:val="00E745BB"/>
    <w:rsid w:val="00E8010A"/>
    <w:rsid w:val="00E8229C"/>
    <w:rsid w:val="00E82800"/>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42A"/>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D5B60"/>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F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929631">
      <w:bodyDiv w:val="1"/>
      <w:marLeft w:val="0"/>
      <w:marRight w:val="0"/>
      <w:marTop w:val="0"/>
      <w:marBottom w:val="0"/>
      <w:divBdr>
        <w:top w:val="none" w:sz="0" w:space="0" w:color="auto"/>
        <w:left w:val="none" w:sz="0" w:space="0" w:color="auto"/>
        <w:bottom w:val="none" w:sz="0" w:space="0" w:color="auto"/>
        <w:right w:val="none" w:sz="0" w:space="0" w:color="auto"/>
      </w:divBdr>
      <w:divsChild>
        <w:div w:id="790562291">
          <w:marLeft w:val="0"/>
          <w:marRight w:val="0"/>
          <w:marTop w:val="0"/>
          <w:marBottom w:val="0"/>
          <w:divBdr>
            <w:top w:val="none" w:sz="0" w:space="0" w:color="auto"/>
            <w:left w:val="none" w:sz="0" w:space="0" w:color="auto"/>
            <w:bottom w:val="none" w:sz="0" w:space="0" w:color="auto"/>
            <w:right w:val="none" w:sz="0" w:space="0" w:color="auto"/>
          </w:divBdr>
          <w:divsChild>
            <w:div w:id="152705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25545765">
      <w:bodyDiv w:val="1"/>
      <w:marLeft w:val="0"/>
      <w:marRight w:val="0"/>
      <w:marTop w:val="0"/>
      <w:marBottom w:val="0"/>
      <w:divBdr>
        <w:top w:val="none" w:sz="0" w:space="0" w:color="auto"/>
        <w:left w:val="none" w:sz="0" w:space="0" w:color="auto"/>
        <w:bottom w:val="none" w:sz="0" w:space="0" w:color="auto"/>
        <w:right w:val="none" w:sz="0" w:space="0" w:color="auto"/>
      </w:divBdr>
      <w:divsChild>
        <w:div w:id="1051996302">
          <w:marLeft w:val="0"/>
          <w:marRight w:val="0"/>
          <w:marTop w:val="0"/>
          <w:marBottom w:val="0"/>
          <w:divBdr>
            <w:top w:val="none" w:sz="0" w:space="0" w:color="auto"/>
            <w:left w:val="none" w:sz="0" w:space="0" w:color="auto"/>
            <w:bottom w:val="none" w:sz="0" w:space="0" w:color="auto"/>
            <w:right w:val="none" w:sz="0" w:space="0" w:color="auto"/>
          </w:divBdr>
          <w:divsChild>
            <w:div w:id="3193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535381458">
      <w:bodyDiv w:val="1"/>
      <w:marLeft w:val="0"/>
      <w:marRight w:val="0"/>
      <w:marTop w:val="0"/>
      <w:marBottom w:val="0"/>
      <w:divBdr>
        <w:top w:val="none" w:sz="0" w:space="0" w:color="auto"/>
        <w:left w:val="none" w:sz="0" w:space="0" w:color="auto"/>
        <w:bottom w:val="none" w:sz="0" w:space="0" w:color="auto"/>
        <w:right w:val="none" w:sz="0" w:space="0" w:color="auto"/>
      </w:divBdr>
      <w:divsChild>
        <w:div w:id="855341300">
          <w:marLeft w:val="0"/>
          <w:marRight w:val="0"/>
          <w:marTop w:val="0"/>
          <w:marBottom w:val="0"/>
          <w:divBdr>
            <w:top w:val="none" w:sz="0" w:space="0" w:color="auto"/>
            <w:left w:val="none" w:sz="0" w:space="0" w:color="auto"/>
            <w:bottom w:val="none" w:sz="0" w:space="0" w:color="auto"/>
            <w:right w:val="none" w:sz="0" w:space="0" w:color="auto"/>
          </w:divBdr>
          <w:divsChild>
            <w:div w:id="144796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publications/statistical/gp-contract-servic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gital.nhs.uk/data-and-information/publications/statistical/quality-and-outcomes-framework-achievement-prevalence-and-exceptions-data" TargetMode="External"/><Relationship Id="rId12" Type="http://schemas.openxmlformats.org/officeDocument/2006/relationships/hyperlink" Target="https://doi.org/10.48329/yxmq-vk8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ng28"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nice.org.uk/guidance/ta942" TargetMode="External"/><Relationship Id="rId4" Type="http://schemas.openxmlformats.org/officeDocument/2006/relationships/webSettings" Target="webSettings.xml"/><Relationship Id="rId9" Type="http://schemas.openxmlformats.org/officeDocument/2006/relationships/hyperlink" Target="https://www.nice.org.uk/guidance/ta1075"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2038</Words>
  <Characters>11659</Characters>
  <Application>Microsoft Office Word</Application>
  <DocSecurity>0</DocSecurity>
  <Lines>342</Lines>
  <Paragraphs>124</Paragraphs>
  <ScaleCrop>false</ScaleCrop>
  <Company/>
  <LinksUpToDate>false</LinksUpToDate>
  <CharactersWithSpaces>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2025-10-30T10:41:00Z</dcterms:created>
  <dcterms:modified xsi:type="dcterms:W3CDTF">2025-11-05T10:51:00Z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2025-10-30T10:42:11Z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8081e707-c854-4420-a0fd-d7b1db498fc9</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