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9B13" w14:textId="1857634A" w:rsidR="00E27C94" w:rsidRDefault="00E27C94" w:rsidP="002E482A">
      <w:pPr>
        <w:pStyle w:val="Title"/>
      </w:pPr>
      <w:r>
        <w:t>Indicator development programme</w:t>
      </w:r>
      <w:r w:rsidR="002E482A">
        <w:tab/>
      </w:r>
    </w:p>
    <w:p w14:paraId="5C05FA6A" w14:textId="5341F0D1" w:rsidR="002E482A" w:rsidRDefault="002E482A" w:rsidP="002E482A">
      <w:pPr>
        <w:pStyle w:val="Title"/>
      </w:pPr>
      <w:r>
        <w:t>Consultation report</w:t>
      </w:r>
      <w:r w:rsidR="00A90CD8">
        <w:t xml:space="preserve">: </w:t>
      </w:r>
      <w:r w:rsidR="0083416E">
        <w:t>Infections</w:t>
      </w:r>
    </w:p>
    <w:p w14:paraId="332315A0" w14:textId="77777777" w:rsidR="002E482A" w:rsidRDefault="002E482A" w:rsidP="002E482A">
      <w:pPr>
        <w:pStyle w:val="Paragraph"/>
      </w:pPr>
    </w:p>
    <w:p w14:paraId="6D16CB90" w14:textId="42584947" w:rsidR="002E482A" w:rsidRDefault="002E482A" w:rsidP="002E482A">
      <w:pPr>
        <w:pStyle w:val="Paragraph"/>
      </w:pPr>
      <w:r>
        <w:t xml:space="preserve">Consultation period: </w:t>
      </w:r>
      <w:r w:rsidR="00D77466">
        <w:t>03</w:t>
      </w:r>
      <w:r>
        <w:t xml:space="preserve"> </w:t>
      </w:r>
      <w:r w:rsidR="00D77466">
        <w:t>July</w:t>
      </w:r>
      <w:r>
        <w:t xml:space="preserve"> – </w:t>
      </w:r>
      <w:r w:rsidR="008F4476">
        <w:t>31 July</w:t>
      </w:r>
      <w:r>
        <w:t xml:space="preserve"> 20</w:t>
      </w:r>
      <w:r w:rsidR="008F4476">
        <w:t>25</w:t>
      </w:r>
    </w:p>
    <w:p w14:paraId="17A49DB5" w14:textId="77777777" w:rsidR="00BC391F" w:rsidRDefault="00BC391F" w:rsidP="00BC391F">
      <w:pPr>
        <w:pStyle w:val="Heading1"/>
      </w:pPr>
      <w:r>
        <w:t>Introduction</w:t>
      </w:r>
    </w:p>
    <w:p w14:paraId="3C9B6D64" w14:textId="2142E12D" w:rsidR="00594C3A" w:rsidRDefault="00BC391F" w:rsidP="00BC391F">
      <w:pPr>
        <w:pStyle w:val="Paragraph"/>
      </w:pPr>
      <w:r>
        <w:t>This paper outlines stakeholder responses from a consultation in July 2025 on the following draft indicators that are potentially suitable for use in the QOF:</w:t>
      </w:r>
    </w:p>
    <w:p w14:paraId="2339C85E" w14:textId="3B659AAE" w:rsidR="002E482A" w:rsidRDefault="002E482A" w:rsidP="002E482A">
      <w:pPr>
        <w:pStyle w:val="Heading1"/>
      </w:pPr>
    </w:p>
    <w:tbl>
      <w:tblPr>
        <w:tblStyle w:val="TableGridLight"/>
        <w:tblW w:w="8500" w:type="dxa"/>
        <w:tblLook w:val="04A0" w:firstRow="1" w:lastRow="0" w:firstColumn="1" w:lastColumn="0" w:noHBand="0" w:noVBand="1"/>
      </w:tblPr>
      <w:tblGrid>
        <w:gridCol w:w="1207"/>
        <w:gridCol w:w="3362"/>
        <w:gridCol w:w="3931"/>
      </w:tblGrid>
      <w:tr w:rsidR="002E482A" w14:paraId="597465C8" w14:textId="77777777" w:rsidTr="004425E7">
        <w:tc>
          <w:tcPr>
            <w:tcW w:w="1207" w:type="dxa"/>
          </w:tcPr>
          <w:p w14:paraId="68E0C9EA" w14:textId="78A4363A" w:rsidR="002E482A" w:rsidRDefault="002E482A" w:rsidP="002E482A">
            <w:pPr>
              <w:pStyle w:val="Tableheading"/>
            </w:pPr>
            <w:r>
              <w:t>ID</w:t>
            </w:r>
          </w:p>
        </w:tc>
        <w:tc>
          <w:tcPr>
            <w:tcW w:w="3362" w:type="dxa"/>
          </w:tcPr>
          <w:p w14:paraId="12AF0AE6" w14:textId="0C4A53EA" w:rsidR="002E482A" w:rsidRDefault="002E482A" w:rsidP="002E482A">
            <w:pPr>
              <w:pStyle w:val="Tableheading"/>
            </w:pPr>
            <w:r>
              <w:t>Indicator</w:t>
            </w:r>
          </w:p>
        </w:tc>
        <w:tc>
          <w:tcPr>
            <w:tcW w:w="3931" w:type="dxa"/>
          </w:tcPr>
          <w:p w14:paraId="6041DAD1" w14:textId="357E2F6F" w:rsidR="002E482A" w:rsidRDefault="002E482A" w:rsidP="002E482A">
            <w:pPr>
              <w:pStyle w:val="Tableheading"/>
            </w:pPr>
            <w:r>
              <w:t xml:space="preserve">Evidence source </w:t>
            </w:r>
          </w:p>
        </w:tc>
      </w:tr>
      <w:tr w:rsidR="002E482A" w14:paraId="39C8BC32" w14:textId="77777777" w:rsidTr="004425E7">
        <w:tc>
          <w:tcPr>
            <w:tcW w:w="1207" w:type="dxa"/>
          </w:tcPr>
          <w:p w14:paraId="61718C09" w14:textId="4366D4BC" w:rsidR="002E482A" w:rsidRDefault="00EE6E62" w:rsidP="002E482A">
            <w:pPr>
              <w:pStyle w:val="Tabletext"/>
            </w:pPr>
            <w:r>
              <w:t>GID-IND103</w:t>
            </w:r>
            <w:r w:rsidR="00BC391F">
              <w:t>30</w:t>
            </w:r>
          </w:p>
        </w:tc>
        <w:tc>
          <w:tcPr>
            <w:tcW w:w="3362" w:type="dxa"/>
          </w:tcPr>
          <w:p w14:paraId="5C162210" w14:textId="233B2AC6" w:rsidR="002E482A" w:rsidRDefault="00B52E40" w:rsidP="002E482A">
            <w:pPr>
              <w:pStyle w:val="Tabletext"/>
            </w:pPr>
            <w:r w:rsidRPr="00EB22A0">
              <w:t>The percentage of recorded sore throat, otitis media, sinusitis</w:t>
            </w:r>
            <w:r>
              <w:t xml:space="preserve"> or</w:t>
            </w:r>
            <w:r w:rsidRPr="00EB22A0">
              <w:t xml:space="preserve"> cough in the preceding 12 months resulting in the provision of self-care advice only or back up delayed prescription for antibiotics.</w:t>
            </w:r>
          </w:p>
        </w:tc>
        <w:tc>
          <w:tcPr>
            <w:tcW w:w="3931" w:type="dxa"/>
          </w:tcPr>
          <w:p w14:paraId="2A129D6F" w14:textId="77777777" w:rsidR="00E00455" w:rsidRPr="00E00455" w:rsidRDefault="00E00455" w:rsidP="00E00455">
            <w:pPr>
              <w:pStyle w:val="Tabletext"/>
            </w:pPr>
            <w:hyperlink r:id="rId8" w:history="1">
              <w:r w:rsidRPr="00E00455">
                <w:rPr>
                  <w:rStyle w:val="Hyperlink"/>
                </w:rPr>
                <w:t>NICE’s guideline on sore throat</w:t>
              </w:r>
            </w:hyperlink>
            <w:r w:rsidRPr="00E00455">
              <w:t xml:space="preserve"> (2018) recommendations 1.1.1 and 1.1.12. </w:t>
            </w:r>
          </w:p>
          <w:p w14:paraId="272E6D30" w14:textId="77777777" w:rsidR="00E00455" w:rsidRPr="00E00455" w:rsidRDefault="00E00455" w:rsidP="00E00455">
            <w:pPr>
              <w:pStyle w:val="Tabletext"/>
            </w:pPr>
            <w:hyperlink r:id="rId9" w:history="1">
              <w:r w:rsidRPr="00E00455">
                <w:rPr>
                  <w:rStyle w:val="Hyperlink"/>
                </w:rPr>
                <w:t>NICE’s guideline on otitis media</w:t>
              </w:r>
            </w:hyperlink>
            <w:r w:rsidRPr="00E00455">
              <w:t xml:space="preserve"> (2018) recommendations 1.1.1 and 1.1.13.</w:t>
            </w:r>
          </w:p>
          <w:p w14:paraId="3B1F9751" w14:textId="77777777" w:rsidR="00E00455" w:rsidRPr="00E00455" w:rsidRDefault="00E00455" w:rsidP="00E00455">
            <w:pPr>
              <w:pStyle w:val="Tabletext"/>
            </w:pPr>
            <w:hyperlink r:id="rId10" w:history="1">
              <w:r w:rsidRPr="00E00455">
                <w:rPr>
                  <w:rStyle w:val="Hyperlink"/>
                </w:rPr>
                <w:t>NICE’s guideline on sinusitis</w:t>
              </w:r>
            </w:hyperlink>
            <w:r w:rsidRPr="00E00455">
              <w:t xml:space="preserve"> (2017) recommendations 1.1.1 and 1.1.8.</w:t>
            </w:r>
          </w:p>
          <w:p w14:paraId="5825B620" w14:textId="63E06958" w:rsidR="002E482A" w:rsidRPr="00E00455" w:rsidRDefault="00E00455" w:rsidP="002E482A">
            <w:pPr>
              <w:pStyle w:val="Tabletext"/>
              <w:rPr>
                <w:highlight w:val="lightGray"/>
              </w:rPr>
            </w:pPr>
            <w:hyperlink r:id="rId11" w:history="1">
              <w:r w:rsidRPr="00E00455">
                <w:rPr>
                  <w:rStyle w:val="Hyperlink"/>
                </w:rPr>
                <w:t>NICE’s guideline on cough</w:t>
              </w:r>
            </w:hyperlink>
            <w:r w:rsidRPr="00E00455">
              <w:t xml:space="preserve"> (2019) recommendations 1.1.8 and 1.1.14.</w:t>
            </w:r>
          </w:p>
        </w:tc>
      </w:tr>
      <w:tr w:rsidR="002E482A" w14:paraId="634F290E" w14:textId="77777777" w:rsidTr="004425E7">
        <w:tc>
          <w:tcPr>
            <w:tcW w:w="1207" w:type="dxa"/>
          </w:tcPr>
          <w:p w14:paraId="64E8AA72" w14:textId="55B16372" w:rsidR="002E482A" w:rsidRDefault="00CC318B" w:rsidP="002E482A">
            <w:pPr>
              <w:pStyle w:val="Tabletext"/>
            </w:pPr>
            <w:r>
              <w:t>GID-IND103</w:t>
            </w:r>
            <w:r w:rsidR="00BC391F">
              <w:t>31</w:t>
            </w:r>
          </w:p>
        </w:tc>
        <w:tc>
          <w:tcPr>
            <w:tcW w:w="3362" w:type="dxa"/>
          </w:tcPr>
          <w:p w14:paraId="4CDFC0EA" w14:textId="5F85F907" w:rsidR="002E482A" w:rsidRDefault="003D7E4F" w:rsidP="002E482A">
            <w:pPr>
              <w:pStyle w:val="Tabletext"/>
            </w:pPr>
            <w:r w:rsidRPr="004402EF">
              <w:t>The percentage of diagnoses of sore throat in the preceding 12 months with a recorded FeverPain or Centor score.</w:t>
            </w:r>
          </w:p>
        </w:tc>
        <w:tc>
          <w:tcPr>
            <w:tcW w:w="3931" w:type="dxa"/>
          </w:tcPr>
          <w:p w14:paraId="3EF8A142" w14:textId="5ED6F727" w:rsidR="002E482A" w:rsidRDefault="00B273D5" w:rsidP="002E482A">
            <w:pPr>
              <w:pStyle w:val="Tabletext"/>
            </w:pPr>
            <w:hyperlink r:id="rId12" w:history="1">
              <w:r w:rsidRPr="00B273D5">
                <w:rPr>
                  <w:rStyle w:val="Hyperlink"/>
                </w:rPr>
                <w:t>NICE’s guideline on sore throat</w:t>
              </w:r>
            </w:hyperlink>
            <w:r w:rsidRPr="00B273D5">
              <w:t xml:space="preserve"> (2018) recommendation 1.1.3. </w:t>
            </w:r>
          </w:p>
        </w:tc>
      </w:tr>
    </w:tbl>
    <w:p w14:paraId="33AEDD31" w14:textId="56687B50" w:rsidR="002E482A" w:rsidRDefault="002E482A" w:rsidP="002E482A">
      <w:pPr>
        <w:pStyle w:val="Paragraph"/>
      </w:pPr>
    </w:p>
    <w:p w14:paraId="014F9617" w14:textId="653DA4A7" w:rsidR="002E482A" w:rsidRDefault="002E482A" w:rsidP="002E482A">
      <w:pPr>
        <w:pStyle w:val="Paragraph"/>
      </w:pPr>
    </w:p>
    <w:p w14:paraId="08E292A2" w14:textId="7720085F" w:rsidR="002E482A" w:rsidRDefault="002E482A" w:rsidP="002E482A">
      <w:pPr>
        <w:pStyle w:val="Paragraph"/>
      </w:pPr>
    </w:p>
    <w:p w14:paraId="22EE1535" w14:textId="02AA9377" w:rsidR="002E482A" w:rsidRDefault="002E482A">
      <w:pPr>
        <w:rPr>
          <w:rFonts w:ascii="Arial" w:hAnsi="Arial"/>
          <w:lang w:eastAsia="en-US"/>
        </w:rPr>
      </w:pPr>
      <w:r>
        <w:br w:type="page"/>
      </w:r>
    </w:p>
    <w:p w14:paraId="72F07AA9" w14:textId="77777777" w:rsidR="00B24057" w:rsidRPr="00B24057" w:rsidRDefault="00B24057" w:rsidP="00CE6134">
      <w:pPr>
        <w:pStyle w:val="Heading1"/>
      </w:pPr>
      <w:bookmarkStart w:id="0" w:name="_Toc544493081"/>
      <w:bookmarkStart w:id="1" w:name="_Toc201916048"/>
      <w:bookmarkStart w:id="2" w:name="_Toc206582781"/>
      <w:r w:rsidRPr="00B24057">
        <w:lastRenderedPageBreak/>
        <w:t>Infections: delayed antibiotic prescribing</w:t>
      </w:r>
      <w:bookmarkEnd w:id="0"/>
      <w:bookmarkEnd w:id="1"/>
      <w:bookmarkEnd w:id="2"/>
    </w:p>
    <w:p w14:paraId="12B867DB" w14:textId="29625A5B" w:rsidR="003E0E13" w:rsidRDefault="003E0E13" w:rsidP="003E0E13">
      <w:pPr>
        <w:pStyle w:val="Paragraph"/>
      </w:pPr>
      <w:r>
        <w:t>GID-IND103</w:t>
      </w:r>
      <w:r w:rsidR="00BC391F">
        <w:t>30</w:t>
      </w:r>
      <w:r>
        <w:t xml:space="preserve">: </w:t>
      </w:r>
      <w:r w:rsidRPr="00EB22A0">
        <w:t>The percentage of recorded sore throat, otitis media, sinusitis</w:t>
      </w:r>
      <w:r>
        <w:t xml:space="preserve"> or</w:t>
      </w:r>
      <w:r w:rsidRPr="00EB22A0">
        <w:t xml:space="preserve"> cough in the preceding 12 months resulting in the provision of self-care advice only or back up delayed prescription for antibiotics.</w:t>
      </w:r>
    </w:p>
    <w:p w14:paraId="292CBE4D" w14:textId="49723EBC" w:rsidR="006647F6" w:rsidRDefault="006647F6" w:rsidP="003E0E13">
      <w:pPr>
        <w:pStyle w:val="Paragraph"/>
      </w:pPr>
      <w:r>
        <w:t>Note: people who are immunosuppressed were included as an exclusion.</w:t>
      </w:r>
    </w:p>
    <w:p w14:paraId="6FCD5BA5" w14:textId="77777777" w:rsidR="00DE4BAF" w:rsidRDefault="00DE4BAF" w:rsidP="00DE4BAF">
      <w:pPr>
        <w:pStyle w:val="Heading2"/>
      </w:pPr>
      <w:r>
        <w:t>Rationale</w:t>
      </w:r>
    </w:p>
    <w:p w14:paraId="655687D2" w14:textId="77777777" w:rsidR="009C1006" w:rsidRDefault="009C1006" w:rsidP="004C3087">
      <w:pPr>
        <w:pStyle w:val="ParagraphNumbered"/>
      </w:pPr>
      <w:r w:rsidRPr="009C1006">
        <w:t xml:space="preserve">Providing ‘self-care advice only’ or ‘back-up (delayed)’ prescriptions can help to prevent overuse of antibiotics, reduce antibiotic resistance and result in fewer side effects for patients from antibiotics. Sore throat, otitis media, sinusitis or cough are all conditions in which most people would not benefit from provision of an antibiotic. </w:t>
      </w:r>
    </w:p>
    <w:p w14:paraId="5586D5E7" w14:textId="77777777" w:rsidR="00DE4BAF" w:rsidRDefault="00DE4BAF" w:rsidP="00DE4BAF">
      <w:pPr>
        <w:pStyle w:val="Heading2"/>
      </w:pPr>
      <w:r>
        <w:t>Summary of consultation comments</w:t>
      </w:r>
    </w:p>
    <w:p w14:paraId="0B5EED29" w14:textId="5E57EFC4" w:rsidR="001264BE" w:rsidRDefault="00A34727" w:rsidP="00B43457">
      <w:pPr>
        <w:pStyle w:val="ParagraphNumbered"/>
      </w:pPr>
      <w:r w:rsidRPr="00A34727">
        <w:t>Stakeholders noted that individuals with chronic conditions</w:t>
      </w:r>
      <w:r>
        <w:t xml:space="preserve">, </w:t>
      </w:r>
      <w:r w:rsidRPr="00A34727">
        <w:t>particularly respiratory illnesses</w:t>
      </w:r>
      <w:r>
        <w:t xml:space="preserve">, </w:t>
      </w:r>
      <w:r w:rsidRPr="00A34727">
        <w:t>often come from socioeconomically disadvantaged backgrounds, which may influence their health literacy.</w:t>
      </w:r>
      <w:r w:rsidR="002E55DE">
        <w:t xml:space="preserve"> C</w:t>
      </w:r>
      <w:r w:rsidRPr="00A34727">
        <w:t>ultural</w:t>
      </w:r>
      <w:r w:rsidR="002E55DE">
        <w:t xml:space="preserve"> differences</w:t>
      </w:r>
      <w:r w:rsidRPr="00A34727">
        <w:t xml:space="preserve"> may </w:t>
      </w:r>
      <w:r w:rsidR="00E03E8A">
        <w:t xml:space="preserve">also </w:t>
      </w:r>
      <w:r w:rsidRPr="00A34727">
        <w:t xml:space="preserve">play a significant role in shaping patient decision-making. These populations </w:t>
      </w:r>
      <w:r w:rsidR="00DC4FE8">
        <w:t xml:space="preserve">could </w:t>
      </w:r>
      <w:r w:rsidRPr="00A34727">
        <w:t>require more frequent clinical reviews,</w:t>
      </w:r>
      <w:r w:rsidR="00DC4FE8">
        <w:t xml:space="preserve"> </w:t>
      </w:r>
      <w:r w:rsidRPr="00A34727">
        <w:t>tailored communication</w:t>
      </w:r>
      <w:r w:rsidR="00EE13A2">
        <w:t>,</w:t>
      </w:r>
      <w:r w:rsidRPr="00A34727">
        <w:t xml:space="preserve"> and support strategies.</w:t>
      </w:r>
    </w:p>
    <w:p w14:paraId="7C1D1BD2" w14:textId="62E88E8A" w:rsidR="00153702" w:rsidRDefault="00E03E8A" w:rsidP="00B43457">
      <w:pPr>
        <w:pStyle w:val="ParagraphNumbered"/>
      </w:pPr>
      <w:r>
        <w:t>One stakeholder supported use in an incentivised framework to support</w:t>
      </w:r>
      <w:r w:rsidR="00F1724A" w:rsidRPr="00F1724A">
        <w:t xml:space="preserve"> accurate and consistent coding, particularly across different care settings</w:t>
      </w:r>
      <w:r w:rsidR="008D4632">
        <w:t>, as</w:t>
      </w:r>
      <w:r w:rsidR="00F1724A" w:rsidRPr="00F1724A">
        <w:t xml:space="preserve"> </w:t>
      </w:r>
      <w:r w:rsidR="008D4632">
        <w:t>p</w:t>
      </w:r>
      <w:r w:rsidR="00F1724A" w:rsidRPr="00F1724A">
        <w:t>atients often seek prescriptions through multiple channels</w:t>
      </w:r>
      <w:r w:rsidR="008D4632">
        <w:t xml:space="preserve"> (</w:t>
      </w:r>
      <w:r w:rsidR="00F1724A" w:rsidRPr="00F1724A">
        <w:t>such as primary care, emergency departments, and urgent unscheduled care</w:t>
      </w:r>
      <w:r w:rsidR="008D4632">
        <w:t>)</w:t>
      </w:r>
      <w:r>
        <w:t xml:space="preserve">. However, another did not </w:t>
      </w:r>
      <w:r w:rsidR="000A56A9">
        <w:t>agree and raised concerns around potential risks to patients related to delay of appropriate treatment.</w:t>
      </w:r>
      <w:r>
        <w:t xml:space="preserve"> </w:t>
      </w:r>
    </w:p>
    <w:p w14:paraId="7ACA1EB3" w14:textId="1402D003" w:rsidR="00E03E8A" w:rsidRDefault="00E03E8A" w:rsidP="00B43457">
      <w:pPr>
        <w:pStyle w:val="ParagraphNumbered"/>
      </w:pPr>
      <w:r>
        <w:t xml:space="preserve">It was questioned whether the data extraction would include prescriptions issued by non-GP providers. </w:t>
      </w:r>
    </w:p>
    <w:p w14:paraId="189064B2" w14:textId="22E3D540" w:rsidR="006647F6" w:rsidRDefault="006647F6" w:rsidP="00B43457">
      <w:pPr>
        <w:pStyle w:val="ParagraphNumbered"/>
      </w:pPr>
      <w:r>
        <w:t>Stakeholders asked for clarity on the definition of people who are immunosuppressed.</w:t>
      </w:r>
    </w:p>
    <w:p w14:paraId="75A94D3C" w14:textId="77777777" w:rsidR="00DE4BAF" w:rsidRDefault="00DE4BAF" w:rsidP="00DE4BAF">
      <w:pPr>
        <w:pStyle w:val="Heading2"/>
      </w:pPr>
      <w:r>
        <w:lastRenderedPageBreak/>
        <w:t>Specific question/s included at consultation</w:t>
      </w:r>
    </w:p>
    <w:p w14:paraId="19D074CA" w14:textId="375071F7" w:rsidR="00DE4BAF" w:rsidRDefault="00E03E8A" w:rsidP="00EF3286">
      <w:pPr>
        <w:pStyle w:val="ParagraphNumbered"/>
      </w:pPr>
      <w:r>
        <w:t>Stakeholders were asked w</w:t>
      </w:r>
      <w:r w:rsidR="00153702" w:rsidRPr="00153702">
        <w:t xml:space="preserve">hat practical challenges </w:t>
      </w:r>
      <w:r w:rsidRPr="00153702">
        <w:t>clinicians might</w:t>
      </w:r>
      <w:r w:rsidR="00153702" w:rsidRPr="00153702">
        <w:t xml:space="preserve"> face in integrating this indicator into routine practice</w:t>
      </w:r>
      <w:r>
        <w:t xml:space="preserve">. </w:t>
      </w:r>
      <w:r w:rsidR="00153702" w:rsidRPr="00153702">
        <w:t xml:space="preserve">A stakeholder </w:t>
      </w:r>
      <w:r w:rsidR="00F1724A">
        <w:t>highlighted</w:t>
      </w:r>
      <w:r w:rsidR="00153702" w:rsidRPr="00153702">
        <w:t xml:space="preserve"> that artificial intelligence scribes currently lack the capability to generate ‘read codes</w:t>
      </w:r>
      <w:r w:rsidR="00740AC7" w:rsidRPr="00153702">
        <w:t>,’</w:t>
      </w:r>
      <w:r w:rsidR="00153702" w:rsidRPr="00153702">
        <w:t xml:space="preserve"> requiring clinicians to manually enter self-care codes. </w:t>
      </w:r>
      <w:r w:rsidR="000A56A9">
        <w:t xml:space="preserve">Stakeholders highlighted that </w:t>
      </w:r>
      <w:r w:rsidR="00153702" w:rsidRPr="00153702">
        <w:t>forward-dat</w:t>
      </w:r>
      <w:r w:rsidR="000A56A9">
        <w:t xml:space="preserve">ing prescriptions is difficult in practice and </w:t>
      </w:r>
      <w:r w:rsidR="00153702" w:rsidRPr="00153702">
        <w:t>patients may still obtain them immediately from pharmacies.</w:t>
      </w:r>
    </w:p>
    <w:p w14:paraId="4D6A72B8" w14:textId="77777777" w:rsidR="00DE4BAF" w:rsidRDefault="00DE4BAF" w:rsidP="00DE4BAF">
      <w:pPr>
        <w:pStyle w:val="Heading2"/>
      </w:pPr>
      <w:r>
        <w:t>Considerations for the advisory committee</w:t>
      </w:r>
    </w:p>
    <w:p w14:paraId="07BFC933" w14:textId="51F9E71D" w:rsidR="00DE4BAF" w:rsidRDefault="00DE4BAF" w:rsidP="004C3087">
      <w:pPr>
        <w:pStyle w:val="ParagraphNumbered"/>
      </w:pPr>
      <w:r>
        <w:t>The committee is asked to consider</w:t>
      </w:r>
      <w:r w:rsidR="006647F6">
        <w:t xml:space="preserve"> </w:t>
      </w:r>
      <w:r w:rsidR="000A56A9">
        <w:t>stakeholder concerns around the practicality of forward-dating prescriptions and the potential risk of delaying appropriate treatment</w:t>
      </w:r>
      <w:r w:rsidR="00740AC7">
        <w:t xml:space="preserve">. </w:t>
      </w:r>
    </w:p>
    <w:p w14:paraId="25D7B28E" w14:textId="5EE9B086" w:rsidR="00DE4BAF" w:rsidRDefault="00DE4BAF">
      <w:pPr>
        <w:rPr>
          <w:rFonts w:ascii="Arial" w:hAnsi="Arial"/>
          <w:lang w:eastAsia="en-US"/>
        </w:rPr>
      </w:pPr>
      <w:r>
        <w:br w:type="page"/>
      </w:r>
    </w:p>
    <w:p w14:paraId="59109244" w14:textId="77777777" w:rsidR="0090617D" w:rsidRPr="0090617D" w:rsidRDefault="0090617D" w:rsidP="00CE6134">
      <w:pPr>
        <w:pStyle w:val="Heading1"/>
      </w:pPr>
      <w:bookmarkStart w:id="3" w:name="_Toc1146290237"/>
      <w:bookmarkStart w:id="4" w:name="_Toc201916049"/>
      <w:bookmarkStart w:id="5" w:name="_Toc206582782"/>
      <w:bookmarkStart w:id="6" w:name="_Hlk118099340"/>
      <w:r w:rsidRPr="0090617D">
        <w:lastRenderedPageBreak/>
        <w:t>Infections: scoring tools for sore throat</w:t>
      </w:r>
      <w:bookmarkEnd w:id="3"/>
      <w:bookmarkEnd w:id="4"/>
      <w:bookmarkEnd w:id="5"/>
    </w:p>
    <w:p w14:paraId="41BD0A55" w14:textId="7CDAAFFD" w:rsidR="00352706" w:rsidRDefault="00633471" w:rsidP="00633471">
      <w:pPr>
        <w:pStyle w:val="Paragraph"/>
        <w:spacing w:before="120" w:after="120"/>
      </w:pPr>
      <w:r>
        <w:t>GID-IND103</w:t>
      </w:r>
      <w:r w:rsidR="00BC391F">
        <w:t>31</w:t>
      </w:r>
      <w:r>
        <w:t xml:space="preserve">: </w:t>
      </w:r>
      <w:r w:rsidRPr="004402EF">
        <w:t>The percentage of diagnoses of sore throat in the preceding 12 months with a recorded FeverPain or Centor score.</w:t>
      </w:r>
    </w:p>
    <w:p w14:paraId="3877178C" w14:textId="7D3669D6" w:rsidR="006647F6" w:rsidRDefault="006647F6" w:rsidP="00633471">
      <w:pPr>
        <w:pStyle w:val="Paragraph"/>
        <w:spacing w:before="120" w:after="120"/>
      </w:pPr>
      <w:r w:rsidRPr="006647F6">
        <w:t>Note: people who are immunosuppressed were included as an exclusion.</w:t>
      </w:r>
    </w:p>
    <w:p w14:paraId="3F7F3975" w14:textId="12387124" w:rsidR="00DE4BAF" w:rsidRDefault="00DE4BAF" w:rsidP="00DE4BAF">
      <w:pPr>
        <w:pStyle w:val="Heading2"/>
      </w:pPr>
      <w:r>
        <w:t>Rationale</w:t>
      </w:r>
    </w:p>
    <w:p w14:paraId="0ECC09EF" w14:textId="448B1E0E" w:rsidR="00DE4BAF" w:rsidRDefault="00310132" w:rsidP="004C3087">
      <w:pPr>
        <w:pStyle w:val="ParagraphNumbered"/>
      </w:pPr>
      <w:r w:rsidRPr="00310132">
        <w:t>People with a sore throat caused by streptococcal bacteria are more likely to benefit from antibiotics. FeverPAIN or Centor criteria are clinical scoring tools that can help to identify who might benefit from antibiotic treatment. This can help to prevent overuse of antibiotics, reduce antibiotic resistance and result in fewer side effects from antibiotics.</w:t>
      </w:r>
    </w:p>
    <w:p w14:paraId="44A5D3CA" w14:textId="77777777" w:rsidR="00DE4BAF" w:rsidRDefault="00DE4BAF" w:rsidP="00DE4BAF">
      <w:pPr>
        <w:pStyle w:val="Heading2"/>
      </w:pPr>
      <w:r>
        <w:t>Summary of consultation comments</w:t>
      </w:r>
    </w:p>
    <w:p w14:paraId="1238F4EE" w14:textId="3E53CFFD" w:rsidR="001B40ED" w:rsidRDefault="000A56A9" w:rsidP="001B40ED">
      <w:pPr>
        <w:pStyle w:val="ParagraphNumbered"/>
      </w:pPr>
      <w:r>
        <w:t>Stakeholders questioned whether there was a</w:t>
      </w:r>
      <w:r w:rsidR="00F36F70" w:rsidRPr="00F36F70">
        <w:t xml:space="preserve"> preference between FeverPAIN and Centor scores</w:t>
      </w:r>
      <w:r w:rsidR="00636E05">
        <w:t xml:space="preserve"> and </w:t>
      </w:r>
      <w:r w:rsidR="00F36F70" w:rsidRPr="00F36F70">
        <w:t xml:space="preserve">highlighted limited validation of these tools across diverse populations. Additionally, digital exclusion may impact scoring accuracy, as face-to-face consultations allow for physical examination, unlike remote assessments based solely on history. </w:t>
      </w:r>
      <w:r w:rsidR="00636E05">
        <w:t>However, another stakeholder did not feel this indicator would affect long term care</w:t>
      </w:r>
      <w:r w:rsidR="00636E05" w:rsidRPr="00F36F70">
        <w:t>.</w:t>
      </w:r>
    </w:p>
    <w:p w14:paraId="12FB8860" w14:textId="00BC5D73" w:rsidR="001B40ED" w:rsidRDefault="00F36F70" w:rsidP="001B40ED">
      <w:pPr>
        <w:pStyle w:val="ParagraphNumbered"/>
      </w:pPr>
      <w:r>
        <w:t xml:space="preserve">A stakeholder noted that </w:t>
      </w:r>
      <w:r w:rsidRPr="00F36F70">
        <w:t xml:space="preserve">patients may influence diagnostic questioning to obtain preferred outcomes, intentionally or not. </w:t>
      </w:r>
    </w:p>
    <w:p w14:paraId="51078722" w14:textId="77777777" w:rsidR="000A56A9" w:rsidRPr="000A56A9" w:rsidRDefault="000A56A9" w:rsidP="000A56A9">
      <w:pPr>
        <w:pStyle w:val="ParagraphNumbered"/>
      </w:pPr>
      <w:r w:rsidRPr="000A56A9">
        <w:t>Stakeholders asked for clarity on the definition of people who are immunosuppressed.</w:t>
      </w:r>
    </w:p>
    <w:p w14:paraId="28BACE8A" w14:textId="4914851C" w:rsidR="00DE4BAF" w:rsidRDefault="001B40ED" w:rsidP="0000760C">
      <w:pPr>
        <w:pStyle w:val="ParagraphNumbered"/>
      </w:pPr>
      <w:r>
        <w:t xml:space="preserve">Time </w:t>
      </w:r>
      <w:r w:rsidR="00CE6134" w:rsidRPr="00CE6134">
        <w:t>constraints and limited access to coded systems, especially for clinical pharmacists, hinder consistent use of scoring tools in primary care. This inconsistency extends to emergency and unscheduled care settings, potentially leading to conflicting messages for patients. System-wide standardisation would support coherent clinical communication and improve patient decision-making.</w:t>
      </w:r>
    </w:p>
    <w:p w14:paraId="21925C07" w14:textId="77777777" w:rsidR="00DE4BAF" w:rsidRDefault="00DE4BAF" w:rsidP="00DE4BAF">
      <w:pPr>
        <w:pStyle w:val="Heading2"/>
      </w:pPr>
      <w:r>
        <w:lastRenderedPageBreak/>
        <w:t>Specific question/s included at consultation</w:t>
      </w:r>
    </w:p>
    <w:p w14:paraId="21EE7432" w14:textId="796F1A9D" w:rsidR="00DE4BAF" w:rsidRDefault="000A56A9" w:rsidP="00140A85">
      <w:pPr>
        <w:pStyle w:val="ParagraphNumbered"/>
      </w:pPr>
      <w:r>
        <w:t>Stakeholders were asked if there are</w:t>
      </w:r>
      <w:r w:rsidR="007E2A70" w:rsidRPr="007E2A70">
        <w:t xml:space="preserve"> barriers to recording these scores consistently in primary care</w:t>
      </w:r>
      <w:r>
        <w:t>. It was</w:t>
      </w:r>
      <w:r w:rsidR="005A31FE">
        <w:t xml:space="preserve"> highlighted that </w:t>
      </w:r>
      <w:r>
        <w:t>g</w:t>
      </w:r>
      <w:r w:rsidR="005A31FE" w:rsidRPr="005A31FE">
        <w:t xml:space="preserve">eneral </w:t>
      </w:r>
      <w:r>
        <w:t>p</w:t>
      </w:r>
      <w:r w:rsidR="005A31FE" w:rsidRPr="005A31FE">
        <w:t>ractice IT systems do not consistently incorporate built-in decision support tools or scoring systems.</w:t>
      </w:r>
    </w:p>
    <w:p w14:paraId="53EC5663" w14:textId="77777777" w:rsidR="00DE4BAF" w:rsidRDefault="00DE4BAF" w:rsidP="00DE4BAF">
      <w:pPr>
        <w:pStyle w:val="Heading2"/>
      </w:pPr>
      <w:r>
        <w:t>Considerations for the advisory committee</w:t>
      </w:r>
    </w:p>
    <w:p w14:paraId="1DBA018C" w14:textId="02591570" w:rsidR="00DE4BAF" w:rsidRPr="00636E05" w:rsidRDefault="00DE4BAF" w:rsidP="00E437AE">
      <w:pPr>
        <w:pStyle w:val="ParagraphNumbered"/>
      </w:pPr>
      <w:r w:rsidRPr="00636E05">
        <w:t xml:space="preserve">The </w:t>
      </w:r>
      <w:r w:rsidR="00636E05" w:rsidRPr="00636E05">
        <w:t>committee is asked to consider stakeholder concerns around the practicality</w:t>
      </w:r>
      <w:r w:rsidR="00636E05">
        <w:t xml:space="preserve"> and impact of this indicator.</w:t>
      </w:r>
    </w:p>
    <w:bookmarkEnd w:id="6"/>
    <w:p w14:paraId="7566F692" w14:textId="747CD0B7" w:rsidR="00DE4BAF" w:rsidRDefault="00DE4BAF" w:rsidP="00DE4BAF">
      <w:pPr>
        <w:pStyle w:val="Bullets"/>
        <w:numPr>
          <w:ilvl w:val="0"/>
          <w:numId w:val="0"/>
        </w:numPr>
        <w:rPr>
          <w:highlight w:val="lightGray"/>
        </w:rPr>
      </w:pPr>
    </w:p>
    <w:p w14:paraId="4625F4B3" w14:textId="78925BFC" w:rsidR="00D712FC" w:rsidRPr="007E2A70" w:rsidRDefault="00D712FC">
      <w:pPr>
        <w:rPr>
          <w:rFonts w:ascii="Arial" w:hAnsi="Arial"/>
          <w:highlight w:val="lightGray"/>
          <w:lang w:eastAsia="en-US"/>
        </w:rPr>
      </w:pPr>
      <w:r>
        <w:br w:type="page"/>
      </w:r>
    </w:p>
    <w:p w14:paraId="259BEA8A" w14:textId="77777777" w:rsidR="00D712FC" w:rsidRDefault="00D712FC" w:rsidP="002E482A">
      <w:pPr>
        <w:pStyle w:val="Paragraph"/>
        <w:sectPr w:rsidR="00D712FC" w:rsidSect="008F6FB7">
          <w:footerReference w:type="default" r:id="rId13"/>
          <w:headerReference w:type="first" r:id="rId14"/>
          <w:footerReference w:type="first" r:id="rId15"/>
          <w:pgSz w:w="11906" w:h="16838"/>
          <w:pgMar w:top="1440" w:right="1800" w:bottom="1440" w:left="1800" w:header="708" w:footer="708" w:gutter="0"/>
          <w:cols w:space="708"/>
          <w:titlePg/>
          <w:docGrid w:linePitch="360"/>
        </w:sectPr>
      </w:pPr>
    </w:p>
    <w:p w14:paraId="64E68C29" w14:textId="70BCD7DA" w:rsidR="00DE4BAF" w:rsidRDefault="00D712FC" w:rsidP="00D712FC">
      <w:pPr>
        <w:pStyle w:val="Heading1"/>
      </w:pPr>
      <w:bookmarkStart w:id="7" w:name="_Toc206582783"/>
      <w:r>
        <w:lastRenderedPageBreak/>
        <w:t>Appendix A: Consultation comments</w:t>
      </w:r>
      <w:bookmarkEnd w:id="7"/>
    </w:p>
    <w:tbl>
      <w:tblPr>
        <w:tblStyle w:val="TableGrid"/>
        <w:tblW w:w="5000" w:type="pct"/>
        <w:tblLook w:val="04A0" w:firstRow="1" w:lastRow="0" w:firstColumn="1" w:lastColumn="0" w:noHBand="0" w:noVBand="1"/>
      </w:tblPr>
      <w:tblGrid>
        <w:gridCol w:w="739"/>
        <w:gridCol w:w="1367"/>
        <w:gridCol w:w="3222"/>
        <w:gridCol w:w="4310"/>
        <w:gridCol w:w="4310"/>
      </w:tblGrid>
      <w:tr w:rsidR="006D3869" w:rsidRPr="00215444" w14:paraId="1B19D44D" w14:textId="055C448E" w:rsidTr="006D3869">
        <w:trPr>
          <w:tblHeader/>
        </w:trPr>
        <w:tc>
          <w:tcPr>
            <w:tcW w:w="265" w:type="pct"/>
            <w:noWrap/>
            <w:hideMark/>
          </w:tcPr>
          <w:p w14:paraId="48985A53" w14:textId="77777777" w:rsidR="006D3869" w:rsidRPr="00215444" w:rsidRDefault="006D3869" w:rsidP="00BC391F">
            <w:pPr>
              <w:pStyle w:val="Tableheading"/>
            </w:pPr>
            <w:r>
              <w:t>ID</w:t>
            </w:r>
          </w:p>
        </w:tc>
        <w:tc>
          <w:tcPr>
            <w:tcW w:w="490" w:type="pct"/>
          </w:tcPr>
          <w:p w14:paraId="17CDF4E0" w14:textId="77777777" w:rsidR="006D3869" w:rsidRPr="00215444" w:rsidRDefault="006D3869" w:rsidP="00BC391F">
            <w:pPr>
              <w:pStyle w:val="Tableheading"/>
            </w:pPr>
            <w:r w:rsidRPr="00215444">
              <w:t>Proforma question no.</w:t>
            </w:r>
          </w:p>
        </w:tc>
        <w:tc>
          <w:tcPr>
            <w:tcW w:w="1155" w:type="pct"/>
            <w:noWrap/>
            <w:hideMark/>
          </w:tcPr>
          <w:p w14:paraId="5337FD3B" w14:textId="77777777" w:rsidR="006D3869" w:rsidRPr="00215444" w:rsidRDefault="006D3869" w:rsidP="00BC391F">
            <w:pPr>
              <w:pStyle w:val="Tableheading"/>
            </w:pPr>
            <w:r w:rsidRPr="00215444">
              <w:t>Stakeholder organisation</w:t>
            </w:r>
          </w:p>
        </w:tc>
        <w:tc>
          <w:tcPr>
            <w:tcW w:w="1545" w:type="pct"/>
            <w:hideMark/>
          </w:tcPr>
          <w:p w14:paraId="25FAA1B1" w14:textId="77777777" w:rsidR="006D3869" w:rsidRPr="00215444" w:rsidRDefault="006D3869" w:rsidP="00BC391F">
            <w:pPr>
              <w:pStyle w:val="Tableheading"/>
            </w:pPr>
            <w:r w:rsidRPr="00215444">
              <w:t>Comment</w:t>
            </w:r>
          </w:p>
        </w:tc>
        <w:tc>
          <w:tcPr>
            <w:tcW w:w="1545" w:type="pct"/>
          </w:tcPr>
          <w:p w14:paraId="3FBEAD44" w14:textId="60366299" w:rsidR="006D3869" w:rsidRPr="00215444" w:rsidRDefault="006D3869" w:rsidP="00BC391F">
            <w:pPr>
              <w:pStyle w:val="Tableheading"/>
            </w:pPr>
            <w:r>
              <w:t>Responses</w:t>
            </w:r>
          </w:p>
        </w:tc>
      </w:tr>
      <w:tr w:rsidR="006D3869" w:rsidRPr="00215444" w14:paraId="0D08485C" w14:textId="1109CD97" w:rsidTr="006D3869">
        <w:tc>
          <w:tcPr>
            <w:tcW w:w="265" w:type="pct"/>
          </w:tcPr>
          <w:p w14:paraId="30C80F8C" w14:textId="562E1157" w:rsidR="006D3869" w:rsidRPr="005B73E7" w:rsidRDefault="006D3869" w:rsidP="00D712FC">
            <w:pPr>
              <w:pStyle w:val="Tabletext"/>
              <w:rPr>
                <w:color w:val="000000"/>
                <w:lang w:eastAsia="en-GB"/>
              </w:rPr>
            </w:pPr>
            <w:r>
              <w:rPr>
                <w:color w:val="000000"/>
                <w:lang w:eastAsia="en-GB"/>
              </w:rPr>
              <w:t>1</w:t>
            </w:r>
          </w:p>
        </w:tc>
        <w:tc>
          <w:tcPr>
            <w:tcW w:w="490" w:type="pct"/>
          </w:tcPr>
          <w:p w14:paraId="06094861" w14:textId="0C2BED3B" w:rsidR="006D3869" w:rsidRPr="005B73E7" w:rsidRDefault="006D3869" w:rsidP="00D712FC">
            <w:pPr>
              <w:pStyle w:val="Tabletext"/>
              <w:rPr>
                <w:color w:val="000000"/>
                <w:lang w:eastAsia="en-GB"/>
              </w:rPr>
            </w:pPr>
            <w:r w:rsidRPr="00BC391F">
              <w:rPr>
                <w:color w:val="000000"/>
                <w:lang w:eastAsia="en-GB"/>
              </w:rPr>
              <w:t>GID-IND1033</w:t>
            </w:r>
            <w:r>
              <w:rPr>
                <w:color w:val="000000"/>
                <w:lang w:eastAsia="en-GB"/>
              </w:rPr>
              <w:t>0</w:t>
            </w:r>
          </w:p>
        </w:tc>
        <w:tc>
          <w:tcPr>
            <w:tcW w:w="1155" w:type="pct"/>
          </w:tcPr>
          <w:p w14:paraId="2D2A658A" w14:textId="117B9F51" w:rsidR="006D3869" w:rsidRPr="005B73E7" w:rsidRDefault="006D3869" w:rsidP="00D712FC">
            <w:pPr>
              <w:pStyle w:val="Tabletext"/>
            </w:pPr>
            <w:r w:rsidRPr="00E03E8A">
              <w:t>General Practitioners Committee England, British Medical Association</w:t>
            </w:r>
          </w:p>
        </w:tc>
        <w:tc>
          <w:tcPr>
            <w:tcW w:w="1545" w:type="pct"/>
          </w:tcPr>
          <w:p w14:paraId="4E8630BB" w14:textId="0D977FDD" w:rsidR="006D3869" w:rsidRPr="00EE065C" w:rsidRDefault="006D3869" w:rsidP="00D62081">
            <w:pPr>
              <w:pStyle w:val="Tabletext"/>
            </w:pPr>
            <w:r w:rsidRPr="00E03E8A">
              <w:t>We would have questions over whether this would distinguish prescriptions issued by no-GP providers e.g. pharmacies. This is particularly important if GPConnect is switched on. GPs should not be financially penalised for decisions made outside of their control by staff not employed by them.</w:t>
            </w:r>
          </w:p>
        </w:tc>
        <w:tc>
          <w:tcPr>
            <w:tcW w:w="1545" w:type="pct"/>
          </w:tcPr>
          <w:p w14:paraId="14B16E0A" w14:textId="0D9460FF" w:rsidR="006D3869" w:rsidRDefault="006D3869" w:rsidP="00D62081">
            <w:pPr>
              <w:pStyle w:val="Tabletext"/>
            </w:pPr>
            <w:r>
              <w:t xml:space="preserve">Thank you for your comment. </w:t>
            </w:r>
            <w:r w:rsidR="00E165E9">
              <w:t>The indicator was not progressed to publication.</w:t>
            </w:r>
            <w:r w:rsidR="002013A4">
              <w:t xml:space="preserve"> </w:t>
            </w:r>
          </w:p>
          <w:p w14:paraId="4020E310" w14:textId="3F192535" w:rsidR="00E510BA" w:rsidRPr="00E03E8A" w:rsidRDefault="00E510BA" w:rsidP="00D62081">
            <w:pPr>
              <w:pStyle w:val="Tabletext"/>
            </w:pPr>
          </w:p>
        </w:tc>
      </w:tr>
      <w:tr w:rsidR="006D3869" w:rsidRPr="00215444" w14:paraId="500BD627" w14:textId="48B3A20C" w:rsidTr="006D3869">
        <w:tc>
          <w:tcPr>
            <w:tcW w:w="265" w:type="pct"/>
          </w:tcPr>
          <w:p w14:paraId="699AC7C0" w14:textId="405C1A8F" w:rsidR="006D3869" w:rsidRPr="005B73E7" w:rsidRDefault="006D3869" w:rsidP="00E03E8A">
            <w:pPr>
              <w:pStyle w:val="Tabletext"/>
              <w:rPr>
                <w:color w:val="000000"/>
                <w:lang w:eastAsia="en-GB"/>
              </w:rPr>
            </w:pPr>
            <w:r>
              <w:rPr>
                <w:color w:val="000000"/>
                <w:lang w:eastAsia="en-GB"/>
              </w:rPr>
              <w:t>2</w:t>
            </w:r>
          </w:p>
        </w:tc>
        <w:tc>
          <w:tcPr>
            <w:tcW w:w="490" w:type="pct"/>
          </w:tcPr>
          <w:p w14:paraId="71EE075C" w14:textId="10A0A3F1" w:rsidR="006D3869" w:rsidRDefault="006D3869" w:rsidP="00E03E8A">
            <w:pPr>
              <w:pStyle w:val="Tabletext"/>
              <w:rPr>
                <w:color w:val="000000"/>
                <w:lang w:eastAsia="en-GB"/>
              </w:rPr>
            </w:pPr>
            <w:r w:rsidRPr="00BC391F">
              <w:rPr>
                <w:color w:val="000000"/>
                <w:lang w:eastAsia="en-GB"/>
              </w:rPr>
              <w:t>GID-IND10330</w:t>
            </w:r>
          </w:p>
        </w:tc>
        <w:tc>
          <w:tcPr>
            <w:tcW w:w="1155" w:type="pct"/>
          </w:tcPr>
          <w:p w14:paraId="539D42DE" w14:textId="3F4DD48E" w:rsidR="006D3869" w:rsidRPr="00E03E8A" w:rsidRDefault="006D3869" w:rsidP="00E03E8A">
            <w:pPr>
              <w:pStyle w:val="Tabletext"/>
            </w:pPr>
            <w:r w:rsidRPr="00E03E8A">
              <w:t>General Practitioners Committee England, British Medical Association</w:t>
            </w:r>
          </w:p>
        </w:tc>
        <w:tc>
          <w:tcPr>
            <w:tcW w:w="1545" w:type="pct"/>
          </w:tcPr>
          <w:p w14:paraId="5794F03B" w14:textId="442005A9" w:rsidR="006D3869" w:rsidRDefault="006D3869" w:rsidP="00E03E8A">
            <w:pPr>
              <w:pStyle w:val="Tabletext"/>
            </w:pPr>
            <w:r>
              <w:t>The principle of linking prescribing of antibiotics to practice finances would be both inappropriate and unlikely to alter practice in a safe and constructive fashion. With financial penalties for prescribing this may potentially influence the clinician’s decision to prescribe in a negative way resulting in potential delay of treatment (e</w:t>
            </w:r>
            <w:r w:rsidR="00740AC7">
              <w:t>.</w:t>
            </w:r>
            <w:r>
              <w:t>g</w:t>
            </w:r>
            <w:r w:rsidR="00740AC7">
              <w:t>.,</w:t>
            </w:r>
            <w:r>
              <w:t xml:space="preserve"> sinusitis with risk factors/significant flags indicating immediate start). This is therefore a potentially clinically risky target which may result in negative outcomes for patients. </w:t>
            </w:r>
          </w:p>
          <w:p w14:paraId="07D0EF4A" w14:textId="77777777" w:rsidR="006D3869" w:rsidRDefault="006D3869" w:rsidP="00E03E8A">
            <w:pPr>
              <w:pStyle w:val="Tabletext"/>
            </w:pPr>
          </w:p>
          <w:p w14:paraId="757893EA" w14:textId="77777777" w:rsidR="006D3869" w:rsidRDefault="006D3869" w:rsidP="00E03E8A">
            <w:pPr>
              <w:pStyle w:val="Tabletext"/>
            </w:pPr>
            <w:r>
              <w:t xml:space="preserve">Delayed prescribing is often not done in a robust fashion. To truly post-date a script </w:t>
            </w:r>
            <w:r>
              <w:lastRenderedPageBreak/>
              <w:t xml:space="preserve">is often difficult and takes additional steps on the computer (which many GPs don’t actually know how to do) which in practice means most give the script dated the same day with advice to collect if not improving on x day. Many patients will simply collect that day and start straight away. </w:t>
            </w:r>
          </w:p>
          <w:p w14:paraId="2DCF7464" w14:textId="77777777" w:rsidR="006D3869" w:rsidRDefault="006D3869" w:rsidP="00E03E8A">
            <w:pPr>
              <w:pStyle w:val="Tabletext"/>
            </w:pPr>
          </w:p>
          <w:p w14:paraId="531B0E99" w14:textId="27E02E58" w:rsidR="006D3869" w:rsidRPr="00E03E8A" w:rsidRDefault="006D3869" w:rsidP="00E03E8A">
            <w:pPr>
              <w:pStyle w:val="Tabletext"/>
            </w:pPr>
            <w:r>
              <w:t xml:space="preserve">As a minimum, there would need to scope to apply PCA’s where appropriate and thresholds would need to be robust and realistic, though a much better approach to antimicrobial stewardship would be to learn from local schemes already in place that address sensible and safe changes, such as ensuring 5 day scripts are issued rather than traditional 7 days. </w:t>
            </w:r>
          </w:p>
        </w:tc>
        <w:tc>
          <w:tcPr>
            <w:tcW w:w="1545" w:type="pct"/>
          </w:tcPr>
          <w:p w14:paraId="2E5C79E8" w14:textId="2AEC84A4" w:rsidR="006D3869" w:rsidRDefault="002013A4" w:rsidP="00E03E8A">
            <w:pPr>
              <w:pStyle w:val="Tabletext"/>
            </w:pPr>
            <w:r w:rsidRPr="002013A4">
              <w:lastRenderedPageBreak/>
              <w:t xml:space="preserve">Thank you for your comment. </w:t>
            </w:r>
            <w:r w:rsidR="00E165E9" w:rsidRPr="00E165E9">
              <w:t>The indicator was not progressed to publication.</w:t>
            </w:r>
          </w:p>
        </w:tc>
      </w:tr>
      <w:tr w:rsidR="006D3869" w:rsidRPr="00215444" w14:paraId="52C43B6E" w14:textId="2CBD8110" w:rsidTr="006D3869">
        <w:tc>
          <w:tcPr>
            <w:tcW w:w="265" w:type="pct"/>
          </w:tcPr>
          <w:p w14:paraId="21ABFC2A" w14:textId="2873C5A1" w:rsidR="006D3869" w:rsidRPr="005B73E7" w:rsidRDefault="006D3869" w:rsidP="00BC391F">
            <w:pPr>
              <w:pStyle w:val="Tabletext"/>
              <w:rPr>
                <w:color w:val="000000"/>
                <w:lang w:eastAsia="en-GB"/>
              </w:rPr>
            </w:pPr>
            <w:r>
              <w:rPr>
                <w:color w:val="000000"/>
                <w:lang w:eastAsia="en-GB"/>
              </w:rPr>
              <w:t>3</w:t>
            </w:r>
          </w:p>
        </w:tc>
        <w:tc>
          <w:tcPr>
            <w:tcW w:w="490" w:type="pct"/>
          </w:tcPr>
          <w:p w14:paraId="5DF59466" w14:textId="20A44A3E" w:rsidR="006D3869" w:rsidRDefault="006D3869" w:rsidP="00BC391F">
            <w:pPr>
              <w:pStyle w:val="Tabletext"/>
              <w:rPr>
                <w:color w:val="000000"/>
                <w:lang w:eastAsia="en-GB"/>
              </w:rPr>
            </w:pPr>
            <w:r w:rsidRPr="00E24364">
              <w:rPr>
                <w:color w:val="000000"/>
                <w:lang w:eastAsia="en-GB"/>
              </w:rPr>
              <w:t>GID-IND10330</w:t>
            </w:r>
          </w:p>
        </w:tc>
        <w:tc>
          <w:tcPr>
            <w:tcW w:w="1155" w:type="pct"/>
          </w:tcPr>
          <w:p w14:paraId="314AEF49" w14:textId="0230F2D6" w:rsidR="006D3869" w:rsidRPr="00E03E8A" w:rsidRDefault="006D3869" w:rsidP="00BC391F">
            <w:pPr>
              <w:pStyle w:val="Tabletext"/>
            </w:pPr>
            <w:r w:rsidRPr="00E03E8A">
              <w:t>General Practitioners Committee England, British Medical Association</w:t>
            </w:r>
          </w:p>
        </w:tc>
        <w:tc>
          <w:tcPr>
            <w:tcW w:w="1545" w:type="pct"/>
          </w:tcPr>
          <w:p w14:paraId="22CAA261" w14:textId="426D5914" w:rsidR="006D3869" w:rsidRDefault="006D3869" w:rsidP="00BC391F">
            <w:pPr>
              <w:pStyle w:val="Tabletext"/>
            </w:pPr>
            <w:r w:rsidRPr="00E03E8A">
              <w:t>There are also potential unintended consequences of creating extra pressure around weekends/holiday periods on walk in’s/MIUs/OOH and potentially A&amp;E.</w:t>
            </w:r>
          </w:p>
        </w:tc>
        <w:tc>
          <w:tcPr>
            <w:tcW w:w="1545" w:type="pct"/>
          </w:tcPr>
          <w:p w14:paraId="7D0D1D19" w14:textId="4A3C4E2C" w:rsidR="006D3869" w:rsidRPr="00E03E8A" w:rsidRDefault="00E510BA" w:rsidP="00BC391F">
            <w:pPr>
              <w:pStyle w:val="Tabletext"/>
            </w:pPr>
            <w:r w:rsidRPr="002013A4">
              <w:t xml:space="preserve">Thank you for your comment. </w:t>
            </w:r>
            <w:r w:rsidR="00E165E9" w:rsidRPr="00E165E9">
              <w:t>The indicator was not progressed to publication.</w:t>
            </w:r>
          </w:p>
        </w:tc>
      </w:tr>
      <w:tr w:rsidR="006D3869" w:rsidRPr="00215444" w14:paraId="0C8A1AEF" w14:textId="7B224390" w:rsidTr="006D3869">
        <w:tc>
          <w:tcPr>
            <w:tcW w:w="265" w:type="pct"/>
          </w:tcPr>
          <w:p w14:paraId="1668605C" w14:textId="2C2D2CA9" w:rsidR="006D3869" w:rsidRDefault="006D3869" w:rsidP="00BC391F">
            <w:pPr>
              <w:pStyle w:val="Tabletext"/>
            </w:pPr>
            <w:r>
              <w:t>4</w:t>
            </w:r>
          </w:p>
        </w:tc>
        <w:tc>
          <w:tcPr>
            <w:tcW w:w="490" w:type="pct"/>
          </w:tcPr>
          <w:p w14:paraId="3D456E35" w14:textId="59245D3D" w:rsidR="006D3869" w:rsidRDefault="006D3869" w:rsidP="00BC391F">
            <w:pPr>
              <w:pStyle w:val="Tabletext"/>
            </w:pPr>
            <w:r w:rsidRPr="00E24364">
              <w:rPr>
                <w:color w:val="000000"/>
                <w:lang w:eastAsia="en-GB"/>
              </w:rPr>
              <w:t>GID-IND10330</w:t>
            </w:r>
          </w:p>
        </w:tc>
        <w:tc>
          <w:tcPr>
            <w:tcW w:w="1155" w:type="pct"/>
          </w:tcPr>
          <w:p w14:paraId="2BA1B75B" w14:textId="208581CC" w:rsidR="006D3869" w:rsidRPr="001B1B1D" w:rsidRDefault="006D3869" w:rsidP="00BC391F">
            <w:pPr>
              <w:pStyle w:val="Tabletext"/>
            </w:pPr>
            <w:r w:rsidRPr="001B1B1D">
              <w:t>Association of Respiratory Nurses (ARNS)</w:t>
            </w:r>
          </w:p>
        </w:tc>
        <w:tc>
          <w:tcPr>
            <w:tcW w:w="1545" w:type="pct"/>
          </w:tcPr>
          <w:p w14:paraId="3CD14581" w14:textId="77777777" w:rsidR="006D3869" w:rsidRDefault="006D3869" w:rsidP="00BC391F">
            <w:pPr>
              <w:pStyle w:val="Tabletext"/>
            </w:pPr>
            <w:r>
              <w:t xml:space="preserve">I have concerns around health literacy and delayed antibiotics, as we tend to find those with chronic illness (Especially respiratory illness) tend to come from </w:t>
            </w:r>
            <w:r>
              <w:lastRenderedPageBreak/>
              <w:t xml:space="preserve">more deprived backgrounds, and these groups may well be more likely to require review such as this. </w:t>
            </w:r>
          </w:p>
          <w:p w14:paraId="436429E6" w14:textId="77777777" w:rsidR="006D3869" w:rsidRDefault="006D3869" w:rsidP="00BC391F">
            <w:pPr>
              <w:pStyle w:val="Tabletext"/>
            </w:pPr>
          </w:p>
          <w:p w14:paraId="7603D833" w14:textId="5943F72E" w:rsidR="006D3869" w:rsidRDefault="006D3869" w:rsidP="00BC391F">
            <w:pPr>
              <w:pStyle w:val="Tabletext"/>
            </w:pPr>
            <w:r>
              <w:t>I also wonder if there has been any work to ascertain assessment tools (</w:t>
            </w:r>
            <w:r w:rsidR="00740AC7">
              <w:t>e.g.</w:t>
            </w:r>
            <w:r>
              <w:t xml:space="preserve"> POC CRP machines) availability across the country, as access to this may guide delayed prescription, but from an equality perspective there would need to be equitable access.</w:t>
            </w:r>
          </w:p>
        </w:tc>
        <w:tc>
          <w:tcPr>
            <w:tcW w:w="1545" w:type="pct"/>
          </w:tcPr>
          <w:p w14:paraId="6C86D256" w14:textId="08BBE651" w:rsidR="006D3869" w:rsidRDefault="00CA3EBB" w:rsidP="00BC391F">
            <w:pPr>
              <w:pStyle w:val="Tabletext"/>
            </w:pPr>
            <w:r>
              <w:lastRenderedPageBreak/>
              <w:t xml:space="preserve">Thank you for your comment. </w:t>
            </w:r>
            <w:r w:rsidR="00E165E9" w:rsidRPr="00E165E9">
              <w:t xml:space="preserve">The indicator was not progressed to publication. </w:t>
            </w:r>
          </w:p>
        </w:tc>
      </w:tr>
      <w:tr w:rsidR="006D3869" w:rsidRPr="00215444" w14:paraId="0FA4C3E1" w14:textId="0B402428" w:rsidTr="006D3869">
        <w:tc>
          <w:tcPr>
            <w:tcW w:w="265" w:type="pct"/>
          </w:tcPr>
          <w:p w14:paraId="4805DED1" w14:textId="1E213595" w:rsidR="006D3869" w:rsidRDefault="006D3869" w:rsidP="00BC391F">
            <w:pPr>
              <w:pStyle w:val="Tabletext"/>
            </w:pPr>
            <w:r>
              <w:t>5</w:t>
            </w:r>
          </w:p>
        </w:tc>
        <w:tc>
          <w:tcPr>
            <w:tcW w:w="490" w:type="pct"/>
          </w:tcPr>
          <w:p w14:paraId="2441E34D" w14:textId="7A806DB9" w:rsidR="006D3869" w:rsidRDefault="006D3869" w:rsidP="00BC391F">
            <w:pPr>
              <w:pStyle w:val="Tabletext"/>
            </w:pPr>
            <w:r w:rsidRPr="00E24364">
              <w:rPr>
                <w:color w:val="000000"/>
                <w:lang w:eastAsia="en-GB"/>
              </w:rPr>
              <w:t>GID-IND10330</w:t>
            </w:r>
            <w:r>
              <w:rPr>
                <w:color w:val="000000"/>
                <w:lang w:eastAsia="en-GB"/>
              </w:rPr>
              <w:t xml:space="preserve"> EHIA</w:t>
            </w:r>
          </w:p>
        </w:tc>
        <w:tc>
          <w:tcPr>
            <w:tcW w:w="1155" w:type="pct"/>
          </w:tcPr>
          <w:p w14:paraId="0EB9BF9E" w14:textId="433299C7" w:rsidR="006D3869" w:rsidRPr="001B1B1D" w:rsidRDefault="006D3869" w:rsidP="00BC391F">
            <w:pPr>
              <w:pStyle w:val="Tabletext"/>
            </w:pPr>
            <w:r w:rsidRPr="008215C6">
              <w:t>Primary Care Respiratory Society (PCRS)</w:t>
            </w:r>
          </w:p>
        </w:tc>
        <w:tc>
          <w:tcPr>
            <w:tcW w:w="1545" w:type="pct"/>
          </w:tcPr>
          <w:p w14:paraId="06F8BE2F" w14:textId="2EF1B7A1" w:rsidR="006D3869" w:rsidRDefault="006D3869" w:rsidP="00BC391F">
            <w:pPr>
              <w:pStyle w:val="Tabletext"/>
            </w:pPr>
            <w:r w:rsidRPr="008215C6">
              <w:t>Section 1.2 (point 1): There maybe cultural differences in options which may be less about literacy and more about cultural norms.</w:t>
            </w:r>
          </w:p>
        </w:tc>
        <w:tc>
          <w:tcPr>
            <w:tcW w:w="1545" w:type="pct"/>
          </w:tcPr>
          <w:p w14:paraId="36B7D033" w14:textId="6DF3F15F" w:rsidR="006D3869" w:rsidRPr="008215C6" w:rsidRDefault="00AB672C" w:rsidP="00BC391F">
            <w:pPr>
              <w:pStyle w:val="Tabletext"/>
            </w:pPr>
            <w:r w:rsidRPr="00AB672C">
              <w:t>Thank you for your comment.</w:t>
            </w:r>
            <w:r>
              <w:t xml:space="preserve"> </w:t>
            </w:r>
            <w:r w:rsidR="00E165E9" w:rsidRPr="00E165E9">
              <w:t>The indicator was not progressed to publication.</w:t>
            </w:r>
          </w:p>
        </w:tc>
      </w:tr>
      <w:tr w:rsidR="006D3869" w:rsidRPr="00215444" w14:paraId="3549BE7A" w14:textId="44BAFACF" w:rsidTr="006D3869">
        <w:tc>
          <w:tcPr>
            <w:tcW w:w="265" w:type="pct"/>
          </w:tcPr>
          <w:p w14:paraId="33EF7DD6" w14:textId="0EDAEFBB" w:rsidR="006D3869" w:rsidRDefault="006D3869" w:rsidP="00BC391F">
            <w:pPr>
              <w:pStyle w:val="Tabletext"/>
            </w:pPr>
            <w:r>
              <w:t>6</w:t>
            </w:r>
          </w:p>
        </w:tc>
        <w:tc>
          <w:tcPr>
            <w:tcW w:w="490" w:type="pct"/>
          </w:tcPr>
          <w:p w14:paraId="05BB4A2C" w14:textId="38CF70C5" w:rsidR="006D3869" w:rsidRDefault="006D3869" w:rsidP="00BC391F">
            <w:pPr>
              <w:pStyle w:val="Tabletext"/>
            </w:pPr>
            <w:r w:rsidRPr="00BC391F">
              <w:rPr>
                <w:color w:val="000000"/>
                <w:lang w:eastAsia="en-GB"/>
              </w:rPr>
              <w:t>GID-IND10330</w:t>
            </w:r>
            <w:r>
              <w:rPr>
                <w:color w:val="000000"/>
                <w:lang w:eastAsia="en-GB"/>
              </w:rPr>
              <w:t xml:space="preserve"> EHIA</w:t>
            </w:r>
          </w:p>
        </w:tc>
        <w:tc>
          <w:tcPr>
            <w:tcW w:w="1155" w:type="pct"/>
          </w:tcPr>
          <w:p w14:paraId="7D191BC6" w14:textId="5B96F990" w:rsidR="006D3869" w:rsidRPr="008215C6" w:rsidRDefault="006D3869" w:rsidP="00BC391F">
            <w:pPr>
              <w:pStyle w:val="Tabletext"/>
            </w:pPr>
            <w:r w:rsidRPr="008215C6">
              <w:t>Primary Care Respiratory Society (PCRS)</w:t>
            </w:r>
          </w:p>
        </w:tc>
        <w:tc>
          <w:tcPr>
            <w:tcW w:w="1545" w:type="pct"/>
          </w:tcPr>
          <w:p w14:paraId="474B780F" w14:textId="4863716B" w:rsidR="006D3869" w:rsidRPr="008215C6" w:rsidRDefault="006D3869" w:rsidP="00BC391F">
            <w:pPr>
              <w:pStyle w:val="Tabletext"/>
            </w:pPr>
            <w:r w:rsidRPr="008215C6">
              <w:t>Section 1.2 (point 2): Access to delayed descriptions maybe harder in more rural areas which are not traditionally more deprived with the recognised basis to deprivation being greater in cities (public transport being sparse and distances too local pharmacy open out of hours even more limited).</w:t>
            </w:r>
          </w:p>
        </w:tc>
        <w:tc>
          <w:tcPr>
            <w:tcW w:w="1545" w:type="pct"/>
          </w:tcPr>
          <w:p w14:paraId="5434BF93" w14:textId="2B1E88FC" w:rsidR="006D3869" w:rsidRPr="008215C6" w:rsidRDefault="00AB672C" w:rsidP="00BC391F">
            <w:pPr>
              <w:pStyle w:val="Tabletext"/>
            </w:pPr>
            <w:r w:rsidRPr="00AB672C">
              <w:t>Thank you for your comment.</w:t>
            </w:r>
            <w:r>
              <w:t xml:space="preserve"> </w:t>
            </w:r>
            <w:r w:rsidR="00E165E9" w:rsidRPr="00E165E9">
              <w:t>The indicator was not progressed to publication.</w:t>
            </w:r>
          </w:p>
        </w:tc>
      </w:tr>
      <w:tr w:rsidR="006D3869" w:rsidRPr="00215444" w14:paraId="584DF986" w14:textId="06A64538" w:rsidTr="006D3869">
        <w:tc>
          <w:tcPr>
            <w:tcW w:w="265" w:type="pct"/>
          </w:tcPr>
          <w:p w14:paraId="7C3F10F1" w14:textId="6BC214EE" w:rsidR="006D3869" w:rsidRDefault="006D3869" w:rsidP="00E03E8A">
            <w:pPr>
              <w:pStyle w:val="Tabletext"/>
            </w:pPr>
            <w:r>
              <w:t>7</w:t>
            </w:r>
          </w:p>
        </w:tc>
        <w:tc>
          <w:tcPr>
            <w:tcW w:w="490" w:type="pct"/>
          </w:tcPr>
          <w:p w14:paraId="1A79F2ED" w14:textId="1D8000ED" w:rsidR="006D3869" w:rsidRDefault="006D3869" w:rsidP="00E03E8A">
            <w:pPr>
              <w:pStyle w:val="Tabletext"/>
            </w:pPr>
            <w:r w:rsidRPr="00BC391F">
              <w:t>GID-IND10330</w:t>
            </w:r>
            <w:r>
              <w:t xml:space="preserve"> EHIA</w:t>
            </w:r>
          </w:p>
        </w:tc>
        <w:tc>
          <w:tcPr>
            <w:tcW w:w="1155" w:type="pct"/>
          </w:tcPr>
          <w:p w14:paraId="53693966" w14:textId="09549E62" w:rsidR="006D3869" w:rsidRPr="008215C6" w:rsidRDefault="006D3869" w:rsidP="00E03E8A">
            <w:pPr>
              <w:pStyle w:val="Tabletext"/>
            </w:pPr>
            <w:r w:rsidRPr="008215C6">
              <w:t>Primary Care Respiratory Society (PCRS)</w:t>
            </w:r>
          </w:p>
        </w:tc>
        <w:tc>
          <w:tcPr>
            <w:tcW w:w="1545" w:type="pct"/>
          </w:tcPr>
          <w:p w14:paraId="06CBECF4" w14:textId="6A410CC3" w:rsidR="006D3869" w:rsidRPr="008215C6" w:rsidRDefault="006D3869" w:rsidP="00E03E8A">
            <w:pPr>
              <w:pStyle w:val="Tabletext"/>
            </w:pPr>
            <w:r w:rsidRPr="00E556AE">
              <w:t xml:space="preserve">Section 1.3: We notice the emphasis on recording delayed prescriptions as a code whereas clinicians need to document </w:t>
            </w:r>
            <w:r w:rsidRPr="00E556AE">
              <w:lastRenderedPageBreak/>
              <w:t>considerable negative findings medico legally to maintain their license to practice. Incentives would be a good idea, these should cross boundaries as several patients will try a different system (primary care, A&amp;E, urgent unscheduled care), if they feel they need a prescription. coding would be equally important on early presentation in all of these settings.</w:t>
            </w:r>
          </w:p>
        </w:tc>
        <w:tc>
          <w:tcPr>
            <w:tcW w:w="1545" w:type="pct"/>
          </w:tcPr>
          <w:p w14:paraId="33BA2E84" w14:textId="4AC2C814" w:rsidR="006D3869" w:rsidRPr="00E556AE" w:rsidRDefault="00AB672C" w:rsidP="00E03E8A">
            <w:pPr>
              <w:pStyle w:val="Tabletext"/>
            </w:pPr>
            <w:r w:rsidRPr="00AB672C">
              <w:lastRenderedPageBreak/>
              <w:t>Thank you for your comment.</w:t>
            </w:r>
            <w:r>
              <w:t xml:space="preserve"> </w:t>
            </w:r>
            <w:r w:rsidR="00E165E9" w:rsidRPr="00E165E9">
              <w:t xml:space="preserve">The indicator was not progressed to publication. </w:t>
            </w:r>
          </w:p>
        </w:tc>
      </w:tr>
      <w:tr w:rsidR="006D3869" w:rsidRPr="00215444" w14:paraId="0E81E97E" w14:textId="08974823" w:rsidTr="006D3869">
        <w:tc>
          <w:tcPr>
            <w:tcW w:w="265" w:type="pct"/>
          </w:tcPr>
          <w:p w14:paraId="34E51903" w14:textId="457DE737" w:rsidR="006D3869" w:rsidRDefault="006D3869" w:rsidP="00E03E8A">
            <w:pPr>
              <w:pStyle w:val="Tabletext"/>
            </w:pPr>
            <w:r>
              <w:t>8</w:t>
            </w:r>
          </w:p>
        </w:tc>
        <w:tc>
          <w:tcPr>
            <w:tcW w:w="490" w:type="pct"/>
          </w:tcPr>
          <w:p w14:paraId="53FD5D95" w14:textId="416E8B92" w:rsidR="006D3869" w:rsidRDefault="006D3869" w:rsidP="00E03E8A">
            <w:pPr>
              <w:pStyle w:val="Tabletext"/>
            </w:pPr>
            <w:r w:rsidRPr="00BC391F">
              <w:t>GID-IND10330</w:t>
            </w:r>
            <w:r>
              <w:t xml:space="preserve"> EHIA</w:t>
            </w:r>
          </w:p>
        </w:tc>
        <w:tc>
          <w:tcPr>
            <w:tcW w:w="1155" w:type="pct"/>
          </w:tcPr>
          <w:p w14:paraId="39FC00A2" w14:textId="24CEFB34" w:rsidR="006D3869" w:rsidRPr="008215C6" w:rsidRDefault="006D3869" w:rsidP="00E03E8A">
            <w:pPr>
              <w:pStyle w:val="Tabletext"/>
            </w:pPr>
            <w:r w:rsidRPr="008215C6">
              <w:t>Primary Care Respiratory Society (PCRS)</w:t>
            </w:r>
          </w:p>
        </w:tc>
        <w:tc>
          <w:tcPr>
            <w:tcW w:w="1545" w:type="pct"/>
          </w:tcPr>
          <w:p w14:paraId="13B12916" w14:textId="6E33D121" w:rsidR="006D3869" w:rsidRPr="008215C6" w:rsidRDefault="006D3869" w:rsidP="00E03E8A">
            <w:pPr>
              <w:pStyle w:val="Tabletext"/>
            </w:pPr>
            <w:r w:rsidRPr="00126D5D">
              <w:t>Section 1.5: There appears to be a lack of specialist paediatric input and emergency services</w:t>
            </w:r>
            <w:r w:rsidR="00740AC7" w:rsidRPr="00126D5D">
              <w:t xml:space="preserve">. </w:t>
            </w:r>
            <w:r w:rsidRPr="00126D5D">
              <w:t>Though of course PCRS and RCGP have clinicians that cover all ages and manage a lot of the unscheduled care.</w:t>
            </w:r>
          </w:p>
        </w:tc>
        <w:tc>
          <w:tcPr>
            <w:tcW w:w="1545" w:type="pct"/>
          </w:tcPr>
          <w:p w14:paraId="2EB71373" w14:textId="59AD8C43" w:rsidR="006D3869" w:rsidRPr="00126D5D" w:rsidRDefault="00AB672C" w:rsidP="00E03E8A">
            <w:pPr>
              <w:pStyle w:val="Tabletext"/>
            </w:pPr>
            <w:r w:rsidRPr="00AB672C">
              <w:t>Thank you for your comment.</w:t>
            </w:r>
            <w:r>
              <w:t xml:space="preserve"> </w:t>
            </w:r>
            <w:r w:rsidR="00E165E9" w:rsidRPr="00E165E9">
              <w:t>The indicator was not progressed to publication.</w:t>
            </w:r>
          </w:p>
        </w:tc>
      </w:tr>
      <w:tr w:rsidR="006D3869" w:rsidRPr="00215444" w14:paraId="6751A38E" w14:textId="4071E71D" w:rsidTr="006D3869">
        <w:tc>
          <w:tcPr>
            <w:tcW w:w="265" w:type="pct"/>
          </w:tcPr>
          <w:p w14:paraId="63B81AD4" w14:textId="47DFE204" w:rsidR="006D3869" w:rsidRDefault="006D3869" w:rsidP="00E03E8A">
            <w:pPr>
              <w:pStyle w:val="Tabletext"/>
            </w:pPr>
            <w:r>
              <w:t>9</w:t>
            </w:r>
          </w:p>
        </w:tc>
        <w:tc>
          <w:tcPr>
            <w:tcW w:w="490" w:type="pct"/>
          </w:tcPr>
          <w:p w14:paraId="28EA2251" w14:textId="16DFFF33" w:rsidR="006D3869" w:rsidRDefault="006D3869" w:rsidP="00E03E8A">
            <w:pPr>
              <w:pStyle w:val="Tabletext"/>
            </w:pPr>
            <w:r w:rsidRPr="00BC391F">
              <w:t>GID-IND10330</w:t>
            </w:r>
            <w:r>
              <w:t xml:space="preserve"> EHIA</w:t>
            </w:r>
          </w:p>
        </w:tc>
        <w:tc>
          <w:tcPr>
            <w:tcW w:w="1155" w:type="pct"/>
          </w:tcPr>
          <w:p w14:paraId="39334C1A" w14:textId="3EF43580" w:rsidR="006D3869" w:rsidRPr="008215C6" w:rsidRDefault="006D3869" w:rsidP="00E03E8A">
            <w:pPr>
              <w:pStyle w:val="Tabletext"/>
            </w:pPr>
            <w:r w:rsidRPr="008215C6">
              <w:t>Primary Care Respiratory Society (PCRS)</w:t>
            </w:r>
          </w:p>
        </w:tc>
        <w:tc>
          <w:tcPr>
            <w:tcW w:w="1545" w:type="pct"/>
          </w:tcPr>
          <w:p w14:paraId="7FFB50A4" w14:textId="3AB04816" w:rsidR="006D3869" w:rsidRPr="008215C6" w:rsidRDefault="006D3869" w:rsidP="00E03E8A">
            <w:pPr>
              <w:pStyle w:val="Tabletext"/>
            </w:pPr>
            <w:r w:rsidRPr="00126D5D">
              <w:t>Section 1.6: It would be good to have clear clarification on the groups being excluded (very young children, diabetes, COPD or bronchiectasis, on steroids chemotherapy?)</w:t>
            </w:r>
          </w:p>
        </w:tc>
        <w:tc>
          <w:tcPr>
            <w:tcW w:w="1545" w:type="pct"/>
          </w:tcPr>
          <w:p w14:paraId="6CBC102F" w14:textId="4C168F9B" w:rsidR="006D3869" w:rsidRPr="00126D5D" w:rsidRDefault="00AB672C" w:rsidP="00E03E8A">
            <w:pPr>
              <w:pStyle w:val="Tabletext"/>
            </w:pPr>
            <w:r w:rsidRPr="00AB672C">
              <w:t>Thank you for your comment.</w:t>
            </w:r>
            <w:r>
              <w:t xml:space="preserve"> </w:t>
            </w:r>
            <w:r w:rsidR="00E165E9" w:rsidRPr="00E165E9">
              <w:t>The indicator was not progressed to publication.</w:t>
            </w:r>
          </w:p>
        </w:tc>
      </w:tr>
      <w:tr w:rsidR="006D3869" w:rsidRPr="00215444" w14:paraId="764A5FAD" w14:textId="05C5D450" w:rsidTr="006D3869">
        <w:tc>
          <w:tcPr>
            <w:tcW w:w="265" w:type="pct"/>
            <w:hideMark/>
          </w:tcPr>
          <w:p w14:paraId="60C57C4F" w14:textId="615EF4A0" w:rsidR="006D3869" w:rsidRDefault="006D3869" w:rsidP="00E03E8A">
            <w:pPr>
              <w:pStyle w:val="Tabletext"/>
            </w:pPr>
            <w:r>
              <w:t>10</w:t>
            </w:r>
          </w:p>
        </w:tc>
        <w:tc>
          <w:tcPr>
            <w:tcW w:w="490" w:type="pct"/>
            <w:hideMark/>
          </w:tcPr>
          <w:p w14:paraId="133ECA54" w14:textId="5EA13205" w:rsidR="006D3869" w:rsidRDefault="006D3869" w:rsidP="00E03E8A">
            <w:pPr>
              <w:pStyle w:val="Tabletext"/>
            </w:pPr>
            <w:r w:rsidRPr="00BC391F">
              <w:t xml:space="preserve">GID-IND10330 </w:t>
            </w:r>
            <w:r>
              <w:t xml:space="preserve">Question 9 </w:t>
            </w:r>
            <w:r w:rsidRPr="00BC391F">
              <w:t xml:space="preserve">What practical challenges </w:t>
            </w:r>
            <w:r w:rsidRPr="00BC391F">
              <w:lastRenderedPageBreak/>
              <w:t>might clinicians face in integrating this indicator into routine practice?</w:t>
            </w:r>
          </w:p>
        </w:tc>
        <w:tc>
          <w:tcPr>
            <w:tcW w:w="1155" w:type="pct"/>
            <w:hideMark/>
          </w:tcPr>
          <w:p w14:paraId="6AE4B402" w14:textId="77777777" w:rsidR="006D3869" w:rsidRPr="005B73E7" w:rsidRDefault="006D3869" w:rsidP="00E03E8A">
            <w:pPr>
              <w:pStyle w:val="Tabletext"/>
            </w:pPr>
            <w:r w:rsidRPr="000F05BC">
              <w:lastRenderedPageBreak/>
              <w:t>NHS England</w:t>
            </w:r>
          </w:p>
        </w:tc>
        <w:tc>
          <w:tcPr>
            <w:tcW w:w="1545" w:type="pct"/>
            <w:hideMark/>
          </w:tcPr>
          <w:p w14:paraId="62DA931B" w14:textId="77777777" w:rsidR="006D3869" w:rsidRPr="00EE065C" w:rsidRDefault="006D3869" w:rsidP="00E03E8A">
            <w:pPr>
              <w:pStyle w:val="Tabletext"/>
            </w:pPr>
            <w:r>
              <w:t>C</w:t>
            </w:r>
            <w:r w:rsidRPr="000F05BC">
              <w:t xml:space="preserve">urrent AI scribes don't generate read codes currently, so clinicians at the moment would have to ensure they added a self care code. delayed scripts are a helpful strategy, although unless the script is forward dated (which provides its </w:t>
            </w:r>
            <w:r w:rsidRPr="000F05BC">
              <w:lastRenderedPageBreak/>
              <w:t>own challenges) then patients can simply walk down to the pharmacy to have them dispensed immediately.</w:t>
            </w:r>
          </w:p>
        </w:tc>
        <w:tc>
          <w:tcPr>
            <w:tcW w:w="1545" w:type="pct"/>
          </w:tcPr>
          <w:p w14:paraId="116EB0A5" w14:textId="694EC27B" w:rsidR="006D3869" w:rsidRDefault="00AB672C" w:rsidP="00E03E8A">
            <w:pPr>
              <w:pStyle w:val="Tabletext"/>
            </w:pPr>
            <w:r w:rsidRPr="00AB672C">
              <w:lastRenderedPageBreak/>
              <w:t xml:space="preserve">Thank you for your comment. </w:t>
            </w:r>
            <w:r w:rsidR="00E165E9" w:rsidRPr="00E165E9">
              <w:t>The indicator was not progressed to publication.</w:t>
            </w:r>
          </w:p>
        </w:tc>
      </w:tr>
      <w:tr w:rsidR="006D3869" w:rsidRPr="00215444" w14:paraId="4EE10018" w14:textId="5E7B6A87" w:rsidTr="006D3869">
        <w:tc>
          <w:tcPr>
            <w:tcW w:w="265" w:type="pct"/>
          </w:tcPr>
          <w:p w14:paraId="1522DEB5" w14:textId="19892EF7" w:rsidR="006D3869" w:rsidRPr="005B73E7" w:rsidRDefault="006D3869" w:rsidP="00E03E8A">
            <w:pPr>
              <w:pStyle w:val="Tabletext"/>
              <w:rPr>
                <w:color w:val="000000"/>
                <w:lang w:eastAsia="en-GB"/>
              </w:rPr>
            </w:pPr>
            <w:r>
              <w:rPr>
                <w:color w:val="000000"/>
                <w:lang w:eastAsia="en-GB"/>
              </w:rPr>
              <w:t>11</w:t>
            </w:r>
          </w:p>
        </w:tc>
        <w:tc>
          <w:tcPr>
            <w:tcW w:w="490" w:type="pct"/>
          </w:tcPr>
          <w:p w14:paraId="75C67E9F" w14:textId="5015C08F" w:rsidR="006D3869" w:rsidRPr="005B73E7" w:rsidRDefault="006D3869" w:rsidP="00E03E8A">
            <w:pPr>
              <w:pStyle w:val="Tabletext"/>
              <w:rPr>
                <w:color w:val="000000"/>
                <w:lang w:eastAsia="en-GB"/>
              </w:rPr>
            </w:pPr>
            <w:r w:rsidRPr="00BC391F">
              <w:rPr>
                <w:color w:val="000000"/>
                <w:lang w:eastAsia="en-GB"/>
              </w:rPr>
              <w:t>GID-IND1033</w:t>
            </w:r>
            <w:r>
              <w:rPr>
                <w:color w:val="000000"/>
                <w:lang w:eastAsia="en-GB"/>
              </w:rPr>
              <w:t>1</w:t>
            </w:r>
          </w:p>
        </w:tc>
        <w:tc>
          <w:tcPr>
            <w:tcW w:w="1155" w:type="pct"/>
          </w:tcPr>
          <w:p w14:paraId="5AF494CB" w14:textId="5FF0551C" w:rsidR="006D3869" w:rsidRPr="005B73E7" w:rsidRDefault="006D3869" w:rsidP="00E03E8A">
            <w:pPr>
              <w:pStyle w:val="Tabletext"/>
            </w:pPr>
            <w:r w:rsidRPr="00BC391F">
              <w:t>General Practitioners Committee England, British Medical Association</w:t>
            </w:r>
          </w:p>
        </w:tc>
        <w:tc>
          <w:tcPr>
            <w:tcW w:w="1545" w:type="pct"/>
          </w:tcPr>
          <w:p w14:paraId="73FD1379" w14:textId="75AF96E1" w:rsidR="006D3869" w:rsidRPr="00EE065C" w:rsidRDefault="006D3869" w:rsidP="00E03E8A">
            <w:pPr>
              <w:pStyle w:val="Tabletext"/>
            </w:pPr>
            <w:r w:rsidRPr="00E03E8A">
              <w:t>This would require tools which make recording in the system quick and access to these is commissioned by individual ICBs so provision is not universal.</w:t>
            </w:r>
          </w:p>
        </w:tc>
        <w:tc>
          <w:tcPr>
            <w:tcW w:w="1545" w:type="pct"/>
          </w:tcPr>
          <w:p w14:paraId="3FB2ACE9" w14:textId="3F85828E" w:rsidR="006D3869" w:rsidRPr="00E03E8A" w:rsidRDefault="00E274BB" w:rsidP="002D0329">
            <w:pPr>
              <w:pStyle w:val="TableText1"/>
              <w:rPr>
                <w:lang w:eastAsia="en-US"/>
              </w:rPr>
            </w:pPr>
            <w:r>
              <w:t xml:space="preserve">Thank you for your comment. </w:t>
            </w:r>
            <w:r w:rsidRPr="00AB672C">
              <w:t xml:space="preserve">The point raised </w:t>
            </w:r>
            <w:r>
              <w:t>was</w:t>
            </w:r>
            <w:r w:rsidRPr="00AB672C">
              <w:t xml:space="preserve"> discussed at the post consultation advisory committee meeting.</w:t>
            </w:r>
            <w:r>
              <w:t xml:space="preserve"> </w:t>
            </w:r>
            <w:r w:rsidR="002D0329" w:rsidRPr="002D0329">
              <w:rPr>
                <w:lang w:eastAsia="en-US"/>
              </w:rPr>
              <w:t>The committee acknowledged</w:t>
            </w:r>
            <w:r w:rsidR="002D0329">
              <w:rPr>
                <w:lang w:eastAsia="en-US"/>
              </w:rPr>
              <w:t xml:space="preserve"> there can be</w:t>
            </w:r>
            <w:r w:rsidR="002D0329" w:rsidRPr="002D0329">
              <w:rPr>
                <w:lang w:eastAsia="en-US"/>
              </w:rPr>
              <w:t xml:space="preserve"> gaps in the recording of clinical codes, </w:t>
            </w:r>
            <w:r w:rsidR="002D0329">
              <w:rPr>
                <w:lang w:eastAsia="en-US"/>
              </w:rPr>
              <w:t>for example due to</w:t>
            </w:r>
            <w:r w:rsidR="002D0329" w:rsidRPr="002D0329">
              <w:rPr>
                <w:lang w:eastAsia="en-US"/>
              </w:rPr>
              <w:t xml:space="preserve"> digital limitations. They agreed that financially incentivising this indicator could pose challenges for GPs, particularly where systems do not easily support accurate or consistent coding.</w:t>
            </w:r>
            <w:r w:rsidR="002D0329">
              <w:rPr>
                <w:lang w:eastAsia="en-US"/>
              </w:rPr>
              <w:t xml:space="preserve"> </w:t>
            </w:r>
            <w:r w:rsidR="00F80FFC">
              <w:t>T</w:t>
            </w:r>
            <w:r>
              <w:t>he committee</w:t>
            </w:r>
            <w:r w:rsidR="00F80FFC">
              <w:t xml:space="preserve"> agreed to</w:t>
            </w:r>
            <w:r>
              <w:t xml:space="preserve"> progress the indicator for publication but not for use in the QOF. </w:t>
            </w:r>
          </w:p>
        </w:tc>
      </w:tr>
      <w:tr w:rsidR="006D3869" w:rsidRPr="00215444" w14:paraId="49A36E2C" w14:textId="44A047C0" w:rsidTr="006D3869">
        <w:tc>
          <w:tcPr>
            <w:tcW w:w="265" w:type="pct"/>
          </w:tcPr>
          <w:p w14:paraId="1A812C8A" w14:textId="046F0B1E" w:rsidR="006D3869" w:rsidRPr="005B73E7" w:rsidRDefault="006D3869" w:rsidP="00BC391F">
            <w:pPr>
              <w:pStyle w:val="Tabletext"/>
              <w:rPr>
                <w:color w:val="000000"/>
                <w:lang w:eastAsia="en-GB"/>
              </w:rPr>
            </w:pPr>
            <w:r>
              <w:rPr>
                <w:color w:val="000000"/>
                <w:lang w:eastAsia="en-GB"/>
              </w:rPr>
              <w:t>12</w:t>
            </w:r>
          </w:p>
        </w:tc>
        <w:tc>
          <w:tcPr>
            <w:tcW w:w="490" w:type="pct"/>
          </w:tcPr>
          <w:p w14:paraId="689674AF" w14:textId="57BBEE7E" w:rsidR="006D3869" w:rsidRPr="005B73E7" w:rsidRDefault="006D3869" w:rsidP="00BC391F">
            <w:pPr>
              <w:pStyle w:val="Tabletext"/>
              <w:rPr>
                <w:color w:val="000000"/>
                <w:lang w:eastAsia="en-GB"/>
              </w:rPr>
            </w:pPr>
            <w:r w:rsidRPr="000414D7">
              <w:rPr>
                <w:color w:val="000000"/>
                <w:lang w:eastAsia="en-GB"/>
              </w:rPr>
              <w:t>GID-IND10331</w:t>
            </w:r>
          </w:p>
        </w:tc>
        <w:tc>
          <w:tcPr>
            <w:tcW w:w="1155" w:type="pct"/>
          </w:tcPr>
          <w:p w14:paraId="6F075382" w14:textId="15A3539E" w:rsidR="006D3869" w:rsidRPr="005B73E7" w:rsidRDefault="006D3869" w:rsidP="00BC391F">
            <w:pPr>
              <w:pStyle w:val="Tabletext"/>
            </w:pPr>
            <w:r w:rsidRPr="00E03E8A">
              <w:t>General Practitioners Committee England, British Medical Association</w:t>
            </w:r>
          </w:p>
        </w:tc>
        <w:tc>
          <w:tcPr>
            <w:tcW w:w="1545" w:type="pct"/>
          </w:tcPr>
          <w:p w14:paraId="071B9EB0" w14:textId="3B7C3959" w:rsidR="006D3869" w:rsidRPr="00E03E8A" w:rsidRDefault="006D3869" w:rsidP="00BC391F">
            <w:pPr>
              <w:pStyle w:val="Tabletext"/>
            </w:pPr>
            <w:r w:rsidRPr="00E03E8A">
              <w:t>As with GID-IND10323 those seen and treated by non-GP providers would need to be accounted for in QOF outcomes.</w:t>
            </w:r>
          </w:p>
        </w:tc>
        <w:tc>
          <w:tcPr>
            <w:tcW w:w="1545" w:type="pct"/>
          </w:tcPr>
          <w:p w14:paraId="06556332" w14:textId="1FEF8C4E" w:rsidR="00E274BB" w:rsidRPr="00E274BB" w:rsidRDefault="00E274BB" w:rsidP="00E274BB">
            <w:pPr>
              <w:pStyle w:val="Tabletext"/>
            </w:pPr>
            <w:r>
              <w:t xml:space="preserve">Thank you for your comment. The point raised was discussed at the post consultation advisory committee meeting. </w:t>
            </w:r>
            <w:r w:rsidRPr="00E274BB">
              <w:t>The committee noted that current strategies aim to shift the management of common infections away from general practice settings.</w:t>
            </w:r>
            <w:r>
              <w:t xml:space="preserve"> The committee </w:t>
            </w:r>
            <w:r>
              <w:lastRenderedPageBreak/>
              <w:t>progressed the indicator for publication but not for use in the QOF.</w:t>
            </w:r>
          </w:p>
          <w:p w14:paraId="53ED7A2C" w14:textId="14CB172F" w:rsidR="006D3869" w:rsidRPr="00E03E8A" w:rsidRDefault="006D3869" w:rsidP="00BC391F">
            <w:pPr>
              <w:pStyle w:val="Tabletext"/>
            </w:pPr>
          </w:p>
        </w:tc>
      </w:tr>
      <w:tr w:rsidR="006D3869" w:rsidRPr="00215444" w14:paraId="3F1896FD" w14:textId="5874D9A0" w:rsidTr="006D3869">
        <w:tc>
          <w:tcPr>
            <w:tcW w:w="265" w:type="pct"/>
          </w:tcPr>
          <w:p w14:paraId="5570D140" w14:textId="29377FFF" w:rsidR="006D3869" w:rsidRDefault="006D3869" w:rsidP="00BC391F">
            <w:pPr>
              <w:pStyle w:val="Tabletext"/>
            </w:pPr>
            <w:r>
              <w:lastRenderedPageBreak/>
              <w:t>13</w:t>
            </w:r>
          </w:p>
        </w:tc>
        <w:tc>
          <w:tcPr>
            <w:tcW w:w="490" w:type="pct"/>
          </w:tcPr>
          <w:p w14:paraId="6418570B" w14:textId="5DB15137" w:rsidR="006D3869" w:rsidRDefault="006D3869" w:rsidP="00BC391F">
            <w:pPr>
              <w:pStyle w:val="Tabletext"/>
            </w:pPr>
            <w:r w:rsidRPr="000414D7">
              <w:rPr>
                <w:color w:val="000000"/>
                <w:lang w:eastAsia="en-GB"/>
              </w:rPr>
              <w:t>GID-IND10331</w:t>
            </w:r>
          </w:p>
        </w:tc>
        <w:tc>
          <w:tcPr>
            <w:tcW w:w="1155" w:type="pct"/>
          </w:tcPr>
          <w:p w14:paraId="14D03630" w14:textId="54BE839B" w:rsidR="006D3869" w:rsidRPr="008215C6" w:rsidRDefault="006D3869" w:rsidP="00BC391F">
            <w:pPr>
              <w:pStyle w:val="Tabletext"/>
            </w:pPr>
            <w:r w:rsidRPr="008215C6">
              <w:t>Primary Care Respiratory Society (PCRS)</w:t>
            </w:r>
          </w:p>
        </w:tc>
        <w:tc>
          <w:tcPr>
            <w:tcW w:w="1545" w:type="pct"/>
          </w:tcPr>
          <w:p w14:paraId="2BCBAFA5" w14:textId="77777777" w:rsidR="006D3869" w:rsidRDefault="006D3869" w:rsidP="00BC391F">
            <w:pPr>
              <w:pStyle w:val="Tabletext"/>
            </w:pPr>
            <w:r>
              <w:t xml:space="preserve">Section 1.2 (point 1): </w:t>
            </w:r>
          </w:p>
          <w:p w14:paraId="401E1AB8" w14:textId="77777777" w:rsidR="006D3869" w:rsidRDefault="006D3869" w:rsidP="00BC391F">
            <w:pPr>
              <w:pStyle w:val="Tabletext"/>
              <w:numPr>
                <w:ilvl w:val="0"/>
                <w:numId w:val="25"/>
              </w:numPr>
            </w:pPr>
            <w:r>
              <w:t>Which of the two scores do NICE recommend? Or should clinicians to both? Should this be at a system level or individual level when deciding on which score as clinicians have limited time allowed for this type of consultation or coding etc.</w:t>
            </w:r>
          </w:p>
          <w:p w14:paraId="5DF3CD26" w14:textId="77777777" w:rsidR="006D3869" w:rsidRDefault="006D3869" w:rsidP="00BC391F">
            <w:pPr>
              <w:pStyle w:val="Tabletext"/>
              <w:numPr>
                <w:ilvl w:val="0"/>
                <w:numId w:val="25"/>
              </w:numPr>
            </w:pPr>
            <w:r>
              <w:t>Are NICE comfortable that FeverPAIN and Centor scores were validated in sufficient groups (older, people with cognitive impairment, socioeconomic differences).</w:t>
            </w:r>
          </w:p>
          <w:p w14:paraId="12BB8637" w14:textId="6D120F82" w:rsidR="006D3869" w:rsidRDefault="006D3869" w:rsidP="00BC391F">
            <w:pPr>
              <w:pStyle w:val="Tabletext"/>
              <w:numPr>
                <w:ilvl w:val="0"/>
                <w:numId w:val="25"/>
              </w:numPr>
            </w:pPr>
            <w:r>
              <w:t>Digital exclusion if clinical concerns would usually result in a face-to-face consultation where potentially a more accurate score would be obtained in comparison to a telephone call, when findings are purely from the history. Since the digital exclusion maybe more accurate for scoring.</w:t>
            </w:r>
          </w:p>
        </w:tc>
        <w:tc>
          <w:tcPr>
            <w:tcW w:w="1545" w:type="pct"/>
          </w:tcPr>
          <w:p w14:paraId="66FAB8C2" w14:textId="7C7C0C48" w:rsidR="006D3869" w:rsidRDefault="006F2619" w:rsidP="00BC391F">
            <w:pPr>
              <w:pStyle w:val="Tabletext"/>
            </w:pPr>
            <w:r>
              <w:t xml:space="preserve">Thank you for your comment. Further information about the use of clinical tools for sore throat management and discussion underpinning the recommendations can be located on the </w:t>
            </w:r>
            <w:hyperlink r:id="rId16" w:history="1">
              <w:r w:rsidRPr="006F2619">
                <w:rPr>
                  <w:rStyle w:val="Hyperlink"/>
                </w:rPr>
                <w:t>NICE guideline webpage</w:t>
              </w:r>
            </w:hyperlink>
            <w:r>
              <w:t xml:space="preserve">. </w:t>
            </w:r>
          </w:p>
          <w:p w14:paraId="3EF157A2" w14:textId="4116A1E4" w:rsidR="006F2619" w:rsidRDefault="006F2619" w:rsidP="00BC391F">
            <w:pPr>
              <w:pStyle w:val="Tabletext"/>
            </w:pPr>
            <w:r>
              <w:t xml:space="preserve">Thank you for your comment on the </w:t>
            </w:r>
            <w:r w:rsidRPr="006F2619">
              <w:t>equality and health inequalities assessment</w:t>
            </w:r>
            <w:r>
              <w:t xml:space="preserve"> regarding digital exclusion. The committee agreed with this </w:t>
            </w:r>
            <w:r w:rsidR="00FE33C6">
              <w:t>point,</w:t>
            </w:r>
            <w:r>
              <w:t xml:space="preserve"> and </w:t>
            </w:r>
            <w:r w:rsidR="00FE33C6">
              <w:t xml:space="preserve">further clarification on this point </w:t>
            </w:r>
            <w:r>
              <w:t xml:space="preserve">has been added to stage 2 of the assessment. </w:t>
            </w:r>
          </w:p>
          <w:p w14:paraId="15CDC1B1" w14:textId="348E6219" w:rsidR="006F2619" w:rsidRDefault="006F2619" w:rsidP="00BC391F">
            <w:pPr>
              <w:pStyle w:val="Tabletext"/>
            </w:pPr>
          </w:p>
        </w:tc>
      </w:tr>
      <w:tr w:rsidR="006D3869" w:rsidRPr="00215444" w14:paraId="1E387AF8" w14:textId="118C72BA" w:rsidTr="006D3869">
        <w:tc>
          <w:tcPr>
            <w:tcW w:w="265" w:type="pct"/>
            <w:hideMark/>
          </w:tcPr>
          <w:p w14:paraId="28CD6B5E" w14:textId="25A6F4E9" w:rsidR="006D3869" w:rsidRDefault="006D3869" w:rsidP="00E03E8A">
            <w:pPr>
              <w:pStyle w:val="Tabletext"/>
            </w:pPr>
            <w:r>
              <w:t>14</w:t>
            </w:r>
          </w:p>
        </w:tc>
        <w:tc>
          <w:tcPr>
            <w:tcW w:w="490" w:type="pct"/>
            <w:hideMark/>
          </w:tcPr>
          <w:p w14:paraId="6B9CB609" w14:textId="4E32CD83" w:rsidR="006D3869" w:rsidRDefault="006D3869" w:rsidP="00E03E8A">
            <w:pPr>
              <w:pStyle w:val="Tabletext"/>
            </w:pPr>
            <w:r w:rsidRPr="00BC391F">
              <w:t>GID-IND10331</w:t>
            </w:r>
          </w:p>
        </w:tc>
        <w:tc>
          <w:tcPr>
            <w:tcW w:w="1155" w:type="pct"/>
            <w:hideMark/>
          </w:tcPr>
          <w:p w14:paraId="76005CA5" w14:textId="30623CCA" w:rsidR="006D3869" w:rsidRPr="005B73E7" w:rsidRDefault="006D3869" w:rsidP="00E03E8A">
            <w:pPr>
              <w:pStyle w:val="Tabletext"/>
            </w:pPr>
            <w:r w:rsidRPr="008215C6">
              <w:t>Primary Care Respiratory Society (PCRS)</w:t>
            </w:r>
          </w:p>
        </w:tc>
        <w:tc>
          <w:tcPr>
            <w:tcW w:w="1545" w:type="pct"/>
            <w:hideMark/>
          </w:tcPr>
          <w:p w14:paraId="06EF1D02" w14:textId="3CC6BEC7" w:rsidR="006D3869" w:rsidRPr="00EE065C" w:rsidRDefault="006D3869" w:rsidP="00E03E8A">
            <w:pPr>
              <w:pStyle w:val="Tabletext"/>
            </w:pPr>
            <w:r w:rsidRPr="000B6FEC">
              <w:t xml:space="preserve">Section 1.3: Clinicians are aware in a number of differing clinical scenarios that </w:t>
            </w:r>
            <w:r w:rsidRPr="000B6FEC">
              <w:lastRenderedPageBreak/>
              <w:t>diagnostic tools and clinical questioning can be unintentionally manipulated by patients so that they obtain the outcome they desire (I was told to come in urgently for a chest x-ray and antibiotics as last time my pneumonia was delayed and was unusual).</w:t>
            </w:r>
          </w:p>
        </w:tc>
        <w:tc>
          <w:tcPr>
            <w:tcW w:w="1545" w:type="pct"/>
          </w:tcPr>
          <w:p w14:paraId="541A11BA" w14:textId="3D9480ED" w:rsidR="006D3869" w:rsidRPr="004E5B5F" w:rsidRDefault="00FE33C6" w:rsidP="004E5B5F">
            <w:pPr>
              <w:pStyle w:val="TableText1"/>
              <w:rPr>
                <w:lang w:eastAsia="en-US"/>
              </w:rPr>
            </w:pPr>
            <w:r>
              <w:lastRenderedPageBreak/>
              <w:t xml:space="preserve">Thank you for your comment. The point raised was discussed at the post </w:t>
            </w:r>
            <w:r>
              <w:lastRenderedPageBreak/>
              <w:t xml:space="preserve">consultation advisory committee meeting. </w:t>
            </w:r>
            <w:r w:rsidR="004E5B5F" w:rsidRPr="004E5B5F">
              <w:rPr>
                <w:lang w:eastAsia="en-US"/>
              </w:rPr>
              <w:t>The committee considered the potential unintended impact</w:t>
            </w:r>
            <w:r w:rsidR="00E165E9">
              <w:rPr>
                <w:lang w:eastAsia="en-US"/>
              </w:rPr>
              <w:t>s</w:t>
            </w:r>
            <w:r w:rsidR="004E5B5F" w:rsidRPr="004E5B5F">
              <w:rPr>
                <w:lang w:eastAsia="en-US"/>
              </w:rPr>
              <w:t xml:space="preserve"> of this indicator</w:t>
            </w:r>
            <w:r w:rsidR="00E165E9">
              <w:rPr>
                <w:lang w:eastAsia="en-US"/>
              </w:rPr>
              <w:t xml:space="preserve"> but noted the strong recommendation in the underpinning guidance</w:t>
            </w:r>
            <w:r w:rsidR="004E5B5F" w:rsidRPr="004E5B5F">
              <w:rPr>
                <w:lang w:eastAsia="en-US"/>
              </w:rPr>
              <w:t>.</w:t>
            </w:r>
          </w:p>
        </w:tc>
      </w:tr>
      <w:tr w:rsidR="006D3869" w:rsidRPr="00215444" w14:paraId="042DEBD1" w14:textId="0726E357" w:rsidTr="006D3869">
        <w:tc>
          <w:tcPr>
            <w:tcW w:w="265" w:type="pct"/>
          </w:tcPr>
          <w:p w14:paraId="77D23A22" w14:textId="6E194DC1" w:rsidR="006D3869" w:rsidRDefault="006D3869" w:rsidP="00BC391F">
            <w:pPr>
              <w:pStyle w:val="Tabletext"/>
            </w:pPr>
            <w:r>
              <w:lastRenderedPageBreak/>
              <w:t>15</w:t>
            </w:r>
          </w:p>
        </w:tc>
        <w:tc>
          <w:tcPr>
            <w:tcW w:w="490" w:type="pct"/>
          </w:tcPr>
          <w:p w14:paraId="570D137A" w14:textId="41A76DB9" w:rsidR="006D3869" w:rsidRDefault="006D3869" w:rsidP="00BC391F">
            <w:pPr>
              <w:pStyle w:val="Tabletext"/>
            </w:pPr>
            <w:r w:rsidRPr="00C56467">
              <w:rPr>
                <w:color w:val="000000"/>
                <w:lang w:eastAsia="en-GB"/>
              </w:rPr>
              <w:t>GID-IND10331</w:t>
            </w:r>
          </w:p>
        </w:tc>
        <w:tc>
          <w:tcPr>
            <w:tcW w:w="1155" w:type="pct"/>
          </w:tcPr>
          <w:p w14:paraId="2BB1032B" w14:textId="3A71E992" w:rsidR="006D3869" w:rsidRPr="005B73E7" w:rsidRDefault="006D3869" w:rsidP="00BC391F">
            <w:pPr>
              <w:pStyle w:val="Tabletext"/>
            </w:pPr>
            <w:r w:rsidRPr="008215C6">
              <w:t>Primary Care Respiratory Society (PCRS)</w:t>
            </w:r>
          </w:p>
        </w:tc>
        <w:tc>
          <w:tcPr>
            <w:tcW w:w="1545" w:type="pct"/>
          </w:tcPr>
          <w:p w14:paraId="40D345EA" w14:textId="07317B3B" w:rsidR="006D3869" w:rsidRPr="00EE065C" w:rsidRDefault="006D3869" w:rsidP="00BC391F">
            <w:pPr>
              <w:pStyle w:val="Tabletext"/>
            </w:pPr>
            <w:r w:rsidRPr="000B6FEC">
              <w:t>Section 1.5: Primary Care Respiratory Society (PCRS)</w:t>
            </w:r>
          </w:p>
        </w:tc>
        <w:tc>
          <w:tcPr>
            <w:tcW w:w="1545" w:type="pct"/>
          </w:tcPr>
          <w:p w14:paraId="79EC411E" w14:textId="6F861CC7" w:rsidR="006D3869" w:rsidRPr="000B6FEC" w:rsidRDefault="00FE33C6" w:rsidP="00BC391F">
            <w:pPr>
              <w:pStyle w:val="Tabletext"/>
            </w:pPr>
            <w:r>
              <w:t>Thank you for your comment.</w:t>
            </w:r>
            <w:r w:rsidR="00F80FFC">
              <w:t xml:space="preserve"> We have added this detail to stage 2 of the </w:t>
            </w:r>
            <w:r w:rsidR="00F80FFC" w:rsidRPr="006F2619">
              <w:t>equality and health inequalities assessment</w:t>
            </w:r>
            <w:r w:rsidR="00F80FFC">
              <w:t>.</w:t>
            </w:r>
          </w:p>
        </w:tc>
      </w:tr>
      <w:tr w:rsidR="006D3869" w:rsidRPr="00215444" w14:paraId="3029F4D0" w14:textId="778B04CC" w:rsidTr="006D3869">
        <w:tc>
          <w:tcPr>
            <w:tcW w:w="265" w:type="pct"/>
            <w:hideMark/>
          </w:tcPr>
          <w:p w14:paraId="70BC612D" w14:textId="43BEF56F" w:rsidR="006D3869" w:rsidRDefault="006D3869" w:rsidP="00BC391F">
            <w:pPr>
              <w:pStyle w:val="Tabletext"/>
            </w:pPr>
            <w:r>
              <w:t>16</w:t>
            </w:r>
          </w:p>
        </w:tc>
        <w:tc>
          <w:tcPr>
            <w:tcW w:w="490" w:type="pct"/>
            <w:hideMark/>
          </w:tcPr>
          <w:p w14:paraId="05E8FAA8" w14:textId="7AEA4A40" w:rsidR="006D3869" w:rsidRDefault="006D3869" w:rsidP="00BC391F">
            <w:pPr>
              <w:pStyle w:val="Tabletext"/>
            </w:pPr>
            <w:r w:rsidRPr="00C56467">
              <w:rPr>
                <w:color w:val="000000"/>
                <w:lang w:eastAsia="en-GB"/>
              </w:rPr>
              <w:t>GID-IND10331</w:t>
            </w:r>
          </w:p>
        </w:tc>
        <w:tc>
          <w:tcPr>
            <w:tcW w:w="1155" w:type="pct"/>
            <w:hideMark/>
          </w:tcPr>
          <w:p w14:paraId="55E4A385" w14:textId="3491BD96" w:rsidR="006D3869" w:rsidRPr="005B73E7" w:rsidRDefault="006D3869" w:rsidP="00BC391F">
            <w:pPr>
              <w:pStyle w:val="Tabletext"/>
            </w:pPr>
            <w:r w:rsidRPr="008215C6">
              <w:t>Primary Care Respiratory Society (PCRS)</w:t>
            </w:r>
          </w:p>
        </w:tc>
        <w:tc>
          <w:tcPr>
            <w:tcW w:w="1545" w:type="pct"/>
            <w:hideMark/>
          </w:tcPr>
          <w:p w14:paraId="3F6210C4" w14:textId="41E990A9" w:rsidR="006D3869" w:rsidRPr="00EE065C" w:rsidRDefault="006D3869" w:rsidP="00BC391F">
            <w:pPr>
              <w:pStyle w:val="Tabletext"/>
            </w:pPr>
            <w:r w:rsidRPr="00E6369D">
              <w:t>Section 1.6: Is it clear in the guidance who are those considered immunosuppressed to make care more straightforward for clinicians.</w:t>
            </w:r>
          </w:p>
        </w:tc>
        <w:tc>
          <w:tcPr>
            <w:tcW w:w="1545" w:type="pct"/>
          </w:tcPr>
          <w:p w14:paraId="2B43EB57" w14:textId="59D5B617" w:rsidR="006D3869" w:rsidRPr="00E6369D" w:rsidRDefault="00E165E9" w:rsidP="00BC391F">
            <w:pPr>
              <w:pStyle w:val="Tabletext"/>
            </w:pPr>
            <w:r>
              <w:t>Thank you for your comment. The exclusion of people who are immunosuppressed was discussed by the committee who agreed that it should be replaced by consideration as a personalised care adjustment.</w:t>
            </w:r>
          </w:p>
        </w:tc>
      </w:tr>
      <w:tr w:rsidR="004E5B5F" w:rsidRPr="00215444" w14:paraId="6789D772" w14:textId="67A82B5D" w:rsidTr="006D3869">
        <w:tc>
          <w:tcPr>
            <w:tcW w:w="265" w:type="pct"/>
            <w:hideMark/>
          </w:tcPr>
          <w:p w14:paraId="54A19F96" w14:textId="4B1D7025" w:rsidR="004E5B5F" w:rsidRPr="00E03E8A" w:rsidRDefault="004E5B5F" w:rsidP="004E5B5F">
            <w:pPr>
              <w:pStyle w:val="Tabletext"/>
            </w:pPr>
            <w:r w:rsidRPr="00E03E8A">
              <w:t>1</w:t>
            </w:r>
            <w:r>
              <w:t>7</w:t>
            </w:r>
          </w:p>
        </w:tc>
        <w:tc>
          <w:tcPr>
            <w:tcW w:w="490" w:type="pct"/>
            <w:hideMark/>
          </w:tcPr>
          <w:p w14:paraId="57741708" w14:textId="7CA6B0A5" w:rsidR="004E5B5F" w:rsidRPr="00E03E8A" w:rsidRDefault="004E5B5F" w:rsidP="004E5B5F">
            <w:pPr>
              <w:pStyle w:val="Tabletext"/>
            </w:pPr>
            <w:r w:rsidRPr="00C56467">
              <w:rPr>
                <w:color w:val="000000"/>
                <w:lang w:eastAsia="en-GB"/>
              </w:rPr>
              <w:t>GID-IND10331</w:t>
            </w:r>
          </w:p>
        </w:tc>
        <w:tc>
          <w:tcPr>
            <w:tcW w:w="1155" w:type="pct"/>
            <w:hideMark/>
          </w:tcPr>
          <w:p w14:paraId="1BA46A12" w14:textId="0EFE1255" w:rsidR="004E5B5F" w:rsidRPr="00EE065C" w:rsidRDefault="004E5B5F" w:rsidP="004E5B5F">
            <w:pPr>
              <w:pStyle w:val="Tabletext"/>
              <w:rPr>
                <w:color w:val="000000"/>
                <w:highlight w:val="cyan"/>
                <w:lang w:eastAsia="en-GB"/>
              </w:rPr>
            </w:pPr>
            <w:r w:rsidRPr="008215C6">
              <w:t>Primary Care Respiratory Society (PCRS)</w:t>
            </w:r>
          </w:p>
        </w:tc>
        <w:tc>
          <w:tcPr>
            <w:tcW w:w="1545" w:type="pct"/>
            <w:hideMark/>
          </w:tcPr>
          <w:p w14:paraId="0D85F80E" w14:textId="71B3BB40" w:rsidR="004E5B5F" w:rsidRPr="00EE065C" w:rsidRDefault="004E5B5F" w:rsidP="004E5B5F">
            <w:pPr>
              <w:pStyle w:val="Tabletext"/>
              <w:rPr>
                <w:color w:val="000000"/>
                <w:highlight w:val="cyan"/>
                <w:lang w:eastAsia="en-GB"/>
              </w:rPr>
            </w:pPr>
            <w:r w:rsidRPr="00A47D87">
              <w:rPr>
                <w:color w:val="000000"/>
                <w:lang w:eastAsia="en-GB"/>
              </w:rPr>
              <w:t>Section 1.7: Time available. Equally a</w:t>
            </w:r>
            <w:r>
              <w:rPr>
                <w:color w:val="000000"/>
                <w:lang w:eastAsia="en-GB"/>
              </w:rPr>
              <w:t xml:space="preserve"> </w:t>
            </w:r>
            <w:r w:rsidRPr="00A47D87">
              <w:rPr>
                <w:color w:val="000000"/>
                <w:lang w:eastAsia="en-GB"/>
              </w:rPr>
              <w:t xml:space="preserve">lot of clinician involved in primary care consultation (clinical pharmacists) do not have access to coded systems. Is this purely a primary care issue as a lot of people present to other environments (emergency departments, unscheduled care). Consistency across the system would be appropriate to deliver consistent messages to patients (if a specialist in an emergency department does not need to </w:t>
            </w:r>
            <w:r w:rsidRPr="00A47D87">
              <w:rPr>
                <w:color w:val="000000"/>
                <w:lang w:eastAsia="en-GB"/>
              </w:rPr>
              <w:lastRenderedPageBreak/>
              <w:t>use the score) despite having seen alot less sore throats than many in primary care the message the patient receives may not be useful in the long run for choosing their source of clinical care.</w:t>
            </w:r>
          </w:p>
        </w:tc>
        <w:tc>
          <w:tcPr>
            <w:tcW w:w="1545" w:type="pct"/>
          </w:tcPr>
          <w:p w14:paraId="399488EB" w14:textId="6A74F773" w:rsidR="004E5B5F" w:rsidRPr="00A47D87" w:rsidRDefault="004E5B5F" w:rsidP="004E5B5F">
            <w:pPr>
              <w:pStyle w:val="Tabletext"/>
              <w:rPr>
                <w:color w:val="000000"/>
                <w:lang w:eastAsia="en-GB"/>
              </w:rPr>
            </w:pPr>
            <w:r>
              <w:lastRenderedPageBreak/>
              <w:t xml:space="preserve">Thank you for your comment. </w:t>
            </w:r>
            <w:r w:rsidRPr="00AB672C">
              <w:t xml:space="preserve">The point raised </w:t>
            </w:r>
            <w:r>
              <w:t>was</w:t>
            </w:r>
            <w:r w:rsidRPr="00AB672C">
              <w:t xml:space="preserve"> discussed at the post consultation advisory committee meeting.</w:t>
            </w:r>
            <w:r>
              <w:t xml:space="preserve"> </w:t>
            </w:r>
            <w:r w:rsidRPr="002D0329">
              <w:t>The committee acknowledged</w:t>
            </w:r>
            <w:r>
              <w:t xml:space="preserve"> there can be</w:t>
            </w:r>
            <w:r w:rsidRPr="002D0329">
              <w:t xml:space="preserve"> gaps in the recording of clinical codes, </w:t>
            </w:r>
            <w:r>
              <w:t>for example due to</w:t>
            </w:r>
            <w:r w:rsidRPr="002D0329">
              <w:t xml:space="preserve"> digital limitations. They agreed that financially incentivising this indicator could pose challenges for GPs, particularly where systems do not easily support accurate or consistent coding.</w:t>
            </w:r>
            <w:r>
              <w:t xml:space="preserve"> The committee agreed to </w:t>
            </w:r>
            <w:r>
              <w:lastRenderedPageBreak/>
              <w:t>progress the indicator for publication but not for use in the QOF.</w:t>
            </w:r>
          </w:p>
        </w:tc>
      </w:tr>
      <w:tr w:rsidR="004E5B5F" w:rsidRPr="00215444" w14:paraId="397653A0" w14:textId="12557C0F" w:rsidTr="006D3869">
        <w:tc>
          <w:tcPr>
            <w:tcW w:w="265" w:type="pct"/>
            <w:hideMark/>
          </w:tcPr>
          <w:p w14:paraId="7275F085" w14:textId="744BBD66" w:rsidR="004E5B5F" w:rsidRPr="005B73E7" w:rsidRDefault="004E5B5F" w:rsidP="004E5B5F">
            <w:pPr>
              <w:pStyle w:val="Tabletext"/>
              <w:rPr>
                <w:color w:val="000000"/>
                <w:lang w:eastAsia="en-GB"/>
              </w:rPr>
            </w:pPr>
            <w:r>
              <w:lastRenderedPageBreak/>
              <w:t>18</w:t>
            </w:r>
          </w:p>
        </w:tc>
        <w:tc>
          <w:tcPr>
            <w:tcW w:w="490" w:type="pct"/>
            <w:hideMark/>
          </w:tcPr>
          <w:p w14:paraId="3199099D" w14:textId="2EFDF5CB" w:rsidR="004E5B5F" w:rsidRPr="005B73E7" w:rsidRDefault="004E5B5F" w:rsidP="004E5B5F">
            <w:pPr>
              <w:pStyle w:val="Tabletext"/>
              <w:rPr>
                <w:color w:val="000000"/>
                <w:lang w:eastAsia="en-GB"/>
              </w:rPr>
            </w:pPr>
            <w:r w:rsidRPr="00BC391F">
              <w:rPr>
                <w:color w:val="000000"/>
                <w:lang w:eastAsia="en-GB"/>
              </w:rPr>
              <w:t>GID-IND10331</w:t>
            </w:r>
            <w:r>
              <w:rPr>
                <w:color w:val="000000"/>
                <w:lang w:eastAsia="en-GB"/>
              </w:rPr>
              <w:t xml:space="preserve"> Question 10</w:t>
            </w:r>
            <w:r>
              <w:rPr>
                <w:color w:val="000000"/>
              </w:rPr>
              <w:t xml:space="preserve">: </w:t>
            </w:r>
            <w:r w:rsidRPr="00E47A68">
              <w:rPr>
                <w:szCs w:val="18"/>
              </w:rPr>
              <w:t>Are there</w:t>
            </w:r>
            <w:r>
              <w:rPr>
                <w:szCs w:val="18"/>
              </w:rPr>
              <w:t xml:space="preserve"> </w:t>
            </w:r>
            <w:r w:rsidRPr="00E47A68">
              <w:rPr>
                <w:szCs w:val="18"/>
              </w:rPr>
              <w:t>barriers to recording these scores consistently in primary care?</w:t>
            </w:r>
          </w:p>
        </w:tc>
        <w:tc>
          <w:tcPr>
            <w:tcW w:w="1155" w:type="pct"/>
            <w:hideMark/>
          </w:tcPr>
          <w:p w14:paraId="5712AA12" w14:textId="166CABE4" w:rsidR="004E5B5F" w:rsidRPr="005B73E7" w:rsidRDefault="004E5B5F" w:rsidP="004E5B5F">
            <w:pPr>
              <w:pStyle w:val="Tabletext"/>
            </w:pPr>
            <w:r>
              <w:rPr>
                <w:color w:val="000000"/>
                <w:lang w:eastAsia="en-GB"/>
              </w:rPr>
              <w:t>NHS England</w:t>
            </w:r>
          </w:p>
        </w:tc>
        <w:tc>
          <w:tcPr>
            <w:tcW w:w="1545" w:type="pct"/>
            <w:hideMark/>
          </w:tcPr>
          <w:p w14:paraId="02134CCF" w14:textId="34A3D751" w:rsidR="004E5B5F" w:rsidRPr="00EE065C" w:rsidRDefault="004E5B5F" w:rsidP="004E5B5F">
            <w:pPr>
              <w:pStyle w:val="Tabletext"/>
            </w:pPr>
            <w:r w:rsidRPr="00B32B19">
              <w:t>GP</w:t>
            </w:r>
            <w:r>
              <w:t xml:space="preserve"> </w:t>
            </w:r>
            <w:r w:rsidRPr="00B32B19">
              <w:t xml:space="preserve">IT systems don't always have inbuilt decision aid tools/scoring systems, so the clinician needs to know where to look for these and these need to be validated and reliable versions. </w:t>
            </w:r>
            <w:r w:rsidR="00740AC7" w:rsidRPr="00B32B19">
              <w:t>otherwise,</w:t>
            </w:r>
            <w:r w:rsidRPr="00B32B19">
              <w:t xml:space="preserve"> these are helpful tools when assessing patients.</w:t>
            </w:r>
          </w:p>
        </w:tc>
        <w:tc>
          <w:tcPr>
            <w:tcW w:w="1545" w:type="pct"/>
          </w:tcPr>
          <w:p w14:paraId="7485195F" w14:textId="010134FD" w:rsidR="004E5B5F" w:rsidRPr="00B32B19" w:rsidRDefault="004E5B5F" w:rsidP="004E5B5F">
            <w:pPr>
              <w:pStyle w:val="Tabletext"/>
            </w:pPr>
            <w:r>
              <w:t xml:space="preserve">Thank you for your comment. </w:t>
            </w:r>
            <w:r w:rsidRPr="00AB672C">
              <w:t xml:space="preserve">The point raised </w:t>
            </w:r>
            <w:r>
              <w:t>was</w:t>
            </w:r>
            <w:r w:rsidRPr="00AB672C">
              <w:t xml:space="preserve"> discussed at the post consultation advisory committee meeting.</w:t>
            </w:r>
            <w:r>
              <w:t xml:space="preserve"> </w:t>
            </w:r>
            <w:r w:rsidRPr="002D0329">
              <w:t>The committee acknowledged</w:t>
            </w:r>
            <w:r>
              <w:t xml:space="preserve"> there can be</w:t>
            </w:r>
            <w:r w:rsidRPr="002D0329">
              <w:t xml:space="preserve"> gaps in the recording of clinical codes, </w:t>
            </w:r>
            <w:r>
              <w:t>for example due to</w:t>
            </w:r>
            <w:r w:rsidRPr="002D0329">
              <w:t xml:space="preserve"> digital limitations. They agreed that financially incentivising this indicator could pose challenges for GPs, particularly where systems do not easily support accurate or consistent coding.</w:t>
            </w:r>
            <w:r>
              <w:t xml:space="preserve"> The committee agreed to progress the indicator for publication but not for use in the QOF.</w:t>
            </w:r>
          </w:p>
        </w:tc>
      </w:tr>
      <w:tr w:rsidR="004E5B5F" w:rsidRPr="00215444" w14:paraId="59D421BD" w14:textId="312B4E1E" w:rsidTr="006D3869">
        <w:tc>
          <w:tcPr>
            <w:tcW w:w="265" w:type="pct"/>
          </w:tcPr>
          <w:p w14:paraId="551EEB81" w14:textId="638A0747" w:rsidR="004E5B5F" w:rsidRDefault="004E5B5F" w:rsidP="004E5B5F">
            <w:pPr>
              <w:pStyle w:val="Tabletext"/>
            </w:pPr>
            <w:r>
              <w:t>19</w:t>
            </w:r>
          </w:p>
        </w:tc>
        <w:tc>
          <w:tcPr>
            <w:tcW w:w="490" w:type="pct"/>
          </w:tcPr>
          <w:p w14:paraId="1E3D8E4E" w14:textId="1059CFD4" w:rsidR="004E5B5F" w:rsidRDefault="004E5B5F" w:rsidP="004E5B5F">
            <w:pPr>
              <w:pStyle w:val="Tabletext"/>
              <w:rPr>
                <w:color w:val="000000"/>
                <w:lang w:eastAsia="en-GB"/>
              </w:rPr>
            </w:pPr>
            <w:r w:rsidRPr="00BC391F">
              <w:rPr>
                <w:color w:val="000000"/>
                <w:lang w:eastAsia="en-GB"/>
              </w:rPr>
              <w:t>GID-IND10331</w:t>
            </w:r>
            <w:r>
              <w:rPr>
                <w:color w:val="000000"/>
                <w:lang w:eastAsia="en-GB"/>
              </w:rPr>
              <w:t xml:space="preserve"> Question 10</w:t>
            </w:r>
            <w:r>
              <w:rPr>
                <w:color w:val="000000"/>
              </w:rPr>
              <w:t xml:space="preserve">: </w:t>
            </w:r>
            <w:r w:rsidRPr="00E47A68">
              <w:rPr>
                <w:szCs w:val="18"/>
              </w:rPr>
              <w:t>Are there</w:t>
            </w:r>
            <w:r>
              <w:rPr>
                <w:szCs w:val="18"/>
              </w:rPr>
              <w:t xml:space="preserve"> </w:t>
            </w:r>
            <w:r w:rsidRPr="00E47A68">
              <w:rPr>
                <w:szCs w:val="18"/>
              </w:rPr>
              <w:t xml:space="preserve">barriers to recording these scores </w:t>
            </w:r>
            <w:r w:rsidRPr="00E47A68">
              <w:rPr>
                <w:szCs w:val="18"/>
              </w:rPr>
              <w:lastRenderedPageBreak/>
              <w:t>consistently in primary care?</w:t>
            </w:r>
          </w:p>
        </w:tc>
        <w:tc>
          <w:tcPr>
            <w:tcW w:w="1155" w:type="pct"/>
          </w:tcPr>
          <w:p w14:paraId="3A890307" w14:textId="2EC1CD5F" w:rsidR="004E5B5F" w:rsidRDefault="004E5B5F" w:rsidP="004E5B5F">
            <w:pPr>
              <w:pStyle w:val="Tabletext"/>
              <w:rPr>
                <w:color w:val="000000"/>
                <w:lang w:eastAsia="en-GB"/>
              </w:rPr>
            </w:pPr>
            <w:r w:rsidRPr="00E03E8A">
              <w:lastRenderedPageBreak/>
              <w:t>General Practitioners Committee England, British Medical Association</w:t>
            </w:r>
          </w:p>
        </w:tc>
        <w:tc>
          <w:tcPr>
            <w:tcW w:w="1545" w:type="pct"/>
          </w:tcPr>
          <w:p w14:paraId="35460254" w14:textId="2AE3691B" w:rsidR="004E5B5F" w:rsidRPr="00B32B19" w:rsidRDefault="004E5B5F" w:rsidP="004E5B5F">
            <w:pPr>
              <w:pStyle w:val="Tabletext"/>
            </w:pPr>
            <w:r w:rsidRPr="00E03E8A">
              <w:t>Whilst this would potentially affect coding of sore throat it would not affect long term care nor be added to problem lists by majority of GP teams. However, it would make data extraction in the future looking at tonsillitis/strep throat less robust and useful on a public health level.</w:t>
            </w:r>
          </w:p>
        </w:tc>
        <w:tc>
          <w:tcPr>
            <w:tcW w:w="1545" w:type="pct"/>
          </w:tcPr>
          <w:p w14:paraId="6560B16F" w14:textId="1FB38C93" w:rsidR="004E5B5F" w:rsidRPr="00E03E8A" w:rsidRDefault="004E5B5F" w:rsidP="004E5B5F">
            <w:pPr>
              <w:pStyle w:val="Tabletext"/>
            </w:pPr>
            <w:r>
              <w:t xml:space="preserve">Thank you for your comment. </w:t>
            </w:r>
            <w:r w:rsidRPr="00AB672C">
              <w:t xml:space="preserve">The point raised </w:t>
            </w:r>
            <w:r>
              <w:t>was</w:t>
            </w:r>
            <w:r w:rsidRPr="00AB672C">
              <w:t xml:space="preserve"> discussed at the post consultation advisory committee meeting.</w:t>
            </w:r>
            <w:r>
              <w:t xml:space="preserve"> </w:t>
            </w:r>
            <w:r w:rsidRPr="002D0329">
              <w:t>The committee expressed concern that financially incentivising this indicator could lead to changes in clinical coding practices rather than improvements in</w:t>
            </w:r>
            <w:r>
              <w:t xml:space="preserve"> </w:t>
            </w:r>
            <w:r w:rsidRPr="002D0329">
              <w:t xml:space="preserve">care delivery. They also noted the risk of unintended consequences, such as a </w:t>
            </w:r>
            <w:r w:rsidRPr="002D0329">
              <w:lastRenderedPageBreak/>
              <w:t>potential increase in antibiotic prescribing.</w:t>
            </w:r>
            <w:r>
              <w:t xml:space="preserve"> The committee agreed to progress the indicator for publication but not for use in the QOF.</w:t>
            </w:r>
          </w:p>
        </w:tc>
      </w:tr>
    </w:tbl>
    <w:p w14:paraId="17B1B744" w14:textId="77777777" w:rsidR="00D712FC" w:rsidRPr="00CF2E5C" w:rsidRDefault="00D712FC" w:rsidP="002E482A">
      <w:pPr>
        <w:pStyle w:val="Paragraph"/>
      </w:pPr>
    </w:p>
    <w:sectPr w:rsidR="00D712FC" w:rsidRPr="00CF2E5C" w:rsidSect="00D712FC">
      <w:pgSz w:w="16838" w:h="11906" w:orient="landscape"/>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CBB47" w14:textId="77777777" w:rsidR="00706246" w:rsidRDefault="00706246" w:rsidP="00446BEE">
      <w:r>
        <w:separator/>
      </w:r>
    </w:p>
  </w:endnote>
  <w:endnote w:type="continuationSeparator" w:id="0">
    <w:p w14:paraId="539AD410" w14:textId="77777777" w:rsidR="00706246" w:rsidRDefault="0070624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8DA8" w14:textId="32DFA751" w:rsidR="00446BEE" w:rsidRDefault="00940096" w:rsidP="00446BEE">
    <w:pPr>
      <w:pStyle w:val="Footer"/>
    </w:pPr>
    <w:r>
      <w:t>IND323</w:t>
    </w:r>
    <w:r w:rsidR="006647F6" w:rsidRPr="006647F6">
      <w:t>: infections consultation report</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FA2C5A">
      <w:fldChar w:fldCharType="begin"/>
    </w:r>
    <w:r w:rsidR="00FA2C5A">
      <w:instrText xml:space="preserve"> NUMPAGES  </w:instrText>
    </w:r>
    <w:r w:rsidR="00FA2C5A">
      <w:fldChar w:fldCharType="separate"/>
    </w:r>
    <w:r w:rsidR="00FA2C5A">
      <w:rPr>
        <w:noProof/>
      </w:rPr>
      <w:t>1</w:t>
    </w:r>
    <w:r w:rsidR="00FA2C5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CC64E03" w14:textId="45845D3F" w:rsidR="008E7826" w:rsidRPr="00042388" w:rsidRDefault="00940096" w:rsidP="008E7826">
            <w:pPr>
              <w:pStyle w:val="Footer"/>
            </w:pPr>
            <w:r>
              <w:t xml:space="preserve">IND323 </w:t>
            </w:r>
            <w:r w:rsidR="006647F6" w:rsidRPr="00042388">
              <w:t xml:space="preserve">infections </w:t>
            </w:r>
            <w:r w:rsidR="002E482A" w:rsidRPr="00042388">
              <w:t xml:space="preserve">consultation report </w:t>
            </w:r>
            <w:r w:rsidR="008E7826" w:rsidRPr="00042388">
              <w:tab/>
            </w:r>
            <w:r w:rsidR="008E7826" w:rsidRPr="00042388">
              <w:tab/>
              <w:t xml:space="preserve">Page </w:t>
            </w:r>
            <w:r w:rsidR="008E7826" w:rsidRPr="00042388">
              <w:rPr>
                <w:sz w:val="24"/>
              </w:rPr>
              <w:fldChar w:fldCharType="begin"/>
            </w:r>
            <w:r w:rsidR="008E7826" w:rsidRPr="00042388">
              <w:instrText xml:space="preserve"> PAGE </w:instrText>
            </w:r>
            <w:r w:rsidR="008E7826" w:rsidRPr="00042388">
              <w:rPr>
                <w:sz w:val="24"/>
              </w:rPr>
              <w:fldChar w:fldCharType="separate"/>
            </w:r>
            <w:r w:rsidR="008E7826" w:rsidRPr="00042388">
              <w:rPr>
                <w:noProof/>
              </w:rPr>
              <w:t>2</w:t>
            </w:r>
            <w:r w:rsidR="008E7826" w:rsidRPr="00042388">
              <w:rPr>
                <w:sz w:val="24"/>
              </w:rPr>
              <w:fldChar w:fldCharType="end"/>
            </w:r>
            <w:r w:rsidR="008E7826" w:rsidRPr="00042388">
              <w:t xml:space="preserve"> of </w:t>
            </w:r>
            <w:r w:rsidR="008E7826" w:rsidRPr="00042388">
              <w:fldChar w:fldCharType="begin"/>
            </w:r>
            <w:r w:rsidR="008E7826" w:rsidRPr="00042388">
              <w:instrText xml:space="preserve"> NUMPAGES  </w:instrText>
            </w:r>
            <w:r w:rsidR="008E7826" w:rsidRPr="00042388">
              <w:fldChar w:fldCharType="separate"/>
            </w:r>
            <w:r w:rsidR="008E7826" w:rsidRPr="00042388">
              <w:rPr>
                <w:noProof/>
              </w:rPr>
              <w:t>2</w:t>
            </w:r>
            <w:r w:rsidR="008E7826" w:rsidRPr="00042388">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6F78" w14:textId="77777777" w:rsidR="00706246" w:rsidRDefault="00706246" w:rsidP="00446BEE">
      <w:r>
        <w:separator/>
      </w:r>
    </w:p>
  </w:footnote>
  <w:footnote w:type="continuationSeparator" w:id="0">
    <w:p w14:paraId="792D3C32" w14:textId="77777777" w:rsidR="00706246" w:rsidRDefault="0070624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F09A" w14:textId="77777777" w:rsidR="008F6FB7" w:rsidRDefault="008F6FB7">
    <w:pPr>
      <w:pStyle w:val="Header"/>
    </w:pPr>
    <w:r>
      <w:rPr>
        <w:noProof/>
      </w:rPr>
      <w:drawing>
        <wp:inline distT="0" distB="0" distL="0" distR="0" wp14:anchorId="7F4CFA35" wp14:editId="088F155A">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C40C75B2"/>
    <w:lvl w:ilvl="0" w:tplc="A85A06A8">
      <w:start w:val="1"/>
      <w:numFmt w:val="decimal"/>
      <w:pStyle w:val="ParagraphNumbered"/>
      <w:lvlText w:val="%1."/>
      <w:lvlJc w:val="left"/>
      <w:pPr>
        <w:ind w:left="851" w:hanging="851"/>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5" w15:restartNumberingAfterBreak="0">
    <w:nsid w:val="6F4162CD"/>
    <w:multiLevelType w:val="hybridMultilevel"/>
    <w:tmpl w:val="47D29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384370">
    <w:abstractNumId w:val="11"/>
  </w:num>
  <w:num w:numId="2" w16cid:durableId="1271931310">
    <w:abstractNumId w:val="13"/>
  </w:num>
  <w:num w:numId="3" w16cid:durableId="987441700">
    <w:abstractNumId w:val="13"/>
    <w:lvlOverride w:ilvl="0">
      <w:startOverride w:val="1"/>
    </w:lvlOverride>
  </w:num>
  <w:num w:numId="4" w16cid:durableId="1499422565">
    <w:abstractNumId w:val="13"/>
    <w:lvlOverride w:ilvl="0">
      <w:startOverride w:val="1"/>
    </w:lvlOverride>
  </w:num>
  <w:num w:numId="5" w16cid:durableId="2069916214">
    <w:abstractNumId w:val="13"/>
    <w:lvlOverride w:ilvl="0">
      <w:startOverride w:val="1"/>
    </w:lvlOverride>
  </w:num>
  <w:num w:numId="6" w16cid:durableId="1714303981">
    <w:abstractNumId w:val="13"/>
    <w:lvlOverride w:ilvl="0">
      <w:startOverride w:val="1"/>
    </w:lvlOverride>
  </w:num>
  <w:num w:numId="7" w16cid:durableId="1383334273">
    <w:abstractNumId w:val="13"/>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1"/>
  </w:num>
  <w:num w:numId="21" w16cid:durableId="1595244151">
    <w:abstractNumId w:val="13"/>
  </w:num>
  <w:num w:numId="22" w16cid:durableId="368646558">
    <w:abstractNumId w:val="10"/>
  </w:num>
  <w:num w:numId="23" w16cid:durableId="534393170">
    <w:abstractNumId w:val="12"/>
  </w:num>
  <w:num w:numId="24" w16cid:durableId="609512517">
    <w:abstractNumId w:val="14"/>
  </w:num>
  <w:num w:numId="25" w16cid:durableId="20216641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46"/>
    <w:rsid w:val="00004565"/>
    <w:rsid w:val="000053F8"/>
    <w:rsid w:val="0000760C"/>
    <w:rsid w:val="00024D0A"/>
    <w:rsid w:val="00042388"/>
    <w:rsid w:val="0004525F"/>
    <w:rsid w:val="00070065"/>
    <w:rsid w:val="00090AC3"/>
    <w:rsid w:val="000A4FEE"/>
    <w:rsid w:val="000A56A9"/>
    <w:rsid w:val="000B5939"/>
    <w:rsid w:val="000B6FEC"/>
    <w:rsid w:val="000E3827"/>
    <w:rsid w:val="000F05BC"/>
    <w:rsid w:val="001134E7"/>
    <w:rsid w:val="001264BE"/>
    <w:rsid w:val="00126D5D"/>
    <w:rsid w:val="001336FF"/>
    <w:rsid w:val="00136206"/>
    <w:rsid w:val="00137399"/>
    <w:rsid w:val="00153702"/>
    <w:rsid w:val="00157BBE"/>
    <w:rsid w:val="0017169E"/>
    <w:rsid w:val="001A6635"/>
    <w:rsid w:val="001B0EE9"/>
    <w:rsid w:val="001B1B1D"/>
    <w:rsid w:val="001B40ED"/>
    <w:rsid w:val="001B65B3"/>
    <w:rsid w:val="001C72ED"/>
    <w:rsid w:val="001E60D6"/>
    <w:rsid w:val="002013A4"/>
    <w:rsid w:val="002100C3"/>
    <w:rsid w:val="002124D5"/>
    <w:rsid w:val="002141A6"/>
    <w:rsid w:val="00224FD4"/>
    <w:rsid w:val="002408EA"/>
    <w:rsid w:val="0025603E"/>
    <w:rsid w:val="002646C9"/>
    <w:rsid w:val="00273412"/>
    <w:rsid w:val="00277023"/>
    <w:rsid w:val="002819D7"/>
    <w:rsid w:val="002C1A7E"/>
    <w:rsid w:val="002D0329"/>
    <w:rsid w:val="002D3376"/>
    <w:rsid w:val="002E482A"/>
    <w:rsid w:val="002E55DE"/>
    <w:rsid w:val="00310132"/>
    <w:rsid w:val="00311ED0"/>
    <w:rsid w:val="00352706"/>
    <w:rsid w:val="003648C5"/>
    <w:rsid w:val="003722FA"/>
    <w:rsid w:val="00386545"/>
    <w:rsid w:val="003C7AAF"/>
    <w:rsid w:val="003D7E4F"/>
    <w:rsid w:val="003E0E13"/>
    <w:rsid w:val="003F0A04"/>
    <w:rsid w:val="003F1C1C"/>
    <w:rsid w:val="003F28AC"/>
    <w:rsid w:val="00400275"/>
    <w:rsid w:val="004075B6"/>
    <w:rsid w:val="00420952"/>
    <w:rsid w:val="004425E7"/>
    <w:rsid w:val="00446BEE"/>
    <w:rsid w:val="00484126"/>
    <w:rsid w:val="004963BF"/>
    <w:rsid w:val="004C3087"/>
    <w:rsid w:val="004E5B5F"/>
    <w:rsid w:val="005025A1"/>
    <w:rsid w:val="00531502"/>
    <w:rsid w:val="0058079B"/>
    <w:rsid w:val="00594C3A"/>
    <w:rsid w:val="005A02D5"/>
    <w:rsid w:val="005A31FE"/>
    <w:rsid w:val="005B4B4C"/>
    <w:rsid w:val="005D52D0"/>
    <w:rsid w:val="00606767"/>
    <w:rsid w:val="00624140"/>
    <w:rsid w:val="006301F2"/>
    <w:rsid w:val="00633471"/>
    <w:rsid w:val="00636E05"/>
    <w:rsid w:val="00637471"/>
    <w:rsid w:val="006647F6"/>
    <w:rsid w:val="006709A9"/>
    <w:rsid w:val="006802A7"/>
    <w:rsid w:val="006921E1"/>
    <w:rsid w:val="00696C0A"/>
    <w:rsid w:val="006A28FB"/>
    <w:rsid w:val="006B0423"/>
    <w:rsid w:val="006D3869"/>
    <w:rsid w:val="006F2619"/>
    <w:rsid w:val="00703765"/>
    <w:rsid w:val="00706246"/>
    <w:rsid w:val="00736348"/>
    <w:rsid w:val="00740AC7"/>
    <w:rsid w:val="0077376B"/>
    <w:rsid w:val="00781C41"/>
    <w:rsid w:val="00782624"/>
    <w:rsid w:val="007D2E54"/>
    <w:rsid w:val="007E2A70"/>
    <w:rsid w:val="008215C6"/>
    <w:rsid w:val="00823B47"/>
    <w:rsid w:val="00833D8A"/>
    <w:rsid w:val="0083416E"/>
    <w:rsid w:val="00861B92"/>
    <w:rsid w:val="008814FB"/>
    <w:rsid w:val="008A41BF"/>
    <w:rsid w:val="008D2260"/>
    <w:rsid w:val="008D3D00"/>
    <w:rsid w:val="008D4632"/>
    <w:rsid w:val="008E42FE"/>
    <w:rsid w:val="008E7826"/>
    <w:rsid w:val="008F20F9"/>
    <w:rsid w:val="008F4476"/>
    <w:rsid w:val="008F5E30"/>
    <w:rsid w:val="008F6DC0"/>
    <w:rsid w:val="008F6FB7"/>
    <w:rsid w:val="0090617D"/>
    <w:rsid w:val="00914D7F"/>
    <w:rsid w:val="00940096"/>
    <w:rsid w:val="0097305A"/>
    <w:rsid w:val="009734AA"/>
    <w:rsid w:val="009C1006"/>
    <w:rsid w:val="009C22EE"/>
    <w:rsid w:val="009E680B"/>
    <w:rsid w:val="009F2EDC"/>
    <w:rsid w:val="00A15A1F"/>
    <w:rsid w:val="00A3325A"/>
    <w:rsid w:val="00A34727"/>
    <w:rsid w:val="00A43013"/>
    <w:rsid w:val="00A47D87"/>
    <w:rsid w:val="00A66A2A"/>
    <w:rsid w:val="00A7564A"/>
    <w:rsid w:val="00A90CD8"/>
    <w:rsid w:val="00AA21B3"/>
    <w:rsid w:val="00AB53CB"/>
    <w:rsid w:val="00AB672C"/>
    <w:rsid w:val="00AF108A"/>
    <w:rsid w:val="00B02E55"/>
    <w:rsid w:val="00B036C1"/>
    <w:rsid w:val="00B24057"/>
    <w:rsid w:val="00B255C5"/>
    <w:rsid w:val="00B273D5"/>
    <w:rsid w:val="00B32B19"/>
    <w:rsid w:val="00B43457"/>
    <w:rsid w:val="00B476D6"/>
    <w:rsid w:val="00B52E40"/>
    <w:rsid w:val="00B5431F"/>
    <w:rsid w:val="00B65A11"/>
    <w:rsid w:val="00BB6C66"/>
    <w:rsid w:val="00BC184B"/>
    <w:rsid w:val="00BC391F"/>
    <w:rsid w:val="00BE0D36"/>
    <w:rsid w:val="00BE4266"/>
    <w:rsid w:val="00BF572F"/>
    <w:rsid w:val="00BF7FE0"/>
    <w:rsid w:val="00C36044"/>
    <w:rsid w:val="00C77C66"/>
    <w:rsid w:val="00C85682"/>
    <w:rsid w:val="00C93F1E"/>
    <w:rsid w:val="00C96411"/>
    <w:rsid w:val="00CA3EBB"/>
    <w:rsid w:val="00CB2369"/>
    <w:rsid w:val="00CC318B"/>
    <w:rsid w:val="00CE6134"/>
    <w:rsid w:val="00CE7F32"/>
    <w:rsid w:val="00CF2E5C"/>
    <w:rsid w:val="00CF58B7"/>
    <w:rsid w:val="00D02A8F"/>
    <w:rsid w:val="00D1699D"/>
    <w:rsid w:val="00D351C1"/>
    <w:rsid w:val="00D35EFB"/>
    <w:rsid w:val="00D47D55"/>
    <w:rsid w:val="00D504B3"/>
    <w:rsid w:val="00D62081"/>
    <w:rsid w:val="00D646A2"/>
    <w:rsid w:val="00D712FC"/>
    <w:rsid w:val="00D77466"/>
    <w:rsid w:val="00D86BF0"/>
    <w:rsid w:val="00DA7774"/>
    <w:rsid w:val="00DC4FE8"/>
    <w:rsid w:val="00DE4BAF"/>
    <w:rsid w:val="00E00455"/>
    <w:rsid w:val="00E03E8A"/>
    <w:rsid w:val="00E165E9"/>
    <w:rsid w:val="00E274BB"/>
    <w:rsid w:val="00E27C94"/>
    <w:rsid w:val="00E31656"/>
    <w:rsid w:val="00E47A68"/>
    <w:rsid w:val="00E51079"/>
    <w:rsid w:val="00E510BA"/>
    <w:rsid w:val="00E51920"/>
    <w:rsid w:val="00E5541D"/>
    <w:rsid w:val="00E556AE"/>
    <w:rsid w:val="00E62435"/>
    <w:rsid w:val="00E6369D"/>
    <w:rsid w:val="00E64120"/>
    <w:rsid w:val="00E660A1"/>
    <w:rsid w:val="00E72AE9"/>
    <w:rsid w:val="00E851C4"/>
    <w:rsid w:val="00EB096F"/>
    <w:rsid w:val="00EE13A2"/>
    <w:rsid w:val="00EE6E62"/>
    <w:rsid w:val="00F055F1"/>
    <w:rsid w:val="00F1724A"/>
    <w:rsid w:val="00F25E43"/>
    <w:rsid w:val="00F30E52"/>
    <w:rsid w:val="00F3426A"/>
    <w:rsid w:val="00F36F70"/>
    <w:rsid w:val="00F610AF"/>
    <w:rsid w:val="00F80FFC"/>
    <w:rsid w:val="00F97AA4"/>
    <w:rsid w:val="00FA2C5A"/>
    <w:rsid w:val="00FC2D11"/>
    <w:rsid w:val="00FC6230"/>
    <w:rsid w:val="00FE33C6"/>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F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uiPriority w:val="5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2E482A"/>
    <w:pPr>
      <w:spacing w:before="240" w:after="240" w:line="276" w:lineRule="auto"/>
    </w:pPr>
    <w:rPr>
      <w:rFonts w:ascii="Arial" w:hAnsi="Arial"/>
      <w:lang w:eastAsia="en-US"/>
    </w:rPr>
  </w:style>
  <w:style w:type="paragraph" w:customStyle="1" w:styleId="tabletext0">
    <w:name w:val="table text"/>
    <w:basedOn w:val="Paragraphnonumbers"/>
    <w:link w:val="tabletextChar"/>
    <w:qFormat/>
    <w:rsid w:val="002E482A"/>
    <w:pPr>
      <w:spacing w:before="60" w:after="60" w:line="240" w:lineRule="auto"/>
    </w:pPr>
    <w:rPr>
      <w:lang w:eastAsia="en-GB"/>
    </w:rPr>
  </w:style>
  <w:style w:type="character" w:customStyle="1" w:styleId="tabletextChar">
    <w:name w:val="table text Char"/>
    <w:basedOn w:val="DefaultParagraphFont"/>
    <w:link w:val="tabletext0"/>
    <w:rsid w:val="002E482A"/>
    <w:rPr>
      <w:rFonts w:ascii="Arial" w:hAnsi="Arial"/>
      <w:sz w:val="24"/>
      <w:szCs w:val="24"/>
    </w:rPr>
  </w:style>
  <w:style w:type="character" w:styleId="UnresolvedMention">
    <w:name w:val="Unresolved Mention"/>
    <w:basedOn w:val="DefaultParagraphFont"/>
    <w:uiPriority w:val="99"/>
    <w:semiHidden/>
    <w:unhideWhenUsed/>
    <w:rsid w:val="002E482A"/>
    <w:rPr>
      <w:color w:val="605E5C"/>
      <w:shd w:val="clear" w:color="auto" w:fill="E1DFDD"/>
    </w:rPr>
  </w:style>
  <w:style w:type="paragraph" w:customStyle="1" w:styleId="NICEnormal">
    <w:name w:val="NICE normal"/>
    <w:link w:val="NICEnormalChar"/>
    <w:rsid w:val="00D712FC"/>
    <w:pPr>
      <w:spacing w:after="240" w:line="360" w:lineRule="auto"/>
    </w:pPr>
    <w:rPr>
      <w:rFonts w:ascii="Arial" w:hAnsi="Arial"/>
      <w:sz w:val="24"/>
      <w:szCs w:val="24"/>
      <w:lang w:val="en-US" w:eastAsia="en-US"/>
    </w:rPr>
  </w:style>
  <w:style w:type="character" w:customStyle="1" w:styleId="NICEnormalChar">
    <w:name w:val="NICE normal Char"/>
    <w:basedOn w:val="DefaultParagraphFont"/>
    <w:link w:val="NICEnormal"/>
    <w:rsid w:val="00D712FC"/>
    <w:rPr>
      <w:rFonts w:ascii="Arial" w:hAnsi="Arial"/>
      <w:sz w:val="24"/>
      <w:szCs w:val="24"/>
      <w:lang w:val="en-US" w:eastAsia="en-US"/>
    </w:rPr>
  </w:style>
  <w:style w:type="paragraph" w:customStyle="1" w:styleId="TableText1">
    <w:name w:val="Table Text 1"/>
    <w:basedOn w:val="Normal"/>
    <w:qFormat/>
    <w:rsid w:val="00D712FC"/>
    <w:rPr>
      <w:rFonts w:ascii="Arial" w:hAnsi="Arial"/>
      <w:sz w:val="22"/>
    </w:rPr>
  </w:style>
  <w:style w:type="paragraph" w:styleId="NormalWeb">
    <w:name w:val="Normal (Web)"/>
    <w:basedOn w:val="Normal"/>
    <w:semiHidden/>
    <w:rsid w:val="006301F2"/>
  </w:style>
  <w:style w:type="paragraph" w:styleId="Revision">
    <w:name w:val="Revision"/>
    <w:hidden/>
    <w:uiPriority w:val="99"/>
    <w:semiHidden/>
    <w:rsid w:val="00E165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849810">
      <w:bodyDiv w:val="1"/>
      <w:marLeft w:val="0"/>
      <w:marRight w:val="0"/>
      <w:marTop w:val="0"/>
      <w:marBottom w:val="0"/>
      <w:divBdr>
        <w:top w:val="none" w:sz="0" w:space="0" w:color="auto"/>
        <w:left w:val="none" w:sz="0" w:space="0" w:color="auto"/>
        <w:bottom w:val="none" w:sz="0" w:space="0" w:color="auto"/>
        <w:right w:val="none" w:sz="0" w:space="0" w:color="auto"/>
      </w:divBdr>
    </w:div>
    <w:div w:id="547187551">
      <w:bodyDiv w:val="1"/>
      <w:marLeft w:val="0"/>
      <w:marRight w:val="0"/>
      <w:marTop w:val="0"/>
      <w:marBottom w:val="0"/>
      <w:divBdr>
        <w:top w:val="none" w:sz="0" w:space="0" w:color="auto"/>
        <w:left w:val="none" w:sz="0" w:space="0" w:color="auto"/>
        <w:bottom w:val="none" w:sz="0" w:space="0" w:color="auto"/>
        <w:right w:val="none" w:sz="0" w:space="0" w:color="auto"/>
      </w:divBdr>
    </w:div>
    <w:div w:id="828206706">
      <w:bodyDiv w:val="1"/>
      <w:marLeft w:val="0"/>
      <w:marRight w:val="0"/>
      <w:marTop w:val="0"/>
      <w:marBottom w:val="0"/>
      <w:divBdr>
        <w:top w:val="none" w:sz="0" w:space="0" w:color="auto"/>
        <w:left w:val="none" w:sz="0" w:space="0" w:color="auto"/>
        <w:bottom w:val="none" w:sz="0" w:space="0" w:color="auto"/>
        <w:right w:val="none" w:sz="0" w:space="0" w:color="auto"/>
      </w:divBdr>
    </w:div>
    <w:div w:id="1336224002">
      <w:bodyDiv w:val="1"/>
      <w:marLeft w:val="0"/>
      <w:marRight w:val="0"/>
      <w:marTop w:val="0"/>
      <w:marBottom w:val="0"/>
      <w:divBdr>
        <w:top w:val="none" w:sz="0" w:space="0" w:color="auto"/>
        <w:left w:val="none" w:sz="0" w:space="0" w:color="auto"/>
        <w:bottom w:val="none" w:sz="0" w:space="0" w:color="auto"/>
        <w:right w:val="none" w:sz="0" w:space="0" w:color="auto"/>
      </w:divBdr>
    </w:div>
    <w:div w:id="1369800540">
      <w:bodyDiv w:val="1"/>
      <w:marLeft w:val="0"/>
      <w:marRight w:val="0"/>
      <w:marTop w:val="0"/>
      <w:marBottom w:val="0"/>
      <w:divBdr>
        <w:top w:val="none" w:sz="0" w:space="0" w:color="auto"/>
        <w:left w:val="none" w:sz="0" w:space="0" w:color="auto"/>
        <w:bottom w:val="none" w:sz="0" w:space="0" w:color="auto"/>
        <w:right w:val="none" w:sz="0" w:space="0" w:color="auto"/>
      </w:divBdr>
    </w:div>
    <w:div w:id="1512142954">
      <w:bodyDiv w:val="1"/>
      <w:marLeft w:val="0"/>
      <w:marRight w:val="0"/>
      <w:marTop w:val="0"/>
      <w:marBottom w:val="0"/>
      <w:divBdr>
        <w:top w:val="none" w:sz="0" w:space="0" w:color="auto"/>
        <w:left w:val="none" w:sz="0" w:space="0" w:color="auto"/>
        <w:bottom w:val="none" w:sz="0" w:space="0" w:color="auto"/>
        <w:right w:val="none" w:sz="0" w:space="0" w:color="auto"/>
      </w:divBdr>
    </w:div>
    <w:div w:id="1865945887">
      <w:bodyDiv w:val="1"/>
      <w:marLeft w:val="0"/>
      <w:marRight w:val="0"/>
      <w:marTop w:val="0"/>
      <w:marBottom w:val="0"/>
      <w:divBdr>
        <w:top w:val="none" w:sz="0" w:space="0" w:color="auto"/>
        <w:left w:val="none" w:sz="0" w:space="0" w:color="auto"/>
        <w:bottom w:val="none" w:sz="0" w:space="0" w:color="auto"/>
        <w:right w:val="none" w:sz="0" w:space="0" w:color="auto"/>
      </w:divBdr>
    </w:div>
    <w:div w:id="1996301470">
      <w:bodyDiv w:val="1"/>
      <w:marLeft w:val="0"/>
      <w:marRight w:val="0"/>
      <w:marTop w:val="0"/>
      <w:marBottom w:val="0"/>
      <w:divBdr>
        <w:top w:val="none" w:sz="0" w:space="0" w:color="auto"/>
        <w:left w:val="none" w:sz="0" w:space="0" w:color="auto"/>
        <w:bottom w:val="none" w:sz="0" w:space="0" w:color="auto"/>
        <w:right w:val="none" w:sz="0" w:space="0" w:color="auto"/>
      </w:divBdr>
    </w:div>
    <w:div w:id="20805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8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ng8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ce.org.uk/guidance/ng84/chapter/Recommend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2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ice.org.uk/guidance/ng79" TargetMode="External"/><Relationship Id="rId4" Type="http://schemas.openxmlformats.org/officeDocument/2006/relationships/settings" Target="settings.xml"/><Relationship Id="rId9" Type="http://schemas.openxmlformats.org/officeDocument/2006/relationships/hyperlink" Target="https://www.nice.org.uk/guidance/ng9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2603</Words>
  <Characters>15113</Characters>
  <Application>Microsoft Office Word</Application>
  <DocSecurity>0</DocSecurity>
  <Lines>567</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2025-09-26T12:48:00Z</dcterms:created>
  <dcterms:modified xsi:type="dcterms:W3CDTF">2025-10-29T13:24:00Z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2025-09-09T09:49:27Z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5e3f8369-323a-4411-bdb9-13cbf24479a7</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