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69B13" w14:textId="1857634A" w:rsidR="00E27C94" w:rsidRDefault="00E27C94" w:rsidP="00BE55C1">
      <w:pPr>
        <w:pStyle w:val="Title"/>
      </w:pPr>
      <w:r>
        <w:t xml:space="preserve">Indicator development </w:t>
      </w:r>
      <w:r w:rsidRPr="00BE55C1">
        <w:t>programme</w:t>
      </w:r>
      <w:r w:rsidR="002E482A">
        <w:tab/>
      </w:r>
    </w:p>
    <w:p w14:paraId="73A87220" w14:textId="77777777" w:rsidR="00BE55C1" w:rsidRDefault="00BE55C1" w:rsidP="002E482A">
      <w:pPr>
        <w:pStyle w:val="Title"/>
      </w:pPr>
      <w:r>
        <w:t>CPRD data</w:t>
      </w:r>
      <w:r w:rsidR="002E482A">
        <w:t xml:space="preserve"> report</w:t>
      </w:r>
    </w:p>
    <w:p w14:paraId="5C05FA6A" w14:textId="33AA559E" w:rsidR="002E482A" w:rsidRDefault="00546DBD" w:rsidP="002E482A">
      <w:pPr>
        <w:pStyle w:val="Title"/>
      </w:pPr>
      <w:r>
        <w:t>Infections</w:t>
      </w:r>
    </w:p>
    <w:p w14:paraId="332315A0" w14:textId="77777777" w:rsidR="002E482A" w:rsidRDefault="002E482A" w:rsidP="002E482A">
      <w:pPr>
        <w:pStyle w:val="Paragraph"/>
      </w:pPr>
    </w:p>
    <w:p w14:paraId="3C9B6D64" w14:textId="0BD5614D" w:rsidR="00594C3A" w:rsidRDefault="00BE55C1" w:rsidP="002E482A">
      <w:pPr>
        <w:pStyle w:val="Paragraph"/>
      </w:pPr>
      <w:r w:rsidRPr="00BE55C1">
        <w:t xml:space="preserve">This paper includes the results from using CPRD data to </w:t>
      </w:r>
      <w:proofErr w:type="gramStart"/>
      <w:r w:rsidRPr="00BE55C1">
        <w:t>test</w:t>
      </w:r>
      <w:proofErr w:type="gramEnd"/>
      <w:r w:rsidRPr="00BE55C1">
        <w:t xml:space="preserve"> the feasibility of the draft indicator</w:t>
      </w:r>
      <w:r>
        <w:t>s</w:t>
      </w:r>
      <w:r w:rsidRPr="00BE55C1">
        <w:t xml:space="preserve"> on</w:t>
      </w:r>
      <w:r w:rsidR="006F46D0">
        <w:t xml:space="preserve"> infections</w:t>
      </w:r>
      <w:r w:rsidRPr="00BE55C1">
        <w:t>.</w:t>
      </w:r>
    </w:p>
    <w:p w14:paraId="7021CAF2" w14:textId="2857C404" w:rsidR="00A90CD8" w:rsidRDefault="00A90CD8" w:rsidP="00A90CD8">
      <w:pPr>
        <w:pStyle w:val="Heading1"/>
      </w:pPr>
      <w:bookmarkStart w:id="0" w:name="_Toc207809279"/>
      <w:r>
        <w:t>Contents</w:t>
      </w:r>
      <w:bookmarkEnd w:id="0"/>
    </w:p>
    <w:p w14:paraId="02112A2A" w14:textId="335F457E" w:rsidR="007D61D1" w:rsidRDefault="002E482A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fldChar w:fldCharType="begin"/>
      </w:r>
      <w:r>
        <w:instrText xml:space="preserve"> TOC \h \z \t "Heading 1,1" </w:instrText>
      </w:r>
      <w:r>
        <w:fldChar w:fldCharType="separate"/>
      </w:r>
      <w:hyperlink w:anchor="_Toc207809279" w:history="1">
        <w:r w:rsidR="007D61D1" w:rsidRPr="00B4568A">
          <w:rPr>
            <w:rStyle w:val="Hyperlink"/>
            <w:noProof/>
          </w:rPr>
          <w:t>Contents</w:t>
        </w:r>
        <w:r w:rsidR="007D61D1">
          <w:rPr>
            <w:noProof/>
            <w:webHidden/>
          </w:rPr>
          <w:tab/>
        </w:r>
        <w:r w:rsidR="007D61D1">
          <w:rPr>
            <w:noProof/>
            <w:webHidden/>
          </w:rPr>
          <w:fldChar w:fldCharType="begin"/>
        </w:r>
        <w:r w:rsidR="007D61D1">
          <w:rPr>
            <w:noProof/>
            <w:webHidden/>
          </w:rPr>
          <w:instrText xml:space="preserve"> PAGEREF _Toc207809279 \h </w:instrText>
        </w:r>
        <w:r w:rsidR="007D61D1">
          <w:rPr>
            <w:noProof/>
            <w:webHidden/>
          </w:rPr>
        </w:r>
        <w:r w:rsidR="007D61D1">
          <w:rPr>
            <w:noProof/>
            <w:webHidden/>
          </w:rPr>
          <w:fldChar w:fldCharType="separate"/>
        </w:r>
        <w:r w:rsidR="007D61D1">
          <w:rPr>
            <w:noProof/>
            <w:webHidden/>
          </w:rPr>
          <w:t>1</w:t>
        </w:r>
        <w:r w:rsidR="007D61D1">
          <w:rPr>
            <w:noProof/>
            <w:webHidden/>
          </w:rPr>
          <w:fldChar w:fldCharType="end"/>
        </w:r>
      </w:hyperlink>
    </w:p>
    <w:p w14:paraId="678B44A1" w14:textId="533108F0" w:rsidR="007D61D1" w:rsidRDefault="007D61D1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7809280" w:history="1">
        <w:r w:rsidRPr="00B4568A">
          <w:rPr>
            <w:rStyle w:val="Hyperlink"/>
            <w:noProof/>
          </w:rPr>
          <w:t>Objective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_Toc207809280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4D4B73F" w14:textId="3870651E" w:rsidR="007D61D1" w:rsidRDefault="007D61D1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7809281" w:history="1">
        <w:r w:rsidRPr="00B4568A">
          <w:rPr>
            <w:rStyle w:val="Hyperlink"/>
            <w:noProof/>
          </w:rPr>
          <w:t>Background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_Toc207809281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F86C5CD" w14:textId="2AF176D7" w:rsidR="007D61D1" w:rsidRDefault="007D61D1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7809282" w:history="1">
        <w:r w:rsidRPr="00B4568A">
          <w:rPr>
            <w:rStyle w:val="Hyperlink"/>
            <w:noProof/>
          </w:rPr>
          <w:t>Methodology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_Toc207809282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05F221E" w14:textId="2EA4E14A" w:rsidR="007D61D1" w:rsidRDefault="007D61D1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7809283" w:history="1">
        <w:r w:rsidRPr="00B4568A">
          <w:rPr>
            <w:rStyle w:val="Hyperlink"/>
            <w:noProof/>
          </w:rPr>
          <w:t>Results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_Toc207809283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CAC87CD" w14:textId="36352499" w:rsidR="007D61D1" w:rsidRDefault="007D61D1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7809284" w:history="1">
        <w:r w:rsidRPr="00B4568A">
          <w:rPr>
            <w:rStyle w:val="Hyperlink"/>
            <w:noProof/>
          </w:rPr>
          <w:t>Key findings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_Toc207809284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1E2B86F" w14:textId="6EE7E4E9" w:rsidR="007D61D1" w:rsidRDefault="007D61D1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7809285" w:history="1">
        <w:r w:rsidRPr="00B4568A">
          <w:rPr>
            <w:rStyle w:val="Hyperlink"/>
            <w:noProof/>
          </w:rPr>
          <w:t>Data validation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_Toc207809285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1CA774E" w14:textId="7AE58617" w:rsidR="007D61D1" w:rsidRDefault="007D61D1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7809286" w:history="1">
        <w:r w:rsidRPr="00B4568A">
          <w:rPr>
            <w:rStyle w:val="Hyperlink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_Toc207809286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7263402" w14:textId="5F4FC446" w:rsidR="002E482A" w:rsidRDefault="002E482A" w:rsidP="002E482A">
      <w:pPr>
        <w:pStyle w:val="Paragraph"/>
      </w:pPr>
      <w:r>
        <w:fldChar w:fldCharType="end"/>
      </w:r>
    </w:p>
    <w:p w14:paraId="1CD16782" w14:textId="287CA64B" w:rsidR="002E482A" w:rsidRDefault="002E482A" w:rsidP="002E482A">
      <w:pPr>
        <w:pStyle w:val="Paragraph"/>
      </w:pPr>
    </w:p>
    <w:p w14:paraId="51044A56" w14:textId="409B5C89" w:rsidR="002E482A" w:rsidRDefault="002E482A">
      <w:pPr>
        <w:rPr>
          <w:rFonts w:ascii="Arial" w:hAnsi="Arial"/>
          <w:lang w:eastAsia="en-US"/>
        </w:rPr>
      </w:pPr>
      <w:r>
        <w:br w:type="page"/>
      </w:r>
    </w:p>
    <w:p w14:paraId="454C45B1" w14:textId="0801EC71" w:rsidR="002E482A" w:rsidRDefault="00BE55C1" w:rsidP="002E482A">
      <w:pPr>
        <w:pStyle w:val="Heading1"/>
      </w:pPr>
      <w:bookmarkStart w:id="1" w:name="_Toc207809280"/>
      <w:r>
        <w:lastRenderedPageBreak/>
        <w:t>Objective</w:t>
      </w:r>
      <w:bookmarkEnd w:id="1"/>
    </w:p>
    <w:p w14:paraId="4CA6DB02" w14:textId="77777777" w:rsidR="008B4D97" w:rsidRDefault="00BE55C1" w:rsidP="008B4D97">
      <w:pPr>
        <w:pStyle w:val="ParagraphNumbered"/>
      </w:pPr>
      <w:r w:rsidRPr="00BE55C1">
        <w:t xml:space="preserve">To use </w:t>
      </w:r>
      <w:hyperlink r:id="rId8" w:history="1">
        <w:r w:rsidR="00B45534" w:rsidRPr="00E67FD1">
          <w:rPr>
            <w:rStyle w:val="Hyperlink"/>
          </w:rPr>
          <w:t>Clinical Practice Research Datalink</w:t>
        </w:r>
      </w:hyperlink>
      <w:r w:rsidR="00B45534">
        <w:t xml:space="preserve"> (CPRD) </w:t>
      </w:r>
      <w:r w:rsidRPr="00BE55C1">
        <w:t xml:space="preserve">Aurum data to </w:t>
      </w:r>
      <w:proofErr w:type="gramStart"/>
      <w:r w:rsidRPr="00BE55C1">
        <w:t>test</w:t>
      </w:r>
      <w:proofErr w:type="gramEnd"/>
      <w:r w:rsidRPr="00BE55C1">
        <w:t xml:space="preserve"> the feasibility of </w:t>
      </w:r>
      <w:r w:rsidR="007400C7">
        <w:t>two new indicators in development by the NICE indicator programme. CPRD is a real-world research service supporting retrospective and prospective public health and clinical studies</w:t>
      </w:r>
      <w:r w:rsidR="005E00A4">
        <w:t xml:space="preserve">. It collects </w:t>
      </w:r>
      <w:r w:rsidR="00832276">
        <w:t xml:space="preserve">anonymised patient data from a network of GP practices across the UK for </w:t>
      </w:r>
      <w:r w:rsidR="00F86F36">
        <w:t xml:space="preserve">18 million currently registered patients. </w:t>
      </w:r>
    </w:p>
    <w:p w14:paraId="03B280E9" w14:textId="1B19637B" w:rsidR="002E482A" w:rsidRDefault="00BE55C1" w:rsidP="00BE55C1">
      <w:pPr>
        <w:pStyle w:val="Heading1"/>
      </w:pPr>
      <w:bookmarkStart w:id="2" w:name="_Toc207809281"/>
      <w:r>
        <w:t>Background</w:t>
      </w:r>
      <w:bookmarkEnd w:id="2"/>
    </w:p>
    <w:p w14:paraId="4951361C" w14:textId="43C1457E" w:rsidR="00206C68" w:rsidRPr="0060746B" w:rsidRDefault="00090F7A" w:rsidP="00FC7079">
      <w:pPr>
        <w:pStyle w:val="ParagraphNumbered"/>
        <w:rPr>
          <w:sz w:val="32"/>
          <w:szCs w:val="32"/>
        </w:rPr>
      </w:pPr>
      <w:r w:rsidRPr="002B6E17">
        <w:t xml:space="preserve">In </w:t>
      </w:r>
      <w:r w:rsidR="00202A84" w:rsidRPr="002B6E17">
        <w:t>March</w:t>
      </w:r>
      <w:r w:rsidRPr="002B6E17">
        <w:t xml:space="preserve"> 2025, the Indicator Advisory Committee (IAC)</w:t>
      </w:r>
      <w:r w:rsidR="003114BE" w:rsidRPr="002B6E17">
        <w:t xml:space="preserve"> considered the </w:t>
      </w:r>
      <w:r w:rsidR="003114BE">
        <w:t xml:space="preserve">development of </w:t>
      </w:r>
      <w:r w:rsidR="00A12673">
        <w:t xml:space="preserve">two </w:t>
      </w:r>
      <w:r w:rsidR="003114BE">
        <w:t>new indicators</w:t>
      </w:r>
      <w:r w:rsidR="0060746B">
        <w:t>,</w:t>
      </w:r>
      <w:r w:rsidR="008D1C65">
        <w:t xml:space="preserve"> </w:t>
      </w:r>
      <w:r w:rsidR="0060746B" w:rsidRPr="0060746B">
        <w:rPr>
          <w:rFonts w:cs="Arial"/>
          <w:lang w:val="en-US"/>
        </w:rPr>
        <w:t xml:space="preserve">proposed </w:t>
      </w:r>
      <w:r w:rsidR="0060746B">
        <w:rPr>
          <w:rFonts w:cs="Arial"/>
          <w:lang w:val="en-US"/>
        </w:rPr>
        <w:t>by</w:t>
      </w:r>
      <w:r w:rsidR="0060746B" w:rsidRPr="0060746B">
        <w:rPr>
          <w:rFonts w:cs="Arial"/>
          <w:lang w:val="en-US"/>
        </w:rPr>
        <w:t xml:space="preserve"> NHS England and DHSC</w:t>
      </w:r>
      <w:r w:rsidR="0060746B">
        <w:rPr>
          <w:rFonts w:cs="Arial"/>
          <w:lang w:val="en-US"/>
        </w:rPr>
        <w:t>,</w:t>
      </w:r>
      <w:r w:rsidR="0060746B">
        <w:t xml:space="preserve"> </w:t>
      </w:r>
      <w:r w:rsidR="008D1C65">
        <w:t>on the p</w:t>
      </w:r>
      <w:r w:rsidR="008D1C65" w:rsidRPr="008D1C65">
        <w:t>rovision of ‘self-care advice only’ or ‘back-up (delayed)’ prescriptions for infections</w:t>
      </w:r>
      <w:r w:rsidR="008D1C65">
        <w:t xml:space="preserve"> and </w:t>
      </w:r>
      <w:r w:rsidR="002A1734">
        <w:t>the u</w:t>
      </w:r>
      <w:r w:rsidR="002A1734" w:rsidRPr="002A1734">
        <w:t>se of a clinical decision tool for management of sore throat</w:t>
      </w:r>
      <w:r w:rsidR="002A1734">
        <w:t>.</w:t>
      </w:r>
    </w:p>
    <w:p w14:paraId="77876550" w14:textId="46ECBFBA" w:rsidR="00324FE8" w:rsidRDefault="00A43B1B" w:rsidP="00683ED7">
      <w:pPr>
        <w:pStyle w:val="ParagraphNumbered"/>
      </w:pPr>
      <w:r>
        <w:t>Offering self-care advice or delayed prescriptions helps reduce unnecessary antibiotic use, lowers resistance, and minimi</w:t>
      </w:r>
      <w:r w:rsidR="00683ED7">
        <w:t>s</w:t>
      </w:r>
      <w:r>
        <w:t xml:space="preserve">es side effects. Most cases of sore throat, otitis media, sinusitis, or cough </w:t>
      </w:r>
      <w:proofErr w:type="gramStart"/>
      <w:r>
        <w:t>don't</w:t>
      </w:r>
      <w:proofErr w:type="gramEnd"/>
      <w:r>
        <w:t xml:space="preserve"> require antibiotics.</w:t>
      </w:r>
      <w:r w:rsidR="00683ED7">
        <w:t xml:space="preserve"> However, a</w:t>
      </w:r>
      <w:r>
        <w:t>ntibiotics may benefit sore throats caused by streptococcal bacteria. Clinical tools like FeverPAIN or Centor scores help identify such cases, supporting targeted treatment and reducing antibiotic overuse.</w:t>
      </w:r>
    </w:p>
    <w:p w14:paraId="45B5E506" w14:textId="69BE11A4" w:rsidR="00B80C65" w:rsidRDefault="00206C68" w:rsidP="000424F2">
      <w:pPr>
        <w:pStyle w:val="ParagraphNumbered"/>
      </w:pPr>
      <w:r>
        <w:t xml:space="preserve">The committee </w:t>
      </w:r>
      <w:r w:rsidRPr="00206C68">
        <w:t>noted that recording of delayed prescriptions may not be consistent across practice</w:t>
      </w:r>
      <w:r w:rsidR="00337C5F">
        <w:t>.</w:t>
      </w:r>
      <w:r w:rsidR="0060746B">
        <w:t xml:space="preserve"> </w:t>
      </w:r>
      <w:r w:rsidR="00337C5F">
        <w:t>A</w:t>
      </w:r>
      <w:r w:rsidR="0060746B">
        <w:t>lthough</w:t>
      </w:r>
      <w:r w:rsidRPr="00206C68">
        <w:t xml:space="preserve"> </w:t>
      </w:r>
      <w:r w:rsidR="0060746B">
        <w:t>a</w:t>
      </w:r>
      <w:r w:rsidRPr="00206C68">
        <w:t xml:space="preserve"> SNOMED code is available</w:t>
      </w:r>
      <w:r w:rsidR="0060746B">
        <w:t>,</w:t>
      </w:r>
      <w:r w:rsidRPr="00206C68">
        <w:t xml:space="preserve"> </w:t>
      </w:r>
      <w:r w:rsidR="0060746B">
        <w:t>i</w:t>
      </w:r>
      <w:r w:rsidRPr="00206C68">
        <w:t>t may not be used in all cases where patients are advised to use the prescription only if symptoms do not improve.</w:t>
      </w:r>
    </w:p>
    <w:p w14:paraId="77C35E5E" w14:textId="3C7EF99E" w:rsidR="00144126" w:rsidRPr="005136C5" w:rsidRDefault="00144126" w:rsidP="00144126">
      <w:pPr>
        <w:pStyle w:val="ParagraphNumbered"/>
      </w:pPr>
      <w:r w:rsidRPr="005136C5">
        <w:t>The IAC approved progression of the following indicators to consultation and testing as potentially suitable for use in the QOF:</w:t>
      </w:r>
    </w:p>
    <w:p w14:paraId="6D920AEB" w14:textId="66AEDDA7" w:rsidR="008F0283" w:rsidRDefault="00A6287D" w:rsidP="00E71E3E">
      <w:pPr>
        <w:pStyle w:val="Bullets"/>
      </w:pPr>
      <w:r w:rsidRPr="00A6287D">
        <w:t>GID-IND103</w:t>
      </w:r>
      <w:r w:rsidR="002B1F81">
        <w:t>30</w:t>
      </w:r>
      <w:r w:rsidRPr="00A6287D">
        <w:t xml:space="preserve">: The percentage </w:t>
      </w:r>
      <w:r w:rsidRPr="00E71E3E">
        <w:t>of</w:t>
      </w:r>
      <w:r w:rsidRPr="00A6287D">
        <w:t xml:space="preserve"> recorded sore throat, otitis media, </w:t>
      </w:r>
      <w:proofErr w:type="gramStart"/>
      <w:r w:rsidRPr="00A6287D">
        <w:t>sinusitis</w:t>
      </w:r>
      <w:proofErr w:type="gramEnd"/>
      <w:r w:rsidRPr="00A6287D">
        <w:t xml:space="preserve"> or cough in the preceding 12 months resulting in the </w:t>
      </w:r>
      <w:r w:rsidRPr="00A6287D">
        <w:lastRenderedPageBreak/>
        <w:t>provision of self-care advice only or back up delayed prescription for antibiotics</w:t>
      </w:r>
      <w:r w:rsidR="008F0283">
        <w:t>.</w:t>
      </w:r>
    </w:p>
    <w:p w14:paraId="6D41A26F" w14:textId="33082692" w:rsidR="00DC3264" w:rsidRPr="00DC3264" w:rsidRDefault="008B11F6" w:rsidP="00DC3264">
      <w:pPr>
        <w:pStyle w:val="Bullets"/>
        <w:rPr>
          <w:rFonts w:eastAsia="Arial"/>
        </w:rPr>
      </w:pPr>
      <w:r w:rsidRPr="008B11F6">
        <w:rPr>
          <w:rFonts w:eastAsia="Arial"/>
        </w:rPr>
        <w:t>GID-IND103</w:t>
      </w:r>
      <w:r w:rsidR="002B1F81">
        <w:rPr>
          <w:rFonts w:eastAsia="Arial"/>
        </w:rPr>
        <w:t>31</w:t>
      </w:r>
      <w:r w:rsidRPr="008B11F6">
        <w:rPr>
          <w:rFonts w:eastAsia="Arial"/>
        </w:rPr>
        <w:t>: The percentage of diagnoses of sore throat in the preceding 12 months with a recorded FeverPain or Centor score.</w:t>
      </w:r>
    </w:p>
    <w:p w14:paraId="6BC23331" w14:textId="146E506E" w:rsidR="00144126" w:rsidRDefault="00144126" w:rsidP="00144126">
      <w:pPr>
        <w:pStyle w:val="Heading1"/>
      </w:pPr>
      <w:bookmarkStart w:id="3" w:name="_Toc207809282"/>
      <w:r>
        <w:t>Methodology</w:t>
      </w:r>
      <w:bookmarkEnd w:id="3"/>
      <w:r>
        <w:t xml:space="preserve"> </w:t>
      </w:r>
    </w:p>
    <w:p w14:paraId="773B7146" w14:textId="2E1FBEFD" w:rsidR="00957C26" w:rsidRDefault="005B2632" w:rsidP="00CD05F5">
      <w:pPr>
        <w:pStyle w:val="ParagraphNumbered"/>
        <w:spacing w:after="0"/>
      </w:pPr>
      <w:r>
        <w:t xml:space="preserve">CPRD Aurum was used to extract data on the number of </w:t>
      </w:r>
      <w:r w:rsidR="00F37C9C">
        <w:t>registered people (all age)</w:t>
      </w:r>
      <w:r w:rsidR="00B32AF1">
        <w:t xml:space="preserve"> from </w:t>
      </w:r>
      <w:r w:rsidR="00B32AF1" w:rsidRPr="00B32AF1">
        <w:t>01</w:t>
      </w:r>
      <w:r w:rsidR="00482A22">
        <w:t>/</w:t>
      </w:r>
      <w:r w:rsidR="00B32AF1" w:rsidRPr="00B32AF1">
        <w:t>04</w:t>
      </w:r>
      <w:r w:rsidR="00482A22">
        <w:t>/20</w:t>
      </w:r>
      <w:r w:rsidR="00B32AF1" w:rsidRPr="00B32AF1">
        <w:t>23 to 31</w:t>
      </w:r>
      <w:r w:rsidR="00482A22">
        <w:t>/</w:t>
      </w:r>
      <w:r w:rsidR="00B32AF1" w:rsidRPr="00B32AF1">
        <w:t>03</w:t>
      </w:r>
      <w:r w:rsidR="00482A22">
        <w:t>/20</w:t>
      </w:r>
      <w:r w:rsidR="00B32AF1" w:rsidRPr="00B32AF1">
        <w:t>24</w:t>
      </w:r>
      <w:r w:rsidR="00F37C9C">
        <w:t>, and within that cohort:</w:t>
      </w:r>
    </w:p>
    <w:p w14:paraId="333D0636" w14:textId="77123313" w:rsidR="008A20A5" w:rsidRDefault="00E27EA7" w:rsidP="00E27EA7">
      <w:pPr>
        <w:pStyle w:val="Bullets"/>
      </w:pPr>
      <w:r>
        <w:t>The number of recorded diagnoses</w:t>
      </w:r>
      <w:r w:rsidR="008A20A5">
        <w:t xml:space="preserve"> and the number of practices that recorded diagnoses of:</w:t>
      </w:r>
    </w:p>
    <w:p w14:paraId="375365FE" w14:textId="08A3A95B" w:rsidR="00E27EA7" w:rsidRDefault="008A20A5" w:rsidP="008A20A5">
      <w:pPr>
        <w:pStyle w:val="Bullets"/>
        <w:numPr>
          <w:ilvl w:val="1"/>
          <w:numId w:val="21"/>
        </w:numPr>
      </w:pPr>
      <w:r>
        <w:t>S</w:t>
      </w:r>
      <w:r w:rsidR="00E27EA7">
        <w:t>ore throat or tonsillitis or pharyngitis</w:t>
      </w:r>
    </w:p>
    <w:p w14:paraId="67A54139" w14:textId="4AE6E897" w:rsidR="00E27EA7" w:rsidRDefault="00E27EA7" w:rsidP="00E27EA7">
      <w:pPr>
        <w:pStyle w:val="Bullets"/>
      </w:pPr>
      <w:r>
        <w:t>The number of recorded diagnoses of otitis</w:t>
      </w:r>
      <w:r w:rsidR="0064106A">
        <w:t xml:space="preserve"> media</w:t>
      </w:r>
    </w:p>
    <w:p w14:paraId="49C41A6C" w14:textId="7611C02E" w:rsidR="00E27EA7" w:rsidRDefault="00E27EA7" w:rsidP="00E27EA7">
      <w:pPr>
        <w:pStyle w:val="Bullets"/>
      </w:pPr>
      <w:r>
        <w:t>The number of recorded diagnoses of sinusitis</w:t>
      </w:r>
    </w:p>
    <w:p w14:paraId="3160479D" w14:textId="0C8EB4C6" w:rsidR="00DC3264" w:rsidRPr="005B2632" w:rsidRDefault="00E27EA7" w:rsidP="009E40E4">
      <w:pPr>
        <w:pStyle w:val="Bullets"/>
      </w:pPr>
      <w:r>
        <w:t>The number of recorded diagnoses of cough</w:t>
      </w:r>
      <w:r w:rsidR="009E40E4">
        <w:t>.</w:t>
      </w:r>
    </w:p>
    <w:p w14:paraId="77F95324" w14:textId="758F13C7" w:rsidR="002C499A" w:rsidRDefault="002C499A" w:rsidP="002C499A">
      <w:pPr>
        <w:pStyle w:val="Heading1"/>
      </w:pPr>
      <w:bookmarkStart w:id="4" w:name="_Toc207809283"/>
      <w:r>
        <w:t>Results</w:t>
      </w:r>
      <w:bookmarkEnd w:id="4"/>
      <w:r>
        <w:t xml:space="preserve"> </w:t>
      </w:r>
    </w:p>
    <w:p w14:paraId="6C519BAF" w14:textId="4C06C6D2" w:rsidR="002C499A" w:rsidRDefault="002C499A" w:rsidP="002C499A">
      <w:pPr>
        <w:pStyle w:val="Paragraph"/>
        <w:rPr>
          <w:b/>
          <w:bCs/>
        </w:rPr>
      </w:pPr>
      <w:r w:rsidRPr="00BC7FEE">
        <w:rPr>
          <w:b/>
          <w:bCs/>
        </w:rPr>
        <w:t xml:space="preserve">Table 1: </w:t>
      </w:r>
      <w:r w:rsidR="00FE0038" w:rsidRPr="00BC7FEE">
        <w:rPr>
          <w:b/>
          <w:bCs/>
        </w:rPr>
        <w:t xml:space="preserve">CPRD data from </w:t>
      </w:r>
      <w:r w:rsidR="00BC7FEE" w:rsidRPr="00BC7FEE">
        <w:rPr>
          <w:b/>
          <w:bCs/>
        </w:rPr>
        <w:t>01/04/</w:t>
      </w:r>
      <w:r w:rsidR="00442A76" w:rsidRPr="00BC7FEE">
        <w:rPr>
          <w:b/>
          <w:bCs/>
        </w:rPr>
        <w:t>2023</w:t>
      </w:r>
      <w:r w:rsidR="00BC7FEE" w:rsidRPr="00BC7FEE">
        <w:rPr>
          <w:b/>
          <w:bCs/>
        </w:rPr>
        <w:t xml:space="preserve"> to</w:t>
      </w:r>
      <w:r w:rsidR="00442A76" w:rsidRPr="00BC7FEE">
        <w:rPr>
          <w:b/>
          <w:bCs/>
        </w:rPr>
        <w:t xml:space="preserve"> </w:t>
      </w:r>
      <w:r w:rsidR="00BC7FEE" w:rsidRPr="00BC7FEE">
        <w:rPr>
          <w:b/>
          <w:bCs/>
        </w:rPr>
        <w:t>01/04/</w:t>
      </w:r>
      <w:r w:rsidR="00442A76" w:rsidRPr="00BC7FEE">
        <w:rPr>
          <w:b/>
          <w:bCs/>
        </w:rPr>
        <w:t>2024</w:t>
      </w:r>
    </w:p>
    <w:tbl>
      <w:tblPr>
        <w:tblW w:w="5000" w:type="pct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62"/>
        <w:gridCol w:w="6380"/>
        <w:gridCol w:w="1354"/>
      </w:tblGrid>
      <w:tr w:rsidR="009B4615" w:rsidRPr="00266890" w14:paraId="5ABE5180" w14:textId="43C7BB5C" w:rsidTr="009B4615">
        <w:trPr>
          <w:trHeight w:val="300"/>
          <w:tblHeader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9DCA" w14:textId="45B11742" w:rsidR="009B4615" w:rsidRPr="00266890" w:rsidRDefault="009B4615" w:rsidP="005C3EF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06BB" w14:textId="7AC109D0" w:rsidR="009B4615" w:rsidRPr="00266890" w:rsidRDefault="009B4615" w:rsidP="005C3EF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Population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1FFA" w14:textId="086F7372" w:rsidR="009B4615" w:rsidRPr="00266890" w:rsidRDefault="009B4615" w:rsidP="005C3EF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Count</w:t>
            </w:r>
          </w:p>
        </w:tc>
      </w:tr>
      <w:tr w:rsidR="009B4615" w:rsidRPr="00266890" w14:paraId="5743612D" w14:textId="4B653BE7" w:rsidTr="009B4615">
        <w:trPr>
          <w:trHeight w:val="31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9823A" w14:textId="76D19532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C608" w14:textId="2A34C8E7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The number of patients (all age) registered at the end of the reporting period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23CE" w14:textId="0B632BD4" w:rsidR="009B4615" w:rsidRPr="00A05BC5" w:rsidRDefault="00191783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16,543,915</w:t>
            </w:r>
          </w:p>
        </w:tc>
      </w:tr>
      <w:tr w:rsidR="009B4615" w:rsidRPr="00266890" w14:paraId="4513747B" w14:textId="4273C22F" w:rsidTr="009B4615">
        <w:trPr>
          <w:trHeight w:val="31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108CB" w14:textId="76A35F08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1a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B3741" w14:textId="301A1793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The number of patients (all age) registered for the full reporting period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09B8" w14:textId="026352BA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="00115EE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  <w:r w:rsidR="0019178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115EE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191783">
              <w:rPr>
                <w:rFonts w:ascii="Arial" w:hAnsi="Arial" w:cs="Arial"/>
                <w:color w:val="000000"/>
                <w:sz w:val="20"/>
                <w:szCs w:val="20"/>
              </w:rPr>
              <w:t>510</w:t>
            </w:r>
          </w:p>
        </w:tc>
      </w:tr>
      <w:tr w:rsidR="009B4615" w:rsidRPr="00266890" w14:paraId="355A973D" w14:textId="47CB5091" w:rsidTr="009B4615">
        <w:trPr>
          <w:trHeight w:val="31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B6A57" w14:textId="63D54751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1b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B60BB" w14:textId="7F108B64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The number of contributing practices at the end of the reporting period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CD46" w14:textId="38C06F05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1619</w:t>
            </w:r>
          </w:p>
        </w:tc>
      </w:tr>
      <w:tr w:rsidR="009B4615" w:rsidRPr="00266890" w14:paraId="0F172FE6" w14:textId="6B723295" w:rsidTr="009B4615">
        <w:trPr>
          <w:trHeight w:val="31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866C2" w14:textId="62B1DEEA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B07CD" w14:textId="0940621C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The number of recorded diagnoses of sore throat or tonsillitis or pharyngitis for patients in [1a] in the 12 months preceding the end of the reporting period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8926" w14:textId="4CF9509F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542</w:t>
            </w:r>
            <w:r w:rsidR="00191783">
              <w:rPr>
                <w:rFonts w:ascii="Arial" w:hAnsi="Arial" w:cs="Arial"/>
                <w:color w:val="000000"/>
                <w:sz w:val="20"/>
                <w:szCs w:val="20"/>
              </w:rPr>
              <w:t>, 065</w:t>
            </w:r>
          </w:p>
        </w:tc>
      </w:tr>
      <w:tr w:rsidR="009B4615" w:rsidRPr="00266890" w14:paraId="4AD68ADC" w14:textId="2C5E2BF9" w:rsidTr="009B4615">
        <w:trPr>
          <w:trHeight w:val="31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9E1DC" w14:textId="7C9F7967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2a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A9B5A" w14:textId="05E902B1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The number of practices that recorded diagnoses of sore throat or tonsillitis or pharyngitis for patients in [1a] in the 12 months preceding the end of the reporting period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A6C1" w14:textId="5718FD97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1615</w:t>
            </w:r>
          </w:p>
        </w:tc>
      </w:tr>
      <w:tr w:rsidR="009B4615" w:rsidRPr="00266890" w14:paraId="658CC624" w14:textId="5D2E0937" w:rsidTr="009B4615">
        <w:trPr>
          <w:trHeight w:val="31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F717" w14:textId="56E70ECC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132F" w14:textId="2E769A81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The number of recorded diagnoses of otitis media for patients in [1a] in the 12 months preceding the end of the reporting period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475E" w14:textId="0F0C57FB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175</w:t>
            </w:r>
            <w:r w:rsidR="00115EE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191783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</w:tr>
      <w:tr w:rsidR="009B4615" w:rsidRPr="00266890" w14:paraId="02BE74D8" w14:textId="06DA5A2D" w:rsidTr="009B4615">
        <w:trPr>
          <w:trHeight w:val="31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5E78E" w14:textId="3A48E670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12754" w14:textId="0A93D5DD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The number of recorded diagnoses of sinusitis for patients in [1a] in the 12 months preceding the end of the reporting period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F3CB" w14:textId="73D609A9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  <w:r w:rsidR="00115EE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191783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9B4615" w:rsidRPr="00266890" w14:paraId="75E422B7" w14:textId="2E8F6915" w:rsidTr="009B4615">
        <w:trPr>
          <w:trHeight w:val="31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D6B28" w14:textId="1DFBD479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4CDB2" w14:textId="2C293D9E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The number of recorded diagnoses of cough for patients in [1a] in the 12 months preceding the end of the reporting period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35EC" w14:textId="31C1BF28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15EE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070</w:t>
            </w:r>
            <w:r w:rsidR="00115EE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191783"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</w:tr>
      <w:tr w:rsidR="009B4615" w:rsidRPr="00266890" w14:paraId="477F1188" w14:textId="7ABB54B0" w:rsidTr="009B4615">
        <w:trPr>
          <w:trHeight w:val="31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C406B" w14:textId="0ADD83CB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03572" w14:textId="312198AC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The number of diagnoses in [2] or [3] or [4] or [5]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8D41" w14:textId="4EA0CFB0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15EE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  <w:r w:rsidR="00191783">
              <w:rPr>
                <w:rFonts w:ascii="Arial" w:hAnsi="Arial" w:cs="Arial"/>
                <w:color w:val="000000"/>
                <w:sz w:val="20"/>
                <w:szCs w:val="20"/>
              </w:rPr>
              <w:t>4,785</w:t>
            </w:r>
          </w:p>
        </w:tc>
      </w:tr>
      <w:tr w:rsidR="009B4615" w:rsidRPr="00266890" w14:paraId="3D389F6E" w14:textId="661A8B32" w:rsidTr="009B4615">
        <w:trPr>
          <w:trHeight w:val="31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681D0" w14:textId="124CC203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6a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ECD59" w14:textId="29763313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The number of practices that recorded [2] or [3] or [4] or [5]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0154" w14:textId="36922968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1618</w:t>
            </w:r>
          </w:p>
        </w:tc>
      </w:tr>
      <w:tr w:rsidR="009B4615" w:rsidRPr="00266890" w14:paraId="0B06E8E8" w14:textId="52C6FE1B" w:rsidTr="009B4615">
        <w:trPr>
          <w:trHeight w:val="31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62F1A" w14:textId="0610FCE5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9C1A6" w14:textId="44B97E60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The number of diagnoses in [6] with a record of provision of a prescription for antibiotics up to 3 days after the recorded diagnosis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5595" w14:textId="1A2D3742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15EE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  <w:r w:rsidR="00191783">
              <w:rPr>
                <w:rFonts w:ascii="Arial" w:hAnsi="Arial" w:cs="Arial"/>
                <w:color w:val="000000"/>
                <w:sz w:val="20"/>
                <w:szCs w:val="20"/>
              </w:rPr>
              <w:t>6,890</w:t>
            </w:r>
          </w:p>
        </w:tc>
      </w:tr>
      <w:tr w:rsidR="009B4615" w:rsidRPr="00266890" w14:paraId="3F823F16" w14:textId="021875A5" w:rsidTr="009B4615">
        <w:trPr>
          <w:trHeight w:val="31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9762" w14:textId="55674AC1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7a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1395B" w14:textId="344B36D0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The number of diagnoses in [6] with a record of provision of a prescription for antibiotics up to 3 days after the recorded diagnosis and no record of a back up delayed prescription on the same day as the recorded diagnosis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5479" w14:textId="2963BA27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15EE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  <w:r w:rsidR="00191783">
              <w:rPr>
                <w:rFonts w:ascii="Arial" w:hAnsi="Arial" w:cs="Arial"/>
                <w:color w:val="000000"/>
                <w:sz w:val="20"/>
                <w:szCs w:val="20"/>
              </w:rPr>
              <w:t>8,960</w:t>
            </w:r>
          </w:p>
        </w:tc>
      </w:tr>
      <w:tr w:rsidR="009B4615" w:rsidRPr="00266890" w14:paraId="527FCD0C" w14:textId="2E09C767" w:rsidTr="009B4615">
        <w:trPr>
          <w:trHeight w:val="31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E0537" w14:textId="6CDDFB1B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AEBAB" w14:textId="14EB49F4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The number of diagnoses in [6] with a record of provision of a back up delayed prescription for antibiotics on the same day as the recorded diagnosis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66A4" w14:textId="7E802982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115EE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455</w:t>
            </w:r>
          </w:p>
        </w:tc>
      </w:tr>
      <w:tr w:rsidR="009B4615" w:rsidRPr="00266890" w14:paraId="16BCEAA0" w14:textId="09E3EDB5" w:rsidTr="009B4615">
        <w:trPr>
          <w:trHeight w:val="31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D82B" w14:textId="6D893189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9A5DC" w14:textId="4782BAE5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The number of diagnoses in [6] and not in [7] with a record of provision of self-care advice on the same day as the recorded diagnosis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F6F9" w14:textId="7D48CABD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1880</w:t>
            </w:r>
          </w:p>
        </w:tc>
      </w:tr>
      <w:tr w:rsidR="009B4615" w:rsidRPr="00266890" w14:paraId="67D15920" w14:textId="724F145D" w:rsidTr="009B4615">
        <w:trPr>
          <w:trHeight w:val="31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B772C" w14:textId="6CCD9238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7A567" w14:textId="3D081898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The number of diagnoses in [8] or [9]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AE90" w14:textId="0FA71769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115EE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19178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9B4615" w:rsidRPr="00266890" w14:paraId="06E7E0EF" w14:textId="3DE79C0D" w:rsidTr="009B4615">
        <w:trPr>
          <w:trHeight w:val="31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46C52" w14:textId="59C52E8B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10a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C58CF" w14:textId="5727A675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The number of practices that recorded [8] or [9]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2D2D" w14:textId="2729AE66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1180</w:t>
            </w:r>
          </w:p>
        </w:tc>
      </w:tr>
      <w:tr w:rsidR="009B4615" w:rsidRPr="00266890" w14:paraId="0B6FE0EB" w14:textId="177F7F3A" w:rsidTr="009B4615">
        <w:trPr>
          <w:trHeight w:val="31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B9991" w14:textId="734238CF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10b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EF092" w14:textId="29FACF19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The number of practices with more than 20 diagnoses in [8] or [9]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BC15" w14:textId="15E7CAA6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264</w:t>
            </w:r>
          </w:p>
        </w:tc>
      </w:tr>
      <w:tr w:rsidR="009B4615" w:rsidRPr="00266890" w14:paraId="43639835" w14:textId="6A7ED9BD" w:rsidTr="009B4615">
        <w:trPr>
          <w:trHeight w:val="31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F384C" w14:textId="18C7DD08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FA255" w14:textId="686F7118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The number of diagnoses in [2] with a recorded FeverPain or Centor score on the same day as the recorded diagnosis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9A38" w14:textId="11059900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  <w:r w:rsidR="00704C3D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9B4615" w:rsidRPr="00266890" w14:paraId="26C62B0B" w14:textId="16096609" w:rsidTr="009B4615">
        <w:trPr>
          <w:trHeight w:val="31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F4A0E" w14:textId="73D74012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11a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8B860" w14:textId="7253271C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The number of practices that recorded [1</w:t>
            </w:r>
            <w:r w:rsidR="0062573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F641" w14:textId="7B475349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1494</w:t>
            </w:r>
          </w:p>
        </w:tc>
      </w:tr>
      <w:tr w:rsidR="009B4615" w:rsidRPr="00266890" w14:paraId="13003FEA" w14:textId="6A426E1F" w:rsidTr="009B4615">
        <w:trPr>
          <w:trHeight w:val="31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B617D" w14:textId="629F107C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11b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7DD43" w14:textId="3D4E2409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The number of practices with more than 20 diagnoses in [1</w:t>
            </w:r>
            <w:r w:rsidR="0062573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E5F1" w14:textId="56347D14" w:rsidR="009B4615" w:rsidRPr="00A05BC5" w:rsidRDefault="009B4615" w:rsidP="005C3E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BC5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</w:tr>
    </w:tbl>
    <w:p w14:paraId="4D1660BC" w14:textId="77777777" w:rsidR="001101EF" w:rsidRPr="002C499A" w:rsidRDefault="001101EF" w:rsidP="002C499A">
      <w:pPr>
        <w:pStyle w:val="Paragraph"/>
        <w:rPr>
          <w:b/>
          <w:bCs/>
        </w:rPr>
      </w:pPr>
    </w:p>
    <w:p w14:paraId="52B77FC9" w14:textId="21C31D0D" w:rsidR="002C499A" w:rsidRDefault="002C499A" w:rsidP="002C499A">
      <w:pPr>
        <w:pStyle w:val="Heading1"/>
      </w:pPr>
      <w:bookmarkStart w:id="5" w:name="_Toc207809284"/>
      <w:r>
        <w:t>Key findings</w:t>
      </w:r>
      <w:bookmarkEnd w:id="5"/>
      <w:r>
        <w:t xml:space="preserve"> </w:t>
      </w:r>
      <w:r w:rsidR="00206C93" w:rsidRPr="00206C93">
        <w:t>GID-IND10330</w:t>
      </w:r>
    </w:p>
    <w:p w14:paraId="4F09F6A5" w14:textId="269D48A6" w:rsidR="00D15B6E" w:rsidRDefault="00D15B6E" w:rsidP="00206C93">
      <w:pPr>
        <w:pStyle w:val="Bullets"/>
      </w:pPr>
      <w:r>
        <w:t>O</w:t>
      </w:r>
      <w:r w:rsidR="001360AA" w:rsidRPr="001360AA">
        <w:t>f the 1,92</w:t>
      </w:r>
      <w:r w:rsidR="00191783">
        <w:t>4,785</w:t>
      </w:r>
      <w:r w:rsidR="001360AA" w:rsidRPr="001360AA">
        <w:t xml:space="preserve"> recorded diagnoses, only 20,3</w:t>
      </w:r>
      <w:r w:rsidR="00191783">
        <w:t>25</w:t>
      </w:r>
      <w:r w:rsidR="001360AA" w:rsidRPr="001360AA">
        <w:t xml:space="preserve"> (1.06%) were managed exclusively through self-care advice or a back-up delayed prescription. </w:t>
      </w:r>
      <w:r w:rsidR="00D27584" w:rsidRPr="00D27584">
        <w:t>1,02</w:t>
      </w:r>
      <w:r w:rsidR="00191783">
        <w:t>8,960</w:t>
      </w:r>
      <w:r w:rsidR="00D27584">
        <w:t xml:space="preserve"> (53</w:t>
      </w:r>
      <w:r w:rsidR="00191783">
        <w:t>.5</w:t>
      </w:r>
      <w:r w:rsidR="00D27584">
        <w:t>%) had a record</w:t>
      </w:r>
      <w:r w:rsidR="00D27584" w:rsidRPr="00D27584">
        <w:t xml:space="preserve"> of a prescription for antibiotics up to 3 days after the recorded diagnosis and no record of a backup delayed prescription</w:t>
      </w:r>
      <w:r w:rsidR="00D27584">
        <w:t>.</w:t>
      </w:r>
      <w:r w:rsidR="00D27584" w:rsidRPr="00D27584">
        <w:t xml:space="preserve"> </w:t>
      </w:r>
      <w:r w:rsidR="00D27584">
        <w:t>45.</w:t>
      </w:r>
      <w:r w:rsidR="00191783">
        <w:t>4</w:t>
      </w:r>
      <w:r w:rsidR="00D27584">
        <w:t xml:space="preserve">% of </w:t>
      </w:r>
      <w:r w:rsidR="00206C93">
        <w:t>neither provision of antibiotics nor self-care advice recorded.</w:t>
      </w:r>
      <w:r w:rsidR="001360AA">
        <w:t xml:space="preserve"> </w:t>
      </w:r>
    </w:p>
    <w:p w14:paraId="0CEBF65B" w14:textId="56B93469" w:rsidR="00206C93" w:rsidRPr="0020250B" w:rsidRDefault="00D15B6E" w:rsidP="00206C93">
      <w:pPr>
        <w:pStyle w:val="Bullets"/>
      </w:pPr>
      <w:r>
        <w:t>A</w:t>
      </w:r>
      <w:r w:rsidR="00206C93">
        <w:t xml:space="preserve"> practice with 10,000 patients would have around 1</w:t>
      </w:r>
      <w:r w:rsidR="00191783">
        <w:t>163</w:t>
      </w:r>
      <w:r w:rsidR="00206C93">
        <w:t xml:space="preserve"> relevant diagnoses a year. </w:t>
      </w:r>
    </w:p>
    <w:p w14:paraId="7678A374" w14:textId="642FD40D" w:rsidR="00B72F4E" w:rsidRPr="007F37F0" w:rsidRDefault="007716ED" w:rsidP="006504C4">
      <w:pPr>
        <w:pStyle w:val="Bullets"/>
      </w:pPr>
      <w:r>
        <w:t xml:space="preserve">1180 </w:t>
      </w:r>
      <w:r w:rsidR="00BF76E2">
        <w:t xml:space="preserve">GP </w:t>
      </w:r>
      <w:r>
        <w:t>practices recorded either delayed prescriptions or self-care advice, but only 264 did so more than 20 times</w:t>
      </w:r>
      <w:r w:rsidR="00B72F4E">
        <w:t xml:space="preserve">, which could suggest </w:t>
      </w:r>
      <w:r>
        <w:t>variation in prescribing behavio</w:t>
      </w:r>
      <w:r w:rsidR="00B72F4E">
        <w:t>u</w:t>
      </w:r>
      <w:r>
        <w:t xml:space="preserve">r, </w:t>
      </w:r>
      <w:proofErr w:type="gramStart"/>
      <w:r>
        <w:t>possibly influenced</w:t>
      </w:r>
      <w:proofErr w:type="gramEnd"/>
      <w:r>
        <w:t xml:space="preserve"> by local policies, clinician habits, or patient expectations.</w:t>
      </w:r>
    </w:p>
    <w:p w14:paraId="56061C32" w14:textId="5BF4E944" w:rsidR="00D15B6E" w:rsidRDefault="00D15B6E" w:rsidP="00D15B6E">
      <w:pPr>
        <w:pStyle w:val="Heading1"/>
      </w:pPr>
      <w:r>
        <w:t xml:space="preserve">Key findings </w:t>
      </w:r>
      <w:r w:rsidRPr="00206C93">
        <w:t>GID-IND1033</w:t>
      </w:r>
      <w:r>
        <w:t>1</w:t>
      </w:r>
    </w:p>
    <w:p w14:paraId="5AA58CAE" w14:textId="59D10756" w:rsidR="001218C4" w:rsidRDefault="001218C4" w:rsidP="006504C4">
      <w:pPr>
        <w:pStyle w:val="Bullets"/>
      </w:pPr>
      <w:r w:rsidRPr="0020250B">
        <w:rPr>
          <w:rStyle w:val="Strong"/>
          <w:rFonts w:cs="Arial"/>
          <w:b w:val="0"/>
          <w:bCs w:val="0"/>
        </w:rPr>
        <w:t>9%</w:t>
      </w:r>
      <w:r w:rsidRPr="0020250B">
        <w:t> of sore throat-related diagnoses had a recorded FeverPAIN or Centor score</w:t>
      </w:r>
      <w:r w:rsidR="00565EEA">
        <w:t xml:space="preserve"> and </w:t>
      </w:r>
      <w:r w:rsidR="006504C4">
        <w:t>w</w:t>
      </w:r>
      <w:r w:rsidR="00565EEA" w:rsidRPr="00565EEA">
        <w:t>hile 1494 practices used these tools, only 630 used them more than 20 times.</w:t>
      </w:r>
      <w:r w:rsidR="006504C4">
        <w:t xml:space="preserve"> This</w:t>
      </w:r>
      <w:r w:rsidR="0020250B">
        <w:t xml:space="preserve"> potentially</w:t>
      </w:r>
      <w:r w:rsidRPr="0020250B">
        <w:t xml:space="preserve"> show</w:t>
      </w:r>
      <w:r w:rsidR="006504C4">
        <w:t>s</w:t>
      </w:r>
      <w:r w:rsidRPr="0020250B">
        <w:t xml:space="preserve"> underutili</w:t>
      </w:r>
      <w:r w:rsidR="0020250B">
        <w:t>s</w:t>
      </w:r>
      <w:r w:rsidRPr="0020250B">
        <w:t>ation of these tools for guiding antibiotic use.</w:t>
      </w:r>
    </w:p>
    <w:p w14:paraId="628BCC02" w14:textId="0E5F8787" w:rsidR="00D15B6E" w:rsidRDefault="00D15B6E" w:rsidP="00D15B6E">
      <w:pPr>
        <w:pStyle w:val="Bullets"/>
      </w:pPr>
      <w:r w:rsidRPr="00D15B6E">
        <w:lastRenderedPageBreak/>
        <w:t xml:space="preserve">A practice with 10,000 patients would have around </w:t>
      </w:r>
      <w:r w:rsidR="00A73C23">
        <w:t>328</w:t>
      </w:r>
      <w:r w:rsidRPr="00D15B6E">
        <w:t xml:space="preserve"> relevant diagnoses a year. </w:t>
      </w:r>
    </w:p>
    <w:p w14:paraId="6641FE71" w14:textId="77777777" w:rsidR="00A74596" w:rsidRPr="00ED4724" w:rsidRDefault="00A74596" w:rsidP="00A74596">
      <w:pPr>
        <w:pStyle w:val="Heading1"/>
      </w:pPr>
      <w:bookmarkStart w:id="6" w:name="_Toc207809285"/>
      <w:r w:rsidRPr="00ED4724">
        <w:t>Data validation</w:t>
      </w:r>
      <w:bookmarkEnd w:id="6"/>
    </w:p>
    <w:p w14:paraId="342F8963" w14:textId="2BB191B1" w:rsidR="00B0029B" w:rsidRDefault="00B06ED2" w:rsidP="00B06ED2">
      <w:pPr>
        <w:pStyle w:val="ParagraphNumbered"/>
      </w:pPr>
      <w:r>
        <w:t xml:space="preserve">Proportionally, </w:t>
      </w:r>
      <w:r w:rsidR="00737EF9">
        <w:t xml:space="preserve">NHS England </w:t>
      </w:r>
      <w:r w:rsidR="00737EF9" w:rsidRPr="00737EF9">
        <w:t>SNOMED Code Usage in Primary Care</w:t>
      </w:r>
      <w:r w:rsidR="00B0029B">
        <w:t xml:space="preserve"> from 2023 to 2024</w:t>
      </w:r>
      <w:r w:rsidR="00737EF9">
        <w:t xml:space="preserve"> </w:t>
      </w:r>
      <w:r w:rsidR="00071839" w:rsidRPr="00ED4724">
        <w:t xml:space="preserve">yielded broadly </w:t>
      </w:r>
      <w:proofErr w:type="gramStart"/>
      <w:r w:rsidR="00071839" w:rsidRPr="00ED4724">
        <w:t>similar results</w:t>
      </w:r>
      <w:proofErr w:type="gramEnd"/>
      <w:r w:rsidR="00071839" w:rsidRPr="00ED4724">
        <w:t xml:space="preserve"> to</w:t>
      </w:r>
      <w:r w:rsidR="00071839" w:rsidRPr="00071839">
        <w:t xml:space="preserve"> </w:t>
      </w:r>
      <w:r w:rsidR="00071839" w:rsidRPr="00ED4724">
        <w:t>CPRD data</w:t>
      </w:r>
      <w:r w:rsidR="00123CA6">
        <w:t xml:space="preserve"> on the number of </w:t>
      </w:r>
      <w:r w:rsidR="009411A3">
        <w:t>recorded diagnoses of</w:t>
      </w:r>
      <w:r w:rsidR="00B0029B">
        <w:t>:</w:t>
      </w:r>
    </w:p>
    <w:p w14:paraId="2574BD57" w14:textId="299BC398" w:rsidR="00B0029B" w:rsidRDefault="009411A3" w:rsidP="00B0029B">
      <w:pPr>
        <w:pStyle w:val="Bullets"/>
      </w:pPr>
      <w:r w:rsidRPr="007C1FA0">
        <w:t>sore throat, tonsillitis,</w:t>
      </w:r>
      <w:r>
        <w:t xml:space="preserve"> and</w:t>
      </w:r>
      <w:r w:rsidRPr="007C1FA0">
        <w:t xml:space="preserve"> pharyngitis</w:t>
      </w:r>
      <w:r>
        <w:t xml:space="preserve"> (</w:t>
      </w:r>
      <w:r w:rsidR="0073307E">
        <w:t xml:space="preserve">3.4% vs. </w:t>
      </w:r>
      <w:r w:rsidR="009123AD">
        <w:t>3.6%, respectively)</w:t>
      </w:r>
    </w:p>
    <w:p w14:paraId="2E559EEC" w14:textId="77777777" w:rsidR="00B0029B" w:rsidRDefault="009123AD" w:rsidP="00B0029B">
      <w:pPr>
        <w:pStyle w:val="Bullets"/>
      </w:pPr>
      <w:r>
        <w:t>otitis media (</w:t>
      </w:r>
      <w:r w:rsidR="005A5420">
        <w:t xml:space="preserve">1.7% vs. </w:t>
      </w:r>
      <w:r w:rsidR="00E90174">
        <w:t>1.2%</w:t>
      </w:r>
      <w:r w:rsidR="002E63D9">
        <w:t>, respectively</w:t>
      </w:r>
      <w:r>
        <w:t>)</w:t>
      </w:r>
    </w:p>
    <w:p w14:paraId="019A3756" w14:textId="77777777" w:rsidR="00B0029B" w:rsidRDefault="009123AD" w:rsidP="00B0029B">
      <w:pPr>
        <w:pStyle w:val="Bullets"/>
      </w:pPr>
      <w:r>
        <w:t>sinusitis (</w:t>
      </w:r>
      <w:r w:rsidR="0049685E">
        <w:t xml:space="preserve">0.7% vs. </w:t>
      </w:r>
      <w:r w:rsidR="004F63E6">
        <w:t>0.9%</w:t>
      </w:r>
      <w:r w:rsidR="002E63D9">
        <w:t>, respectively</w:t>
      </w:r>
      <w:r>
        <w:t>)</w:t>
      </w:r>
    </w:p>
    <w:p w14:paraId="58BBFF2F" w14:textId="52076AD4" w:rsidR="00A74596" w:rsidRPr="00881430" w:rsidRDefault="005A5420" w:rsidP="00B0029B">
      <w:pPr>
        <w:pStyle w:val="Bullets"/>
      </w:pPr>
      <w:r>
        <w:t>cough (</w:t>
      </w:r>
      <w:r w:rsidR="00392BA8">
        <w:t xml:space="preserve">5.8% vs. </w:t>
      </w:r>
      <w:r w:rsidR="002E63D9">
        <w:t>7.2%, respectively</w:t>
      </w:r>
      <w:r>
        <w:t>)</w:t>
      </w:r>
      <w:r w:rsidR="00071839">
        <w:t>.</w:t>
      </w:r>
    </w:p>
    <w:p w14:paraId="7B17A8D1" w14:textId="77777777" w:rsidR="00A74596" w:rsidRDefault="00A74596" w:rsidP="00A74596">
      <w:pPr>
        <w:pStyle w:val="Bullets"/>
        <w:numPr>
          <w:ilvl w:val="0"/>
          <w:numId w:val="0"/>
        </w:numPr>
      </w:pPr>
    </w:p>
    <w:p w14:paraId="08C239F4" w14:textId="73906EB9" w:rsidR="002E482A" w:rsidRDefault="002E482A" w:rsidP="00555D28">
      <w:pPr>
        <w:pStyle w:val="Heading1"/>
      </w:pPr>
      <w:r>
        <w:br w:type="page"/>
      </w:r>
      <w:bookmarkStart w:id="7" w:name="_Toc207809286"/>
      <w:r w:rsidR="00555D28">
        <w:lastRenderedPageBreak/>
        <w:t>References</w:t>
      </w:r>
      <w:bookmarkEnd w:id="7"/>
      <w:r w:rsidR="00555D28">
        <w:t xml:space="preserve"> </w:t>
      </w:r>
    </w:p>
    <w:p w14:paraId="22F45C6F" w14:textId="77777777" w:rsidR="00340D2F" w:rsidRDefault="00340D2F" w:rsidP="003A5717">
      <w:pPr>
        <w:pStyle w:val="Paragraph"/>
        <w:spacing w:before="240"/>
      </w:pPr>
      <w:r w:rsidRPr="00695BBB">
        <w:t>Clinical Practice Research Datalink. (202</w:t>
      </w:r>
      <w:r>
        <w:t>5</w:t>
      </w:r>
      <w:r w:rsidRPr="00695BBB">
        <w:t xml:space="preserve">). CPRD Aurum </w:t>
      </w:r>
      <w:r>
        <w:t xml:space="preserve">June 2025 </w:t>
      </w:r>
      <w:r w:rsidRPr="00695BBB">
        <w:t xml:space="preserve">(Version 2024.03.001) [Data set]. Clinical Practice Research Datalink. </w:t>
      </w:r>
      <w:hyperlink r:id="rId9" w:history="1">
        <w:r w:rsidRPr="004033F0">
          <w:rPr>
            <w:rStyle w:val="Hyperlink"/>
          </w:rPr>
          <w:t>https://www.cprd.com/doi/cprd-aurum-june-2025</w:t>
        </w:r>
      </w:hyperlink>
    </w:p>
    <w:p w14:paraId="14D1C530" w14:textId="4DB987EE" w:rsidR="003A5717" w:rsidRDefault="003A5717" w:rsidP="003A5717">
      <w:pPr>
        <w:spacing w:before="240" w:after="240" w:line="360" w:lineRule="auto"/>
        <w:rPr>
          <w:rFonts w:ascii="Arial" w:hAnsi="Arial"/>
          <w:lang w:eastAsia="en-US"/>
        </w:rPr>
      </w:pPr>
      <w:r w:rsidRPr="003A5717">
        <w:rPr>
          <w:rFonts w:ascii="Arial" w:hAnsi="Arial"/>
          <w:lang w:eastAsia="en-US"/>
        </w:rPr>
        <w:t xml:space="preserve">NHS England. Patients registered at a GP practice [Internet]. Leeds: NHS England; 2025 Jan </w:t>
      </w:r>
      <w:hyperlink r:id="rId10" w:history="1">
        <w:r w:rsidR="006A0B63" w:rsidRPr="00A47B24">
          <w:rPr>
            <w:rStyle w:val="Hyperlink"/>
            <w:rFonts w:ascii="Arial" w:hAnsi="Arial"/>
            <w:lang w:eastAsia="en-US"/>
          </w:rPr>
          <w:t>https://digital.nhs.uk/data-and-information/publications/statistical/patients-registered-at-a-gp-practice</w:t>
        </w:r>
      </w:hyperlink>
    </w:p>
    <w:p w14:paraId="5B40463F" w14:textId="13491183" w:rsidR="007D61D1" w:rsidRDefault="007D61D1" w:rsidP="007D61D1">
      <w:pPr>
        <w:spacing w:before="240" w:after="240" w:line="360" w:lineRule="auto"/>
        <w:rPr>
          <w:rFonts w:ascii="Arial" w:hAnsi="Arial"/>
          <w:lang w:eastAsia="en-US"/>
        </w:rPr>
      </w:pPr>
      <w:r w:rsidRPr="007D61D1">
        <w:rPr>
          <w:rFonts w:ascii="Arial" w:hAnsi="Arial"/>
          <w:lang w:eastAsia="en-US"/>
        </w:rPr>
        <w:t xml:space="preserve">NHS England. MI SNOMED code usage in primary care, 2023–24 [Internet]. Leeds: NHS England; 2024 Oct </w:t>
      </w:r>
      <w:hyperlink r:id="rId11" w:history="1">
        <w:r w:rsidRPr="00A47B24">
          <w:rPr>
            <w:rStyle w:val="Hyperlink"/>
            <w:rFonts w:ascii="Arial" w:hAnsi="Arial"/>
            <w:lang w:eastAsia="en-US"/>
          </w:rPr>
          <w:t>https://digital.nhs.uk/data-and-information/publications/statistical/mi-snomed-code-usage-in-primary-care/2023-24</w:t>
        </w:r>
      </w:hyperlink>
    </w:p>
    <w:p w14:paraId="6D33397D" w14:textId="77777777" w:rsidR="007D61D1" w:rsidRPr="007D61D1" w:rsidRDefault="007D61D1" w:rsidP="007D61D1">
      <w:pPr>
        <w:spacing w:before="240" w:after="240" w:line="360" w:lineRule="auto"/>
        <w:rPr>
          <w:rFonts w:ascii="Arial" w:hAnsi="Arial"/>
          <w:lang w:eastAsia="en-US"/>
        </w:rPr>
      </w:pPr>
    </w:p>
    <w:p w14:paraId="4C9DC0CC" w14:textId="77777777" w:rsidR="007D61D1" w:rsidRDefault="007D61D1" w:rsidP="003A5717">
      <w:pPr>
        <w:spacing w:before="240" w:after="240" w:line="360" w:lineRule="auto"/>
        <w:rPr>
          <w:rFonts w:ascii="Arial" w:hAnsi="Arial"/>
          <w:lang w:eastAsia="en-US"/>
        </w:rPr>
      </w:pPr>
    </w:p>
    <w:p w14:paraId="26848647" w14:textId="77777777" w:rsidR="006A0B63" w:rsidRPr="003A5717" w:rsidRDefault="006A0B63" w:rsidP="003A5717">
      <w:pPr>
        <w:spacing w:before="240" w:after="240" w:line="360" w:lineRule="auto"/>
        <w:rPr>
          <w:rFonts w:ascii="Arial" w:hAnsi="Arial"/>
          <w:lang w:eastAsia="en-US"/>
        </w:rPr>
      </w:pPr>
    </w:p>
    <w:p w14:paraId="5E4F0C32" w14:textId="77777777" w:rsidR="003A5717" w:rsidRDefault="003A5717" w:rsidP="00340D2F">
      <w:pPr>
        <w:pStyle w:val="Paragraph"/>
      </w:pPr>
    </w:p>
    <w:p w14:paraId="42B73195" w14:textId="68096933" w:rsidR="00555D28" w:rsidRDefault="00555D28" w:rsidP="00555D28">
      <w:pPr>
        <w:pStyle w:val="Paragraph"/>
      </w:pPr>
    </w:p>
    <w:sectPr w:rsidR="00555D28" w:rsidSect="00BE55C1"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91ACB" w14:textId="77777777" w:rsidR="002C00F2" w:rsidRDefault="002C00F2" w:rsidP="00446BEE">
      <w:r>
        <w:separator/>
      </w:r>
    </w:p>
  </w:endnote>
  <w:endnote w:type="continuationSeparator" w:id="0">
    <w:p w14:paraId="3BD82167" w14:textId="77777777" w:rsidR="002C00F2" w:rsidRDefault="002C00F2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9111631"/>
      <w:docPartObj>
        <w:docPartGallery w:val="Page Numbers (Bottom of Page)"/>
        <w:docPartUnique/>
      </w:docPartObj>
    </w:sdtPr>
    <w:sdtEndPr/>
    <w:sdtContent>
      <w:sdt>
        <w:sdtPr>
          <w:id w:val="1380670050"/>
          <w:docPartObj>
            <w:docPartGallery w:val="Page Numbers (Top of Page)"/>
            <w:docPartUnique/>
          </w:docPartObj>
        </w:sdtPr>
        <w:sdtEndPr/>
        <w:sdtContent>
          <w:p w14:paraId="54719657" w14:textId="3079BC2C" w:rsidR="00196342" w:rsidRDefault="009444D3">
            <w:pPr>
              <w:pStyle w:val="Footer"/>
            </w:pPr>
            <w:r>
              <w:t>IND323:</w:t>
            </w:r>
            <w:r w:rsidR="00196342">
              <w:t xml:space="preserve"> CPRD report</w:t>
            </w:r>
            <w:r w:rsidR="00196342">
              <w:tab/>
            </w:r>
            <w:r w:rsidR="00196342">
              <w:tab/>
            </w:r>
            <w:r w:rsidR="00196342" w:rsidRPr="008E7826">
              <w:t xml:space="preserve">Page </w:t>
            </w:r>
            <w:r w:rsidR="00196342" w:rsidRPr="008E7826">
              <w:rPr>
                <w:sz w:val="24"/>
              </w:rPr>
              <w:fldChar w:fldCharType="begin"/>
            </w:r>
            <w:r w:rsidR="00196342" w:rsidRPr="008E7826">
              <w:instrText xml:space="preserve"> PAGE </w:instrText>
            </w:r>
            <w:r w:rsidR="00196342" w:rsidRPr="008E7826">
              <w:rPr>
                <w:sz w:val="24"/>
              </w:rPr>
              <w:fldChar w:fldCharType="separate"/>
            </w:r>
            <w:r w:rsidR="00196342">
              <w:rPr>
                <w:sz w:val="24"/>
              </w:rPr>
              <w:t>1</w:t>
            </w:r>
            <w:r w:rsidR="00196342" w:rsidRPr="008E7826">
              <w:rPr>
                <w:sz w:val="24"/>
              </w:rPr>
              <w:fldChar w:fldCharType="end"/>
            </w:r>
            <w:r w:rsidR="00196342" w:rsidRPr="008E7826">
              <w:t xml:space="preserve"> of </w:t>
            </w:r>
            <w:r w:rsidR="00196342">
              <w:fldChar w:fldCharType="begin"/>
            </w:r>
            <w:r w:rsidR="00196342">
              <w:instrText xml:space="preserve"> NUMPAGES  </w:instrText>
            </w:r>
            <w:r w:rsidR="00196342">
              <w:fldChar w:fldCharType="separate"/>
            </w:r>
            <w:r w:rsidR="00196342">
              <w:t>6</w:t>
            </w:r>
            <w:r w:rsidR="00196342">
              <w:rPr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A0F0FA" w14:textId="0865116F" w:rsidR="00196342" w:rsidRPr="00196342" w:rsidRDefault="00847F51" w:rsidP="00196342">
            <w:pPr>
              <w:pStyle w:val="Footer"/>
            </w:pPr>
            <w:r>
              <w:t>IND323 inf</w:t>
            </w:r>
            <w:r w:rsidR="00196342">
              <w:t>ections CPRD report</w:t>
            </w:r>
            <w:r w:rsidR="00196342">
              <w:tab/>
            </w:r>
            <w:r w:rsidR="00196342">
              <w:tab/>
            </w:r>
            <w:r w:rsidR="00196342" w:rsidRPr="008E7826">
              <w:t xml:space="preserve">Page </w:t>
            </w:r>
            <w:r w:rsidR="00196342" w:rsidRPr="008E7826">
              <w:rPr>
                <w:sz w:val="24"/>
              </w:rPr>
              <w:fldChar w:fldCharType="begin"/>
            </w:r>
            <w:r w:rsidR="00196342" w:rsidRPr="008E7826">
              <w:instrText xml:space="preserve"> PAGE </w:instrText>
            </w:r>
            <w:r w:rsidR="00196342" w:rsidRPr="008E7826">
              <w:rPr>
                <w:sz w:val="24"/>
              </w:rPr>
              <w:fldChar w:fldCharType="separate"/>
            </w:r>
            <w:r w:rsidR="00196342">
              <w:t>1</w:t>
            </w:r>
            <w:r w:rsidR="00196342" w:rsidRPr="008E7826">
              <w:rPr>
                <w:sz w:val="24"/>
              </w:rPr>
              <w:fldChar w:fldCharType="end"/>
            </w:r>
            <w:r w:rsidR="00196342" w:rsidRPr="008E7826">
              <w:t xml:space="preserve"> of </w:t>
            </w:r>
            <w:r w:rsidR="00196342">
              <w:fldChar w:fldCharType="begin"/>
            </w:r>
            <w:r w:rsidR="00196342">
              <w:instrText xml:space="preserve"> NUMPAGES  </w:instrText>
            </w:r>
            <w:r w:rsidR="00196342">
              <w:fldChar w:fldCharType="separate"/>
            </w:r>
            <w:r w:rsidR="00196342">
              <w:t>2</w:t>
            </w:r>
            <w:r w:rsidR="00196342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740E8" w14:textId="77777777" w:rsidR="002C00F2" w:rsidRDefault="002C00F2" w:rsidP="00446BEE">
      <w:r>
        <w:separator/>
      </w:r>
    </w:p>
  </w:footnote>
  <w:footnote w:type="continuationSeparator" w:id="0">
    <w:p w14:paraId="557DB986" w14:textId="77777777" w:rsidR="002C00F2" w:rsidRDefault="002C00F2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10F32" w14:textId="47D177BB" w:rsidR="00196342" w:rsidRDefault="00196342">
    <w:pPr>
      <w:pStyle w:val="Header"/>
    </w:pPr>
    <w:r>
      <w:rPr>
        <w:noProof/>
      </w:rPr>
      <w:drawing>
        <wp:inline distT="0" distB="0" distL="0" distR="0" wp14:anchorId="770EE1C8" wp14:editId="1B7D3AD6">
          <wp:extent cx="2438400" cy="255905"/>
          <wp:effectExtent l="0" t="0" r="0" b="0"/>
          <wp:docPr id="481162805" name="Picture 1" descr="Logo: National Institute for Health and Care Excell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162805" name="Picture 1" descr="Logo: National Institute for Health and Care Excell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255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9352E"/>
    <w:multiLevelType w:val="hybridMultilevel"/>
    <w:tmpl w:val="A20E6BD2"/>
    <w:lvl w:ilvl="0" w:tplc="08090001">
      <w:start w:val="1"/>
      <w:numFmt w:val="bullet"/>
      <w:lvlText w:val=""/>
      <w:lvlJc w:val="left"/>
      <w:pPr>
        <w:ind w:left="1276" w:hanging="851"/>
      </w:pPr>
      <w:rPr>
        <w:rFonts w:ascii="Symbol" w:hAnsi="Symbol"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9C93D14"/>
    <w:multiLevelType w:val="hybridMultilevel"/>
    <w:tmpl w:val="9216D0DE"/>
    <w:lvl w:ilvl="0" w:tplc="84F8B80C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  <w:b w:val="0"/>
        <w:bCs w:val="0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96F2189"/>
    <w:multiLevelType w:val="hybridMultilevel"/>
    <w:tmpl w:val="572E0D50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 w15:restartNumberingAfterBreak="0">
    <w:nsid w:val="786C1692"/>
    <w:multiLevelType w:val="multilevel"/>
    <w:tmpl w:val="3C3E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384370">
    <w:abstractNumId w:val="12"/>
  </w:num>
  <w:num w:numId="2" w16cid:durableId="1271931310">
    <w:abstractNumId w:val="14"/>
  </w:num>
  <w:num w:numId="3" w16cid:durableId="987441700">
    <w:abstractNumId w:val="14"/>
    <w:lvlOverride w:ilvl="0">
      <w:startOverride w:val="1"/>
    </w:lvlOverride>
  </w:num>
  <w:num w:numId="4" w16cid:durableId="1499422565">
    <w:abstractNumId w:val="14"/>
    <w:lvlOverride w:ilvl="0">
      <w:startOverride w:val="1"/>
    </w:lvlOverride>
  </w:num>
  <w:num w:numId="5" w16cid:durableId="2069916214">
    <w:abstractNumId w:val="14"/>
    <w:lvlOverride w:ilvl="0">
      <w:startOverride w:val="1"/>
    </w:lvlOverride>
  </w:num>
  <w:num w:numId="6" w16cid:durableId="1714303981">
    <w:abstractNumId w:val="14"/>
    <w:lvlOverride w:ilvl="0">
      <w:startOverride w:val="1"/>
    </w:lvlOverride>
  </w:num>
  <w:num w:numId="7" w16cid:durableId="1383334273">
    <w:abstractNumId w:val="14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0"/>
  </w:num>
  <w:num w:numId="19" w16cid:durableId="1373924523">
    <w:abstractNumId w:val="10"/>
    <w:lvlOverride w:ilvl="0">
      <w:startOverride w:val="1"/>
    </w:lvlOverride>
  </w:num>
  <w:num w:numId="20" w16cid:durableId="399716702">
    <w:abstractNumId w:val="12"/>
  </w:num>
  <w:num w:numId="21" w16cid:durableId="1595244151">
    <w:abstractNumId w:val="14"/>
  </w:num>
  <w:num w:numId="22" w16cid:durableId="368646558">
    <w:abstractNumId w:val="10"/>
  </w:num>
  <w:num w:numId="23" w16cid:durableId="534393170">
    <w:abstractNumId w:val="13"/>
  </w:num>
  <w:num w:numId="24" w16cid:durableId="609512517">
    <w:abstractNumId w:val="15"/>
  </w:num>
  <w:num w:numId="25" w16cid:durableId="1826390006">
    <w:abstractNumId w:val="11"/>
  </w:num>
  <w:num w:numId="26" w16cid:durableId="8575481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46"/>
    <w:rsid w:val="000053F8"/>
    <w:rsid w:val="00024D0A"/>
    <w:rsid w:val="00035A92"/>
    <w:rsid w:val="000424F2"/>
    <w:rsid w:val="00042F8B"/>
    <w:rsid w:val="00044FBE"/>
    <w:rsid w:val="00045BE7"/>
    <w:rsid w:val="0004666E"/>
    <w:rsid w:val="00054584"/>
    <w:rsid w:val="00070065"/>
    <w:rsid w:val="00071839"/>
    <w:rsid w:val="00073662"/>
    <w:rsid w:val="00090F7A"/>
    <w:rsid w:val="00096E11"/>
    <w:rsid w:val="000A4FEE"/>
    <w:rsid w:val="000B2C1B"/>
    <w:rsid w:val="000B5939"/>
    <w:rsid w:val="000D1DF7"/>
    <w:rsid w:val="000D218C"/>
    <w:rsid w:val="000E265F"/>
    <w:rsid w:val="000E454D"/>
    <w:rsid w:val="000E49D0"/>
    <w:rsid w:val="000E5266"/>
    <w:rsid w:val="000F0A8A"/>
    <w:rsid w:val="001101EF"/>
    <w:rsid w:val="001134E7"/>
    <w:rsid w:val="001136C0"/>
    <w:rsid w:val="00115EE8"/>
    <w:rsid w:val="001218C4"/>
    <w:rsid w:val="00123B24"/>
    <w:rsid w:val="00123CA6"/>
    <w:rsid w:val="001336FF"/>
    <w:rsid w:val="001360AA"/>
    <w:rsid w:val="00136206"/>
    <w:rsid w:val="00144126"/>
    <w:rsid w:val="00145FFB"/>
    <w:rsid w:val="00147BB7"/>
    <w:rsid w:val="001562D9"/>
    <w:rsid w:val="00157BBE"/>
    <w:rsid w:val="0017169E"/>
    <w:rsid w:val="001877CB"/>
    <w:rsid w:val="00187BEE"/>
    <w:rsid w:val="00191783"/>
    <w:rsid w:val="00192CD9"/>
    <w:rsid w:val="00196342"/>
    <w:rsid w:val="001A6635"/>
    <w:rsid w:val="001B0EE9"/>
    <w:rsid w:val="001B65B3"/>
    <w:rsid w:val="001E60D6"/>
    <w:rsid w:val="001F7B97"/>
    <w:rsid w:val="0020250B"/>
    <w:rsid w:val="00202A84"/>
    <w:rsid w:val="002047E3"/>
    <w:rsid w:val="00205DAA"/>
    <w:rsid w:val="00206C68"/>
    <w:rsid w:val="00206C93"/>
    <w:rsid w:val="002124D5"/>
    <w:rsid w:val="0023020C"/>
    <w:rsid w:val="00237103"/>
    <w:rsid w:val="002408EA"/>
    <w:rsid w:val="0025603E"/>
    <w:rsid w:val="00256E8D"/>
    <w:rsid w:val="002612B1"/>
    <w:rsid w:val="00266890"/>
    <w:rsid w:val="002816D9"/>
    <w:rsid w:val="002819D7"/>
    <w:rsid w:val="002A1734"/>
    <w:rsid w:val="002A43A2"/>
    <w:rsid w:val="002A742A"/>
    <w:rsid w:val="002B1F81"/>
    <w:rsid w:val="002B6E17"/>
    <w:rsid w:val="002C00F2"/>
    <w:rsid w:val="002C1A7E"/>
    <w:rsid w:val="002C499A"/>
    <w:rsid w:val="002D3376"/>
    <w:rsid w:val="002E482A"/>
    <w:rsid w:val="002E63D9"/>
    <w:rsid w:val="002F534A"/>
    <w:rsid w:val="003060DA"/>
    <w:rsid w:val="003114BE"/>
    <w:rsid w:val="00311ED0"/>
    <w:rsid w:val="00324C5A"/>
    <w:rsid w:val="00324FE8"/>
    <w:rsid w:val="003374C6"/>
    <w:rsid w:val="00337C5F"/>
    <w:rsid w:val="00340D2F"/>
    <w:rsid w:val="00347328"/>
    <w:rsid w:val="00352706"/>
    <w:rsid w:val="003648C5"/>
    <w:rsid w:val="003722FA"/>
    <w:rsid w:val="00386553"/>
    <w:rsid w:val="00392BA8"/>
    <w:rsid w:val="003A5717"/>
    <w:rsid w:val="003B3E19"/>
    <w:rsid w:val="003C2B92"/>
    <w:rsid w:val="003C7AAF"/>
    <w:rsid w:val="003D6B46"/>
    <w:rsid w:val="003E7020"/>
    <w:rsid w:val="003F0A04"/>
    <w:rsid w:val="003F1C1C"/>
    <w:rsid w:val="004075B6"/>
    <w:rsid w:val="004078B9"/>
    <w:rsid w:val="00420952"/>
    <w:rsid w:val="004357B2"/>
    <w:rsid w:val="00442A76"/>
    <w:rsid w:val="00446BEE"/>
    <w:rsid w:val="00470AA3"/>
    <w:rsid w:val="00482A22"/>
    <w:rsid w:val="0049685E"/>
    <w:rsid w:val="004C3087"/>
    <w:rsid w:val="004E1152"/>
    <w:rsid w:val="004F63E6"/>
    <w:rsid w:val="005025A1"/>
    <w:rsid w:val="005071E5"/>
    <w:rsid w:val="005136C5"/>
    <w:rsid w:val="00534C0E"/>
    <w:rsid w:val="00536A9E"/>
    <w:rsid w:val="00546DBD"/>
    <w:rsid w:val="00555D28"/>
    <w:rsid w:val="00555FE8"/>
    <w:rsid w:val="00565EEA"/>
    <w:rsid w:val="00583694"/>
    <w:rsid w:val="00594C3A"/>
    <w:rsid w:val="005A02D5"/>
    <w:rsid w:val="005A2063"/>
    <w:rsid w:val="005A28C3"/>
    <w:rsid w:val="005A5420"/>
    <w:rsid w:val="005A723A"/>
    <w:rsid w:val="005B2632"/>
    <w:rsid w:val="005C3EF2"/>
    <w:rsid w:val="005C720F"/>
    <w:rsid w:val="005C7738"/>
    <w:rsid w:val="005C790B"/>
    <w:rsid w:val="005D52D0"/>
    <w:rsid w:val="005E00A4"/>
    <w:rsid w:val="005F14BD"/>
    <w:rsid w:val="005F3DEB"/>
    <w:rsid w:val="005F48B7"/>
    <w:rsid w:val="0060746B"/>
    <w:rsid w:val="00624140"/>
    <w:rsid w:val="00625737"/>
    <w:rsid w:val="0064106A"/>
    <w:rsid w:val="006504C4"/>
    <w:rsid w:val="00661226"/>
    <w:rsid w:val="006709A9"/>
    <w:rsid w:val="0067409E"/>
    <w:rsid w:val="006802A7"/>
    <w:rsid w:val="00680338"/>
    <w:rsid w:val="00683ED7"/>
    <w:rsid w:val="006921E1"/>
    <w:rsid w:val="00693848"/>
    <w:rsid w:val="00695BBB"/>
    <w:rsid w:val="00696C0A"/>
    <w:rsid w:val="006A0B63"/>
    <w:rsid w:val="006A28FB"/>
    <w:rsid w:val="006C40FA"/>
    <w:rsid w:val="006F0102"/>
    <w:rsid w:val="006F46D0"/>
    <w:rsid w:val="00704C3D"/>
    <w:rsid w:val="00706246"/>
    <w:rsid w:val="00707918"/>
    <w:rsid w:val="0073307E"/>
    <w:rsid w:val="00736348"/>
    <w:rsid w:val="00737EF9"/>
    <w:rsid w:val="007400C7"/>
    <w:rsid w:val="00745802"/>
    <w:rsid w:val="007546AF"/>
    <w:rsid w:val="007619A2"/>
    <w:rsid w:val="007716ED"/>
    <w:rsid w:val="0077376B"/>
    <w:rsid w:val="00781C41"/>
    <w:rsid w:val="007A46CA"/>
    <w:rsid w:val="007C1FA0"/>
    <w:rsid w:val="007D4A41"/>
    <w:rsid w:val="007D61D1"/>
    <w:rsid w:val="007F37F0"/>
    <w:rsid w:val="00831CC8"/>
    <w:rsid w:val="00832276"/>
    <w:rsid w:val="00833D8A"/>
    <w:rsid w:val="00836A9B"/>
    <w:rsid w:val="00843719"/>
    <w:rsid w:val="00847F51"/>
    <w:rsid w:val="00861B92"/>
    <w:rsid w:val="008814FB"/>
    <w:rsid w:val="008A20A5"/>
    <w:rsid w:val="008A41BF"/>
    <w:rsid w:val="008B11F6"/>
    <w:rsid w:val="008B4D97"/>
    <w:rsid w:val="008C252F"/>
    <w:rsid w:val="008D1C65"/>
    <w:rsid w:val="008E7826"/>
    <w:rsid w:val="008F0283"/>
    <w:rsid w:val="008F5E30"/>
    <w:rsid w:val="008F6FB7"/>
    <w:rsid w:val="00900232"/>
    <w:rsid w:val="00900FB0"/>
    <w:rsid w:val="0090114D"/>
    <w:rsid w:val="009123AD"/>
    <w:rsid w:val="00914D7F"/>
    <w:rsid w:val="00916717"/>
    <w:rsid w:val="00930203"/>
    <w:rsid w:val="009411A3"/>
    <w:rsid w:val="009444D3"/>
    <w:rsid w:val="009462B3"/>
    <w:rsid w:val="00946365"/>
    <w:rsid w:val="00957C26"/>
    <w:rsid w:val="00970319"/>
    <w:rsid w:val="0097305A"/>
    <w:rsid w:val="009770F0"/>
    <w:rsid w:val="00981F65"/>
    <w:rsid w:val="009934B0"/>
    <w:rsid w:val="009A0BDB"/>
    <w:rsid w:val="009B4615"/>
    <w:rsid w:val="009E0D02"/>
    <w:rsid w:val="009E40E4"/>
    <w:rsid w:val="009E680B"/>
    <w:rsid w:val="009F0B8D"/>
    <w:rsid w:val="009F37B6"/>
    <w:rsid w:val="009F3881"/>
    <w:rsid w:val="00A05BC5"/>
    <w:rsid w:val="00A12673"/>
    <w:rsid w:val="00A15A1F"/>
    <w:rsid w:val="00A220B5"/>
    <w:rsid w:val="00A3325A"/>
    <w:rsid w:val="00A37060"/>
    <w:rsid w:val="00A43013"/>
    <w:rsid w:val="00A43B1B"/>
    <w:rsid w:val="00A45AD9"/>
    <w:rsid w:val="00A6287D"/>
    <w:rsid w:val="00A6331D"/>
    <w:rsid w:val="00A705DE"/>
    <w:rsid w:val="00A73C23"/>
    <w:rsid w:val="00A74596"/>
    <w:rsid w:val="00A90CD8"/>
    <w:rsid w:val="00A937ED"/>
    <w:rsid w:val="00AC7750"/>
    <w:rsid w:val="00AE2BC3"/>
    <w:rsid w:val="00AE5237"/>
    <w:rsid w:val="00AF108A"/>
    <w:rsid w:val="00AF2103"/>
    <w:rsid w:val="00B0029B"/>
    <w:rsid w:val="00B02E55"/>
    <w:rsid w:val="00B036C1"/>
    <w:rsid w:val="00B06768"/>
    <w:rsid w:val="00B06ED2"/>
    <w:rsid w:val="00B32AF1"/>
    <w:rsid w:val="00B45534"/>
    <w:rsid w:val="00B46E34"/>
    <w:rsid w:val="00B5431F"/>
    <w:rsid w:val="00B568EE"/>
    <w:rsid w:val="00B65A11"/>
    <w:rsid w:val="00B72F4E"/>
    <w:rsid w:val="00B80C65"/>
    <w:rsid w:val="00BC184B"/>
    <w:rsid w:val="00BC3461"/>
    <w:rsid w:val="00BC7FEE"/>
    <w:rsid w:val="00BD2052"/>
    <w:rsid w:val="00BE55C1"/>
    <w:rsid w:val="00BE5D04"/>
    <w:rsid w:val="00BF76E2"/>
    <w:rsid w:val="00BF7FE0"/>
    <w:rsid w:val="00C133E3"/>
    <w:rsid w:val="00C144F4"/>
    <w:rsid w:val="00C175A2"/>
    <w:rsid w:val="00C25D32"/>
    <w:rsid w:val="00C30B92"/>
    <w:rsid w:val="00C34A1C"/>
    <w:rsid w:val="00C36044"/>
    <w:rsid w:val="00C378FC"/>
    <w:rsid w:val="00C47C30"/>
    <w:rsid w:val="00C72E84"/>
    <w:rsid w:val="00C77C66"/>
    <w:rsid w:val="00C82FFF"/>
    <w:rsid w:val="00C85682"/>
    <w:rsid w:val="00C94478"/>
    <w:rsid w:val="00C96411"/>
    <w:rsid w:val="00CB2369"/>
    <w:rsid w:val="00CD05F5"/>
    <w:rsid w:val="00CD4171"/>
    <w:rsid w:val="00CF2E5C"/>
    <w:rsid w:val="00CF58B7"/>
    <w:rsid w:val="00D02A8F"/>
    <w:rsid w:val="00D15B6E"/>
    <w:rsid w:val="00D1699D"/>
    <w:rsid w:val="00D2262C"/>
    <w:rsid w:val="00D27584"/>
    <w:rsid w:val="00D351C1"/>
    <w:rsid w:val="00D35EFB"/>
    <w:rsid w:val="00D46D6D"/>
    <w:rsid w:val="00D47D55"/>
    <w:rsid w:val="00D504B3"/>
    <w:rsid w:val="00D712FC"/>
    <w:rsid w:val="00D713CF"/>
    <w:rsid w:val="00D76B76"/>
    <w:rsid w:val="00D847C2"/>
    <w:rsid w:val="00D86BF0"/>
    <w:rsid w:val="00DC3264"/>
    <w:rsid w:val="00DC5BE1"/>
    <w:rsid w:val="00DD1A05"/>
    <w:rsid w:val="00DD6EB4"/>
    <w:rsid w:val="00DE4BAF"/>
    <w:rsid w:val="00E010D1"/>
    <w:rsid w:val="00E16961"/>
    <w:rsid w:val="00E27C94"/>
    <w:rsid w:val="00E27EA7"/>
    <w:rsid w:val="00E341A9"/>
    <w:rsid w:val="00E35737"/>
    <w:rsid w:val="00E51079"/>
    <w:rsid w:val="00E51920"/>
    <w:rsid w:val="00E54E76"/>
    <w:rsid w:val="00E64120"/>
    <w:rsid w:val="00E660A1"/>
    <w:rsid w:val="00E71E3E"/>
    <w:rsid w:val="00E72AE9"/>
    <w:rsid w:val="00E851C4"/>
    <w:rsid w:val="00E90174"/>
    <w:rsid w:val="00EB096F"/>
    <w:rsid w:val="00EC7515"/>
    <w:rsid w:val="00ED4724"/>
    <w:rsid w:val="00EE4C2D"/>
    <w:rsid w:val="00EF0EAD"/>
    <w:rsid w:val="00F055F1"/>
    <w:rsid w:val="00F13063"/>
    <w:rsid w:val="00F27C03"/>
    <w:rsid w:val="00F37C9C"/>
    <w:rsid w:val="00F610AF"/>
    <w:rsid w:val="00F64770"/>
    <w:rsid w:val="00F86F36"/>
    <w:rsid w:val="00FA28B6"/>
    <w:rsid w:val="00FA2C5A"/>
    <w:rsid w:val="00FB6681"/>
    <w:rsid w:val="00FC2D11"/>
    <w:rsid w:val="00FC6230"/>
    <w:rsid w:val="00FC7079"/>
    <w:rsid w:val="00FD6137"/>
    <w:rsid w:val="00FE0038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9FB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uiPriority="22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uiPriority w:val="59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paragraph" w:customStyle="1" w:styleId="Paragraphnonumbers">
    <w:name w:val="Paragraph no numbers"/>
    <w:basedOn w:val="Normal"/>
    <w:uiPriority w:val="99"/>
    <w:qFormat/>
    <w:rsid w:val="002E482A"/>
    <w:pPr>
      <w:spacing w:before="240" w:after="240" w:line="276" w:lineRule="auto"/>
    </w:pPr>
    <w:rPr>
      <w:rFonts w:ascii="Arial" w:hAnsi="Arial"/>
      <w:lang w:eastAsia="en-US"/>
    </w:rPr>
  </w:style>
  <w:style w:type="paragraph" w:customStyle="1" w:styleId="tabletext0">
    <w:name w:val="table text"/>
    <w:basedOn w:val="Paragraphnonumbers"/>
    <w:link w:val="tabletextChar"/>
    <w:qFormat/>
    <w:rsid w:val="002E482A"/>
    <w:pPr>
      <w:spacing w:before="60" w:after="60" w:line="240" w:lineRule="auto"/>
    </w:pPr>
    <w:rPr>
      <w:lang w:eastAsia="en-GB"/>
    </w:rPr>
  </w:style>
  <w:style w:type="character" w:customStyle="1" w:styleId="tabletextChar">
    <w:name w:val="table text Char"/>
    <w:basedOn w:val="DefaultParagraphFont"/>
    <w:link w:val="tabletext0"/>
    <w:rsid w:val="002E482A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E482A"/>
    <w:rPr>
      <w:color w:val="605E5C"/>
      <w:shd w:val="clear" w:color="auto" w:fill="E1DFDD"/>
    </w:rPr>
  </w:style>
  <w:style w:type="paragraph" w:customStyle="1" w:styleId="NICEnormal">
    <w:name w:val="NICE normal"/>
    <w:link w:val="NICEnormalChar"/>
    <w:rsid w:val="00D712FC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basedOn w:val="DefaultParagraphFont"/>
    <w:link w:val="NICEnormal"/>
    <w:rsid w:val="00D712FC"/>
    <w:rPr>
      <w:rFonts w:ascii="Arial" w:hAnsi="Arial"/>
      <w:sz w:val="24"/>
      <w:szCs w:val="24"/>
      <w:lang w:val="en-US" w:eastAsia="en-US"/>
    </w:rPr>
  </w:style>
  <w:style w:type="paragraph" w:customStyle="1" w:styleId="TableText1">
    <w:name w:val="Table Text 1"/>
    <w:basedOn w:val="Normal"/>
    <w:qFormat/>
    <w:rsid w:val="00D712FC"/>
    <w:rPr>
      <w:rFonts w:ascii="Arial" w:hAnsi="Arial"/>
      <w:sz w:val="22"/>
    </w:rPr>
  </w:style>
  <w:style w:type="character" w:styleId="FollowedHyperlink">
    <w:name w:val="FollowedHyperlink"/>
    <w:basedOn w:val="DefaultParagraphFont"/>
    <w:semiHidden/>
    <w:rsid w:val="00555D28"/>
    <w:rPr>
      <w:color w:val="00436C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3B1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43B1B"/>
    <w:rPr>
      <w:b/>
      <w:bCs/>
    </w:rPr>
  </w:style>
  <w:style w:type="paragraph" w:styleId="Revision">
    <w:name w:val="Revision"/>
    <w:hidden/>
    <w:uiPriority w:val="99"/>
    <w:semiHidden/>
    <w:rsid w:val="00D275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rd.com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gital.nhs.uk/data-and-information/publications/statistical/mi-snomed-code-usage-in-primary-care/2023-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igital.nhs.uk/data-and-information/publications/statistical/patients-registered-at-a-gp-practi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prd.com/doi/cprd-aurum-june-2025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1092</Words>
  <Characters>6822</Characters>
  <Application>Microsoft Office Word</Application>
  <DocSecurity>0</DocSecurity>
  <Lines>220</Lines>
  <Paragraphs>146</Paragraphs>
  <ScaleCrop>false</ScaleCrop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2025-10-17T08:54:00Z</dcterms:created>
  <dcterms:modified xsi:type="dcterms:W3CDTF">2025-10-17T08:55:00Z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2025-10-17T08:55:18Z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eee51e83-5ef0-4393-953a-9d6d9cdc4102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