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E3AF" w14:textId="77777777" w:rsidR="003B0466" w:rsidRDefault="003B0466" w:rsidP="00363276">
      <w:pPr>
        <w:pStyle w:val="Title"/>
        <w:rPr>
          <w:sz w:val="40"/>
          <w:szCs w:val="40"/>
        </w:rPr>
      </w:pPr>
      <w:r>
        <w:rPr>
          <w:sz w:val="40"/>
          <w:szCs w:val="40"/>
        </w:rPr>
        <w:t xml:space="preserve">Indicator development programme </w:t>
      </w:r>
    </w:p>
    <w:p w14:paraId="220676A2" w14:textId="77777777"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6D01F852" w14:textId="2216684E" w:rsidR="009B0E59" w:rsidRPr="009B0E59" w:rsidRDefault="009B0E59" w:rsidP="00192685">
      <w:pPr>
        <w:pStyle w:val="Heading1"/>
        <w:rPr>
          <w:lang w:eastAsia="en-GB"/>
        </w:rPr>
      </w:pPr>
      <w:r w:rsidRPr="009B0E59">
        <w:rPr>
          <w:lang w:eastAsia="en-GB"/>
        </w:rPr>
        <w:t xml:space="preserve">Indicator </w:t>
      </w:r>
      <w:r w:rsidR="00B906C4" w:rsidRPr="00B906C4">
        <w:rPr>
          <w:lang w:eastAsia="en-GB"/>
        </w:rPr>
        <w:t>IND323</w:t>
      </w:r>
    </w:p>
    <w:p w14:paraId="7FA048F6" w14:textId="0244A73C" w:rsidR="009B0E59" w:rsidRPr="00807D4B" w:rsidRDefault="00563FE9" w:rsidP="00807D4B">
      <w:pPr>
        <w:pStyle w:val="Paragraph"/>
      </w:pPr>
      <w:r w:rsidRPr="00807D4B">
        <w:t>The percentage of diagnoses of sore throat in the preceding 12 months with a recorded FeverPain or Centor score.</w:t>
      </w:r>
    </w:p>
    <w:p w14:paraId="431C0A37" w14:textId="77777777" w:rsidR="00236060" w:rsidRDefault="00236060" w:rsidP="00192685">
      <w:pPr>
        <w:pStyle w:val="Heading1"/>
      </w:pPr>
      <w:r>
        <w:t xml:space="preserve">Indicator type </w:t>
      </w:r>
    </w:p>
    <w:p w14:paraId="6DF03B99" w14:textId="77777777" w:rsidR="00236060" w:rsidRPr="00807D4B" w:rsidRDefault="00236060" w:rsidP="00807D4B">
      <w:pPr>
        <w:pStyle w:val="Paragraph"/>
      </w:pPr>
      <w:r w:rsidRPr="00807D4B">
        <w:t xml:space="preserve">General practice indicator for use outside the Quality and Outcomes Framework. </w:t>
      </w:r>
    </w:p>
    <w:p w14:paraId="79F3120C" w14:textId="77777777"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582761CA" w14:textId="77777777" w:rsidTr="002338EB">
        <w:tc>
          <w:tcPr>
            <w:tcW w:w="5949" w:type="dxa"/>
          </w:tcPr>
          <w:p w14:paraId="7D08409B" w14:textId="77777777"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0A36A07" w14:textId="7777777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2F6F5EC2" w14:textId="77777777" w:rsidTr="002338EB">
        <w:tc>
          <w:tcPr>
            <w:tcW w:w="5949" w:type="dxa"/>
          </w:tcPr>
          <w:p w14:paraId="570943BF" w14:textId="468AA9F8" w:rsidR="002338EB" w:rsidRPr="002338EB" w:rsidRDefault="00F041DD" w:rsidP="002338EB">
            <w:pPr>
              <w:pStyle w:val="Paragraph"/>
              <w:spacing w:before="120" w:after="120" w:line="240" w:lineRule="auto"/>
              <w:rPr>
                <w:highlight w:val="lightGray"/>
              </w:rPr>
            </w:pPr>
            <w:r w:rsidRPr="00452813">
              <w:rPr>
                <w:rFonts w:cs="Arial"/>
                <w:sz w:val="22"/>
                <w:szCs w:val="22"/>
              </w:rPr>
              <w:t xml:space="preserve">The </w:t>
            </w:r>
            <w:hyperlink r:id="rId8" w:history="1">
              <w:r w:rsidRPr="00343D48">
                <w:rPr>
                  <w:rStyle w:val="Hyperlink"/>
                  <w:rFonts w:cs="Arial"/>
                  <w:sz w:val="22"/>
                  <w:szCs w:val="22"/>
                </w:rPr>
                <w:t>UK’s 5-year Antimicrobial Resistance National Action Plan</w:t>
              </w:r>
            </w:hyperlink>
            <w:r w:rsidRPr="00452813">
              <w:rPr>
                <w:rFonts w:cs="Arial"/>
                <w:sz w:val="22"/>
                <w:szCs w:val="22"/>
              </w:rPr>
              <w:t xml:space="preserve"> contributes to the </w:t>
            </w:r>
            <w:r w:rsidR="00474F2F" w:rsidRPr="00452813">
              <w:rPr>
                <w:rFonts w:cs="Arial"/>
                <w:sz w:val="22"/>
                <w:szCs w:val="22"/>
              </w:rPr>
              <w:t xml:space="preserve">Government’s broader 20-year vision to </w:t>
            </w:r>
            <w:r w:rsidR="00B81C3B">
              <w:rPr>
                <w:rFonts w:cs="Arial"/>
                <w:sz w:val="22"/>
                <w:szCs w:val="22"/>
              </w:rPr>
              <w:t>optimise the use of antimicrobials, reduce the need for, and unintended exposure to, antibiotics, and support the development of new antimicrobials</w:t>
            </w:r>
            <w:r w:rsidR="00474F2F" w:rsidRPr="00452813">
              <w:rPr>
                <w:rFonts w:cs="Arial"/>
                <w:sz w:val="22"/>
                <w:szCs w:val="22"/>
              </w:rPr>
              <w:t xml:space="preserve">. </w:t>
            </w:r>
            <w:hyperlink r:id="rId9" w:history="1">
              <w:r w:rsidR="005B0F72">
                <w:rPr>
                  <w:rStyle w:val="Hyperlink"/>
                  <w:rFonts w:cs="Arial"/>
                  <w:sz w:val="22"/>
                  <w:szCs w:val="22"/>
                </w:rPr>
                <w:t>10 year health plan for England</w:t>
              </w:r>
            </w:hyperlink>
            <w:r w:rsidR="00A11DEC" w:rsidRPr="00A11DEC">
              <w:rPr>
                <w:rFonts w:cs="Arial"/>
                <w:sz w:val="22"/>
                <w:szCs w:val="22"/>
              </w:rPr>
              <w:t xml:space="preserve"> reaffirms its commitment to supporting the UK’s National Action Plan on antimicrobial resistance. This includes ensuring access to effective treatments, preventive measures like vaccines, and diagnostic tools across care settings</w:t>
            </w:r>
            <w:r w:rsidR="00E712FC">
              <w:rPr>
                <w:rFonts w:cs="Arial"/>
                <w:sz w:val="22"/>
                <w:szCs w:val="22"/>
              </w:rPr>
              <w:t>.</w:t>
            </w:r>
          </w:p>
        </w:tc>
        <w:tc>
          <w:tcPr>
            <w:tcW w:w="3118" w:type="dxa"/>
          </w:tcPr>
          <w:p w14:paraId="53901C6D" w14:textId="77777777" w:rsidR="002338EB" w:rsidRPr="00343D48" w:rsidRDefault="002338EB" w:rsidP="002338EB">
            <w:pPr>
              <w:spacing w:before="120" w:after="120"/>
              <w:rPr>
                <w:rFonts w:ascii="Arial" w:hAnsi="Arial" w:cs="Arial"/>
                <w:color w:val="000000"/>
                <w:kern w:val="24"/>
                <w:sz w:val="22"/>
                <w:szCs w:val="22"/>
                <w:lang w:val="en-US"/>
              </w:rPr>
            </w:pPr>
            <w:r w:rsidRPr="00343D48">
              <w:rPr>
                <w:rFonts w:ascii="Arial" w:hAnsi="Arial" w:cs="Arial"/>
                <w:color w:val="000000"/>
                <w:kern w:val="24"/>
                <w:sz w:val="22"/>
                <w:szCs w:val="22"/>
                <w:lang w:val="en-US"/>
              </w:rPr>
              <w:t>The indicator reflects a specific priority area identified by NHS England.</w:t>
            </w:r>
          </w:p>
          <w:p w14:paraId="5A9F6194" w14:textId="77777777" w:rsidR="002338EB" w:rsidRPr="002338EB" w:rsidRDefault="002338EB" w:rsidP="002338EB">
            <w:pPr>
              <w:pStyle w:val="Paragraph"/>
              <w:spacing w:before="120" w:after="120" w:line="240" w:lineRule="auto"/>
              <w:rPr>
                <w:highlight w:val="lightGray"/>
              </w:rPr>
            </w:pPr>
          </w:p>
        </w:tc>
      </w:tr>
      <w:tr w:rsidR="00735337" w14:paraId="293FA14A" w14:textId="77777777" w:rsidTr="002338EB">
        <w:tc>
          <w:tcPr>
            <w:tcW w:w="5949" w:type="dxa"/>
          </w:tcPr>
          <w:p w14:paraId="7FBD0164" w14:textId="769854AC" w:rsidR="00735337" w:rsidRPr="002338EB" w:rsidRDefault="00132FFE" w:rsidP="006A3B3D">
            <w:pPr>
              <w:pStyle w:val="Paragraph"/>
              <w:spacing w:before="120" w:after="120" w:line="240" w:lineRule="auto"/>
              <w:rPr>
                <w:highlight w:val="lightGray"/>
              </w:rPr>
            </w:pPr>
            <w:r w:rsidRPr="00F76373">
              <w:rPr>
                <w:rFonts w:cs="Arial"/>
                <w:sz w:val="22"/>
                <w:szCs w:val="22"/>
              </w:rPr>
              <w:t xml:space="preserve">Sore throat is the </w:t>
            </w:r>
            <w:hyperlink r:id="rId10" w:history="1">
              <w:r w:rsidRPr="00F76373">
                <w:rPr>
                  <w:rStyle w:val="Hyperlink"/>
                  <w:rFonts w:cs="Arial"/>
                  <w:sz w:val="22"/>
                  <w:szCs w:val="22"/>
                </w:rPr>
                <w:t>third most common</w:t>
              </w:r>
            </w:hyperlink>
            <w:r w:rsidRPr="00F76373">
              <w:rPr>
                <w:rFonts w:cs="Arial"/>
                <w:sz w:val="22"/>
                <w:szCs w:val="22"/>
              </w:rPr>
              <w:t xml:space="preserve"> respiratory infection in UK general practice</w:t>
            </w:r>
            <w:r w:rsidRPr="00132FFE">
              <w:rPr>
                <w:rFonts w:cs="Arial"/>
                <w:sz w:val="22"/>
                <w:szCs w:val="22"/>
              </w:rPr>
              <w:t xml:space="preserve">, with </w:t>
            </w:r>
            <w:hyperlink r:id="rId11" w:history="1">
              <w:r w:rsidRPr="00344A1E">
                <w:rPr>
                  <w:rStyle w:val="Hyperlink"/>
                  <w:rFonts w:cs="Arial"/>
                  <w:sz w:val="22"/>
                  <w:szCs w:val="22"/>
                </w:rPr>
                <w:t>59% of cases</w:t>
              </w:r>
            </w:hyperlink>
            <w:r w:rsidRPr="00132FFE">
              <w:rPr>
                <w:rFonts w:cs="Arial"/>
                <w:sz w:val="22"/>
                <w:szCs w:val="22"/>
              </w:rPr>
              <w:t xml:space="preserve"> still receiving antibiotics despite </w:t>
            </w:r>
            <w:hyperlink r:id="rId12" w:history="1">
              <w:r w:rsidR="00344A1E" w:rsidRPr="00981CAD">
                <w:rPr>
                  <w:rStyle w:val="Hyperlink"/>
                  <w:rFonts w:cs="Arial"/>
                  <w:sz w:val="22"/>
                  <w:szCs w:val="22"/>
                </w:rPr>
                <w:t xml:space="preserve">modest symptomatic </w:t>
              </w:r>
              <w:r w:rsidR="00533352" w:rsidRPr="00981CAD">
                <w:rPr>
                  <w:rStyle w:val="Hyperlink"/>
                  <w:rFonts w:cs="Arial"/>
                  <w:sz w:val="22"/>
                  <w:szCs w:val="22"/>
                </w:rPr>
                <w:t>benefit</w:t>
              </w:r>
            </w:hyperlink>
            <w:r w:rsidRPr="00132FFE">
              <w:rPr>
                <w:rFonts w:cs="Arial"/>
                <w:sz w:val="22"/>
                <w:szCs w:val="22"/>
              </w:rPr>
              <w:t xml:space="preserve">. FeverPAIN </w:t>
            </w:r>
            <w:r w:rsidR="00981CAD">
              <w:rPr>
                <w:rFonts w:cs="Arial"/>
                <w:sz w:val="22"/>
                <w:szCs w:val="22"/>
              </w:rPr>
              <w:t xml:space="preserve">or Centor score </w:t>
            </w:r>
            <w:r w:rsidRPr="00132FFE">
              <w:rPr>
                <w:rFonts w:cs="Arial"/>
                <w:sz w:val="22"/>
                <w:szCs w:val="22"/>
              </w:rPr>
              <w:t>helps identify streptococcal infections.</w:t>
            </w:r>
            <w:r w:rsidR="00BA4552">
              <w:rPr>
                <w:rFonts w:cs="Arial"/>
                <w:sz w:val="22"/>
                <w:szCs w:val="22"/>
              </w:rPr>
              <w:t xml:space="preserve"> However, </w:t>
            </w:r>
            <w:r w:rsidR="006A3B3D">
              <w:rPr>
                <w:rFonts w:cs="Arial"/>
                <w:sz w:val="22"/>
                <w:szCs w:val="22"/>
              </w:rPr>
              <w:t>studies</w:t>
            </w:r>
            <w:r w:rsidR="00E07FF5">
              <w:rPr>
                <w:rFonts w:cs="Arial"/>
                <w:sz w:val="22"/>
                <w:szCs w:val="22"/>
              </w:rPr>
              <w:t xml:space="preserve"> show that these tools are potentially underused</w:t>
            </w:r>
            <w:r w:rsidR="006056AE">
              <w:rPr>
                <w:rFonts w:cs="Arial"/>
                <w:sz w:val="22"/>
                <w:szCs w:val="22"/>
              </w:rPr>
              <w:t xml:space="preserve"> for guiding antibiotic use</w:t>
            </w:r>
            <w:r w:rsidR="006E7BD3">
              <w:rPr>
                <w:rFonts w:cs="Arial"/>
                <w:sz w:val="22"/>
                <w:szCs w:val="22"/>
              </w:rPr>
              <w:t xml:space="preserve"> either due to </w:t>
            </w:r>
            <w:hyperlink r:id="rId13" w:history="1">
              <w:r w:rsidR="00880848" w:rsidRPr="00D20212">
                <w:rPr>
                  <w:rStyle w:val="Hyperlink"/>
                  <w:rFonts w:cs="Arial"/>
                  <w:sz w:val="22"/>
                  <w:szCs w:val="22"/>
                </w:rPr>
                <w:t>time constraints during consultations</w:t>
              </w:r>
            </w:hyperlink>
            <w:r w:rsidR="00880848">
              <w:rPr>
                <w:rFonts w:cs="Arial"/>
                <w:sz w:val="22"/>
                <w:szCs w:val="22"/>
              </w:rPr>
              <w:t xml:space="preserve"> or </w:t>
            </w:r>
            <w:hyperlink r:id="rId14" w:history="1">
              <w:r w:rsidR="00880848" w:rsidRPr="00CC7476">
                <w:rPr>
                  <w:rStyle w:val="Hyperlink"/>
                  <w:rFonts w:cs="Arial"/>
                  <w:sz w:val="22"/>
                  <w:szCs w:val="22"/>
                </w:rPr>
                <w:t>problems with integration into electronic health records</w:t>
              </w:r>
            </w:hyperlink>
            <w:r w:rsidR="006A3B3D">
              <w:rPr>
                <w:rFonts w:cs="Arial"/>
                <w:sz w:val="22"/>
                <w:szCs w:val="22"/>
              </w:rPr>
              <w:t>.</w:t>
            </w:r>
          </w:p>
        </w:tc>
        <w:tc>
          <w:tcPr>
            <w:tcW w:w="3118" w:type="dxa"/>
          </w:tcPr>
          <w:p w14:paraId="2D8382DA" w14:textId="5ECDF7D5" w:rsidR="00735337" w:rsidRPr="00D15C03" w:rsidRDefault="00735337" w:rsidP="00D15C03">
            <w:pPr>
              <w:spacing w:before="120" w:after="120"/>
              <w:rPr>
                <w:rFonts w:ascii="Arial" w:hAnsi="Arial" w:cs="Arial"/>
                <w:color w:val="000000"/>
                <w:kern w:val="24"/>
                <w:sz w:val="22"/>
                <w:szCs w:val="22"/>
                <w:highlight w:val="lightGray"/>
                <w:lang w:val="en-US"/>
              </w:rPr>
            </w:pPr>
            <w:r w:rsidRPr="00D15C03">
              <w:rPr>
                <w:rFonts w:ascii="Arial" w:hAnsi="Arial" w:cs="Arial"/>
                <w:color w:val="000000"/>
                <w:kern w:val="24"/>
                <w:sz w:val="22"/>
                <w:szCs w:val="22"/>
                <w:lang w:val="en-US"/>
              </w:rPr>
              <w:t>The indicator relates to an area where there is known variation in practice.</w:t>
            </w:r>
          </w:p>
        </w:tc>
      </w:tr>
      <w:tr w:rsidR="00735337" w14:paraId="79096CB1" w14:textId="77777777" w:rsidTr="002338EB">
        <w:tc>
          <w:tcPr>
            <w:tcW w:w="5949" w:type="dxa"/>
          </w:tcPr>
          <w:p w14:paraId="34BD9E47" w14:textId="0CDA7D4B" w:rsidR="00735337" w:rsidRPr="00AB6032" w:rsidRDefault="00E15866" w:rsidP="00735337">
            <w:pPr>
              <w:spacing w:before="120" w:after="120"/>
              <w:rPr>
                <w:rFonts w:ascii="Arial" w:hAnsi="Arial" w:cs="Arial"/>
                <w:sz w:val="22"/>
                <w:szCs w:val="22"/>
                <w:highlight w:val="cyan"/>
              </w:rPr>
            </w:pPr>
            <w:r w:rsidRPr="00E15866">
              <w:rPr>
                <w:rFonts w:ascii="Arial" w:hAnsi="Arial" w:cs="Arial"/>
                <w:sz w:val="22"/>
                <w:szCs w:val="22"/>
              </w:rPr>
              <w:t xml:space="preserve">FeverPAIN or Centor score </w:t>
            </w:r>
            <w:r w:rsidR="00752602">
              <w:rPr>
                <w:rFonts w:ascii="Arial" w:hAnsi="Arial" w:cs="Arial"/>
                <w:sz w:val="22"/>
                <w:szCs w:val="22"/>
              </w:rPr>
              <w:t xml:space="preserve">could </w:t>
            </w:r>
            <w:r w:rsidRPr="00E15866">
              <w:rPr>
                <w:rFonts w:ascii="Arial" w:hAnsi="Arial" w:cs="Arial"/>
                <w:sz w:val="22"/>
                <w:szCs w:val="22"/>
              </w:rPr>
              <w:t xml:space="preserve">help target antibiotic treatment, where its use has shown to </w:t>
            </w:r>
            <w:hyperlink r:id="rId15" w:history="1">
              <w:r w:rsidRPr="00E15866">
                <w:rPr>
                  <w:rStyle w:val="Hyperlink"/>
                  <w:rFonts w:ascii="Arial" w:hAnsi="Arial" w:cs="Arial"/>
                  <w:sz w:val="22"/>
                  <w:szCs w:val="22"/>
                </w:rPr>
                <w:t>reduce antibiotic prescribing by 29%,</w:t>
              </w:r>
            </w:hyperlink>
            <w:r w:rsidRPr="00E15866">
              <w:rPr>
                <w:rFonts w:ascii="Arial" w:hAnsi="Arial" w:cs="Arial"/>
                <w:sz w:val="22"/>
                <w:szCs w:val="22"/>
              </w:rPr>
              <w:t xml:space="preserve"> without increasing complications or re-consultations.</w:t>
            </w:r>
            <w:r w:rsidR="005D56C2">
              <w:rPr>
                <w:rFonts w:ascii="Arial" w:hAnsi="Arial" w:cs="Arial"/>
                <w:sz w:val="22"/>
                <w:szCs w:val="22"/>
              </w:rPr>
              <w:t xml:space="preserve"> </w:t>
            </w:r>
          </w:p>
        </w:tc>
        <w:tc>
          <w:tcPr>
            <w:tcW w:w="3118" w:type="dxa"/>
          </w:tcPr>
          <w:p w14:paraId="696DE6A0" w14:textId="77777777" w:rsidR="00735337" w:rsidRPr="00AC1530" w:rsidRDefault="00735337" w:rsidP="00735337">
            <w:pPr>
              <w:spacing w:before="120" w:after="120"/>
              <w:rPr>
                <w:rFonts w:ascii="Arial" w:hAnsi="Arial" w:cs="Arial"/>
                <w:color w:val="000000"/>
                <w:kern w:val="24"/>
                <w:sz w:val="22"/>
                <w:szCs w:val="22"/>
                <w:lang w:val="en-US"/>
              </w:rPr>
            </w:pPr>
            <w:r w:rsidRPr="00AC1530">
              <w:rPr>
                <w:rFonts w:ascii="Arial" w:hAnsi="Arial" w:cs="Arial"/>
                <w:color w:val="000000"/>
                <w:kern w:val="24"/>
                <w:sz w:val="22"/>
                <w:szCs w:val="22"/>
                <w:lang w:val="en-US"/>
              </w:rPr>
              <w:t>The indicator will lead to a meaningful improvement in patient outcomes.</w:t>
            </w:r>
          </w:p>
          <w:p w14:paraId="38358A5A"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799BC5DF" w14:textId="77777777" w:rsidR="002338EB" w:rsidRDefault="002338EB" w:rsidP="002338EB">
      <w:pPr>
        <w:pStyle w:val="Heading3"/>
      </w:pPr>
    </w:p>
    <w:p w14:paraId="6802FAB7" w14:textId="77777777"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54EC4682" w14:textId="77777777" w:rsidTr="001C517D">
        <w:tc>
          <w:tcPr>
            <w:tcW w:w="5949" w:type="dxa"/>
          </w:tcPr>
          <w:p w14:paraId="55591E50"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56ECC91D"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00C5CAC0" w14:textId="77777777" w:rsidTr="001C517D">
        <w:tc>
          <w:tcPr>
            <w:tcW w:w="5949" w:type="dxa"/>
          </w:tcPr>
          <w:p w14:paraId="0F5CCB79" w14:textId="77777777" w:rsidR="002338EB" w:rsidRPr="00C50AF9" w:rsidRDefault="00A83C7A" w:rsidP="002338EB">
            <w:pPr>
              <w:pStyle w:val="Paragraph"/>
              <w:spacing w:before="120" w:after="120" w:line="240" w:lineRule="auto"/>
              <w:rPr>
                <w:sz w:val="22"/>
                <w:szCs w:val="22"/>
              </w:rPr>
            </w:pPr>
            <w:hyperlink r:id="rId16" w:history="1">
              <w:r w:rsidRPr="00C50AF9">
                <w:rPr>
                  <w:rStyle w:val="Hyperlink"/>
                  <w:sz w:val="22"/>
                  <w:szCs w:val="22"/>
                </w:rPr>
                <w:t>Sore throat (acute): antimicrobial prescribing. NICE guideline NG84</w:t>
              </w:r>
            </w:hyperlink>
            <w:r w:rsidRPr="00C50AF9">
              <w:rPr>
                <w:sz w:val="22"/>
                <w:szCs w:val="22"/>
              </w:rPr>
              <w:t xml:space="preserve"> (2018)</w:t>
            </w:r>
          </w:p>
          <w:p w14:paraId="4864996F" w14:textId="7DC7C7B5" w:rsidR="00A83C7A" w:rsidRPr="002338EB" w:rsidRDefault="00C50AF9" w:rsidP="002338EB">
            <w:pPr>
              <w:pStyle w:val="Paragraph"/>
              <w:spacing w:before="120" w:after="120" w:line="240" w:lineRule="auto"/>
              <w:rPr>
                <w:highlight w:val="lightGray"/>
              </w:rPr>
            </w:pPr>
            <w:r w:rsidRPr="00C50AF9">
              <w:rPr>
                <w:sz w:val="22"/>
                <w:szCs w:val="22"/>
              </w:rPr>
              <w:t>Recommendation 1.1.3: Use </w:t>
            </w:r>
            <w:hyperlink r:id="rId17" w:anchor="feverpain-criteria" w:tgtFrame="_top" w:history="1">
              <w:r w:rsidRPr="00C50AF9">
                <w:rPr>
                  <w:rStyle w:val="Hyperlink"/>
                  <w:sz w:val="22"/>
                  <w:szCs w:val="22"/>
                </w:rPr>
                <w:t>FeverPAIN</w:t>
              </w:r>
            </w:hyperlink>
            <w:r w:rsidRPr="00C50AF9">
              <w:rPr>
                <w:sz w:val="22"/>
                <w:szCs w:val="22"/>
              </w:rPr>
              <w:t> or </w:t>
            </w:r>
            <w:hyperlink r:id="rId18" w:anchor="centor-criteria" w:tgtFrame="_top" w:history="1">
              <w:r w:rsidRPr="00C50AF9">
                <w:rPr>
                  <w:rStyle w:val="Hyperlink"/>
                  <w:sz w:val="22"/>
                  <w:szCs w:val="22"/>
                </w:rPr>
                <w:t>Centor</w:t>
              </w:r>
            </w:hyperlink>
            <w:r w:rsidRPr="00C50AF9">
              <w:rPr>
                <w:sz w:val="22"/>
                <w:szCs w:val="22"/>
              </w:rPr>
              <w:t> criteria to identify people who are more likely to benefit from an antibiotic and manage in line with recommendations 1.1.4 to 1.1.13.</w:t>
            </w:r>
          </w:p>
        </w:tc>
        <w:tc>
          <w:tcPr>
            <w:tcW w:w="3118" w:type="dxa"/>
          </w:tcPr>
          <w:p w14:paraId="47220FD2" w14:textId="6BD9B234" w:rsidR="002338EB" w:rsidRPr="0055162C" w:rsidRDefault="002338EB" w:rsidP="0055162C">
            <w:pPr>
              <w:spacing w:before="120" w:after="120"/>
              <w:rPr>
                <w:rFonts w:ascii="Arial" w:hAnsi="Arial" w:cs="Arial"/>
                <w:color w:val="000000"/>
                <w:kern w:val="24"/>
                <w:sz w:val="22"/>
                <w:szCs w:val="22"/>
                <w:lang w:val="en-US"/>
              </w:rPr>
            </w:pPr>
            <w:r w:rsidRPr="0055162C">
              <w:rPr>
                <w:rFonts w:ascii="Arial" w:hAnsi="Arial" w:cs="Arial"/>
                <w:color w:val="000000"/>
                <w:kern w:val="24"/>
                <w:sz w:val="22"/>
                <w:szCs w:val="22"/>
                <w:lang w:val="en-US"/>
              </w:rPr>
              <w:t xml:space="preserve">The indicator is derived from a high-quality evidence base. </w:t>
            </w:r>
          </w:p>
        </w:tc>
      </w:tr>
    </w:tbl>
    <w:p w14:paraId="3EFFEAF6" w14:textId="77777777" w:rsidR="002338EB" w:rsidRDefault="002338EB" w:rsidP="002338EB">
      <w:pPr>
        <w:pStyle w:val="Paragraph"/>
      </w:pPr>
    </w:p>
    <w:p w14:paraId="7AE5B695" w14:textId="77777777"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4CB093CF" w14:textId="77777777" w:rsidTr="001C517D">
        <w:tc>
          <w:tcPr>
            <w:tcW w:w="5949" w:type="dxa"/>
          </w:tcPr>
          <w:p w14:paraId="599A67EA"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13916A88"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4D407248" w14:textId="77777777" w:rsidTr="001C517D">
        <w:tc>
          <w:tcPr>
            <w:tcW w:w="5949" w:type="dxa"/>
          </w:tcPr>
          <w:p w14:paraId="3F36E8CD" w14:textId="061323BD" w:rsidR="00BE1F45" w:rsidRPr="00262F59" w:rsidRDefault="002338EB" w:rsidP="00BE1F45">
            <w:pPr>
              <w:spacing w:before="120" w:after="120"/>
              <w:rPr>
                <w:rFonts w:ascii="Arial" w:hAnsi="Arial" w:cs="Arial"/>
                <w:color w:val="000000"/>
                <w:kern w:val="24"/>
                <w:sz w:val="22"/>
                <w:szCs w:val="22"/>
              </w:rPr>
            </w:pPr>
            <w:r w:rsidRPr="00262F59">
              <w:rPr>
                <w:rFonts w:ascii="Arial" w:hAnsi="Arial" w:cs="Arial"/>
                <w:color w:val="000000"/>
                <w:kern w:val="24"/>
                <w:sz w:val="22"/>
                <w:szCs w:val="22"/>
              </w:rPr>
              <w:t xml:space="preserve">Numerator: </w:t>
            </w:r>
            <w:r w:rsidR="00D83698" w:rsidRPr="00262F59">
              <w:rPr>
                <w:rFonts w:ascii="Arial" w:hAnsi="Arial" w:cs="Arial"/>
                <w:color w:val="000000"/>
                <w:kern w:val="24"/>
                <w:sz w:val="22"/>
                <w:szCs w:val="22"/>
              </w:rPr>
              <w:t>The number in the denominator with a recorded FeverPain or Centor score.</w:t>
            </w:r>
          </w:p>
          <w:p w14:paraId="388DE5B4" w14:textId="36C1F90F" w:rsidR="002338EB" w:rsidRPr="00262F59" w:rsidRDefault="00BE1F45" w:rsidP="00BE1F45">
            <w:pPr>
              <w:spacing w:before="120" w:after="120"/>
              <w:rPr>
                <w:rFonts w:ascii="Arial" w:hAnsi="Arial" w:cs="Arial"/>
                <w:color w:val="000000"/>
                <w:kern w:val="24"/>
                <w:sz w:val="22"/>
                <w:szCs w:val="22"/>
              </w:rPr>
            </w:pPr>
            <w:r w:rsidRPr="00262F59">
              <w:rPr>
                <w:rFonts w:ascii="Arial" w:hAnsi="Arial" w:cs="Arial"/>
                <w:color w:val="000000"/>
                <w:kern w:val="24"/>
                <w:sz w:val="22"/>
                <w:szCs w:val="22"/>
              </w:rPr>
              <w:t xml:space="preserve">Denominator: </w:t>
            </w:r>
            <w:r w:rsidR="00CE0AEF" w:rsidRPr="00262F59">
              <w:rPr>
                <w:rFonts w:ascii="Arial" w:hAnsi="Arial" w:cs="Arial"/>
                <w:color w:val="000000"/>
                <w:kern w:val="24"/>
                <w:sz w:val="22"/>
                <w:szCs w:val="22"/>
              </w:rPr>
              <w:t>The number of recorded diagnoses of sore throat in the preceding 12 months.</w:t>
            </w:r>
          </w:p>
          <w:p w14:paraId="36B1ED14" w14:textId="36DC4A38" w:rsidR="001A3CA6" w:rsidRPr="00262F59" w:rsidRDefault="001A3CA6" w:rsidP="00BE1F45">
            <w:pPr>
              <w:spacing w:before="120" w:after="120"/>
              <w:rPr>
                <w:rFonts w:ascii="Arial" w:hAnsi="Arial" w:cs="Arial"/>
                <w:color w:val="000000"/>
                <w:kern w:val="24"/>
                <w:sz w:val="22"/>
                <w:szCs w:val="22"/>
              </w:rPr>
            </w:pPr>
            <w:r w:rsidRPr="00262F59">
              <w:rPr>
                <w:rFonts w:ascii="Arial" w:hAnsi="Arial" w:cs="Arial"/>
                <w:color w:val="000000"/>
                <w:kern w:val="24"/>
                <w:sz w:val="22"/>
                <w:szCs w:val="22"/>
              </w:rPr>
              <w:t xml:space="preserve">Exclusions: </w:t>
            </w:r>
            <w:r w:rsidR="00841489" w:rsidRPr="00262F59">
              <w:rPr>
                <w:rFonts w:ascii="Arial" w:hAnsi="Arial" w:cs="Arial"/>
                <w:color w:val="000000"/>
                <w:kern w:val="24"/>
                <w:sz w:val="22"/>
                <w:szCs w:val="22"/>
              </w:rPr>
              <w:t>people who are immunosuppressed.</w:t>
            </w:r>
          </w:p>
          <w:p w14:paraId="68C09DFB" w14:textId="7B0DFF1B" w:rsidR="00735337" w:rsidRPr="002338EB" w:rsidRDefault="00F52969" w:rsidP="00AC1530">
            <w:pPr>
              <w:pStyle w:val="Paragraph"/>
              <w:spacing w:before="120" w:after="120"/>
              <w:rPr>
                <w:highlight w:val="lightGray"/>
              </w:rPr>
            </w:pPr>
            <w:r w:rsidRPr="00AC1530">
              <w:rPr>
                <w:sz w:val="22"/>
                <w:szCs w:val="22"/>
              </w:rPr>
              <w:t>Personalised care adjustments or exception reporting should be considered to account for situations where the patient declines or if use of a scoring tool is not appropriate.</w:t>
            </w:r>
          </w:p>
        </w:tc>
        <w:tc>
          <w:tcPr>
            <w:tcW w:w="3118" w:type="dxa"/>
          </w:tcPr>
          <w:p w14:paraId="32F07189" w14:textId="3F94F8CA" w:rsidR="002338EB" w:rsidRPr="00262F59" w:rsidRDefault="002338EB" w:rsidP="00262F59">
            <w:pPr>
              <w:spacing w:before="120" w:after="120"/>
              <w:rPr>
                <w:rFonts w:ascii="Arial" w:hAnsi="Arial" w:cs="Arial"/>
                <w:color w:val="000000"/>
                <w:kern w:val="24"/>
                <w:sz w:val="22"/>
                <w:szCs w:val="22"/>
              </w:rPr>
            </w:pPr>
            <w:r w:rsidRPr="00262F59">
              <w:rPr>
                <w:rFonts w:ascii="Arial" w:hAnsi="Arial" w:cs="Arial"/>
                <w:color w:val="000000"/>
                <w:kern w:val="24"/>
                <w:sz w:val="22"/>
                <w:szCs w:val="22"/>
              </w:rPr>
              <w:t>The indicator has defined components necessary to construct the indicator, including numerator, denominator and exclusions.</w:t>
            </w:r>
          </w:p>
        </w:tc>
      </w:tr>
      <w:tr w:rsidR="002338EB" w14:paraId="3A5B7D6F" w14:textId="77777777" w:rsidTr="001C517D">
        <w:tc>
          <w:tcPr>
            <w:tcW w:w="5949" w:type="dxa"/>
          </w:tcPr>
          <w:p w14:paraId="4FE9A843" w14:textId="31BAEB45" w:rsidR="00746101" w:rsidRDefault="00746101" w:rsidP="009B3F8C">
            <w:pPr>
              <w:pStyle w:val="Paragraph"/>
              <w:spacing w:before="120" w:after="120"/>
              <w:rPr>
                <w:sz w:val="22"/>
                <w:szCs w:val="22"/>
              </w:rPr>
            </w:pPr>
            <w:r>
              <w:rPr>
                <w:sz w:val="22"/>
                <w:szCs w:val="22"/>
              </w:rPr>
              <w:t>A</w:t>
            </w:r>
            <w:r w:rsidR="00F52969" w:rsidRPr="00F52969">
              <w:rPr>
                <w:sz w:val="22"/>
                <w:szCs w:val="22"/>
              </w:rPr>
              <w:t xml:space="preserve">n average practice with 10,000 patients would have around 328 diagnoses of sore throat per year. </w:t>
            </w:r>
            <w:r w:rsidRPr="00746101">
              <w:rPr>
                <w:sz w:val="22"/>
                <w:szCs w:val="22"/>
              </w:rPr>
              <w:t xml:space="preserve">CPRD Aurum June 2025 (Version 2025.06.001) [Data set]. Medicines and Healthcare products Regulatory Agency. </w:t>
            </w:r>
            <w:hyperlink r:id="rId19" w:history="1">
              <w:r w:rsidRPr="00BA4329">
                <w:rPr>
                  <w:rStyle w:val="Hyperlink"/>
                  <w:sz w:val="22"/>
                  <w:szCs w:val="22"/>
                </w:rPr>
                <w:t>https://doi.org/10.48329/a94w-e055</w:t>
              </w:r>
            </w:hyperlink>
            <w:r>
              <w:rPr>
                <w:sz w:val="22"/>
                <w:szCs w:val="22"/>
              </w:rPr>
              <w:t xml:space="preserve"> </w:t>
            </w:r>
          </w:p>
          <w:p w14:paraId="24B89924" w14:textId="5EC1E7E2" w:rsidR="002C1326" w:rsidRPr="002B3EBF" w:rsidRDefault="00F52969" w:rsidP="009B3F8C">
            <w:pPr>
              <w:pStyle w:val="Paragraph"/>
              <w:spacing w:before="120" w:after="120"/>
              <w:rPr>
                <w:sz w:val="22"/>
                <w:szCs w:val="22"/>
                <w:highlight w:val="lightGray"/>
              </w:rPr>
            </w:pPr>
            <w:r w:rsidRPr="00F52969">
              <w:rPr>
                <w:sz w:val="22"/>
                <w:szCs w:val="22"/>
              </w:rPr>
              <w:t>To be suitable for use in comparing general practice performance there should be more than 20 diagnoses eligible for inclusion in the denominator.</w:t>
            </w:r>
          </w:p>
        </w:tc>
        <w:tc>
          <w:tcPr>
            <w:tcW w:w="3118" w:type="dxa"/>
          </w:tcPr>
          <w:p w14:paraId="4EFC7CB2" w14:textId="04143A92" w:rsidR="002B3EBF" w:rsidRPr="002B3EBF" w:rsidRDefault="002B3EBF" w:rsidP="002B3EBF">
            <w:pPr>
              <w:pStyle w:val="Paragraph"/>
              <w:spacing w:before="120" w:after="120" w:line="240" w:lineRule="auto"/>
              <w:rPr>
                <w:rFonts w:cs="Arial"/>
                <w:color w:val="000000"/>
                <w:kern w:val="24"/>
                <w:sz w:val="22"/>
                <w:szCs w:val="22"/>
              </w:rPr>
            </w:pPr>
            <w:r w:rsidRPr="002B3EBF">
              <w:rPr>
                <w:rFonts w:cs="Arial"/>
                <w:color w:val="000000"/>
                <w:kern w:val="24"/>
                <w:sz w:val="22"/>
                <w:szCs w:val="22"/>
              </w:rPr>
              <w:t>The indicator does outline minimum numbers of patients needed to be confident in the assessment of variation.</w:t>
            </w:r>
          </w:p>
          <w:p w14:paraId="67015D0C" w14:textId="0B0FB606" w:rsidR="000C4A97" w:rsidRPr="002338EB" w:rsidRDefault="002B3EBF" w:rsidP="002B3EBF">
            <w:pPr>
              <w:pStyle w:val="Paragraph"/>
              <w:spacing w:before="120" w:after="120" w:line="240" w:lineRule="auto"/>
              <w:rPr>
                <w:highlight w:val="lightGray"/>
              </w:rPr>
            </w:pPr>
            <w:r w:rsidRPr="002B3EBF">
              <w:rPr>
                <w:rFonts w:cs="Arial"/>
                <w:color w:val="000000"/>
                <w:kern w:val="24"/>
                <w:sz w:val="22"/>
                <w:szCs w:val="22"/>
              </w:rPr>
              <w:t xml:space="preserve">Available data does suggest that the number of eligible patients per average </w:t>
            </w:r>
            <w:r>
              <w:rPr>
                <w:rFonts w:cs="Arial"/>
                <w:color w:val="000000"/>
                <w:kern w:val="24"/>
                <w:sz w:val="22"/>
                <w:szCs w:val="22"/>
              </w:rPr>
              <w:t>practice with 10,000 patients</w:t>
            </w:r>
            <w:r w:rsidRPr="002B3EBF">
              <w:rPr>
                <w:rFonts w:cs="Arial"/>
                <w:color w:val="000000"/>
                <w:kern w:val="24"/>
                <w:sz w:val="22"/>
                <w:szCs w:val="22"/>
              </w:rPr>
              <w:t xml:space="preserve"> would be above this minimum number.</w:t>
            </w:r>
          </w:p>
        </w:tc>
      </w:tr>
    </w:tbl>
    <w:p w14:paraId="62E7F0A0" w14:textId="77777777" w:rsidR="002338EB" w:rsidRDefault="002338EB" w:rsidP="002338EB">
      <w:pPr>
        <w:pStyle w:val="Paragraph"/>
      </w:pPr>
    </w:p>
    <w:p w14:paraId="77071A24" w14:textId="77777777"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D40C32F" w14:textId="77777777" w:rsidTr="001C517D">
        <w:tc>
          <w:tcPr>
            <w:tcW w:w="5949" w:type="dxa"/>
          </w:tcPr>
          <w:p w14:paraId="6682C61F"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41F7749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2706B2DA" w14:textId="77777777" w:rsidTr="001C517D">
        <w:tc>
          <w:tcPr>
            <w:tcW w:w="5949" w:type="dxa"/>
          </w:tcPr>
          <w:p w14:paraId="5B7C0162" w14:textId="5B83A0D4" w:rsidR="00735337" w:rsidRPr="00735337" w:rsidRDefault="00F52969" w:rsidP="00735337">
            <w:pPr>
              <w:pStyle w:val="Paragraph"/>
              <w:spacing w:before="120" w:after="120" w:line="240" w:lineRule="auto"/>
              <w:rPr>
                <w:highlight w:val="lightGray"/>
              </w:rPr>
            </w:pPr>
            <w:r w:rsidRPr="00F52969">
              <w:rPr>
                <w:rFonts w:cs="Arial"/>
                <w:sz w:val="22"/>
                <w:szCs w:val="22"/>
              </w:rPr>
              <w:t>The required data is available with general practice electronic medical records.</w:t>
            </w:r>
          </w:p>
        </w:tc>
        <w:tc>
          <w:tcPr>
            <w:tcW w:w="3118" w:type="dxa"/>
          </w:tcPr>
          <w:p w14:paraId="203EDF3C" w14:textId="5B4C35EB" w:rsidR="00735337" w:rsidRPr="00325AA0" w:rsidRDefault="00735337" w:rsidP="00325AA0">
            <w:pPr>
              <w:spacing w:before="120" w:after="120"/>
              <w:rPr>
                <w:rFonts w:ascii="Arial" w:hAnsi="Arial" w:cs="Arial"/>
                <w:color w:val="000000"/>
                <w:kern w:val="24"/>
                <w:sz w:val="22"/>
                <w:szCs w:val="22"/>
              </w:rPr>
            </w:pPr>
            <w:r w:rsidRPr="00325AA0">
              <w:rPr>
                <w:rFonts w:ascii="Arial" w:hAnsi="Arial" w:cs="Arial"/>
                <w:color w:val="000000"/>
                <w:kern w:val="24"/>
                <w:sz w:val="22"/>
                <w:szCs w:val="22"/>
              </w:rPr>
              <w:t>The indicator is repeatable.</w:t>
            </w:r>
          </w:p>
        </w:tc>
      </w:tr>
      <w:tr w:rsidR="00735337" w14:paraId="1AEC0E07" w14:textId="77777777" w:rsidTr="001C517D">
        <w:tc>
          <w:tcPr>
            <w:tcW w:w="5949" w:type="dxa"/>
          </w:tcPr>
          <w:p w14:paraId="3BC74039" w14:textId="00D520E2" w:rsidR="00735337" w:rsidRDefault="00F52969" w:rsidP="00AC1530">
            <w:pPr>
              <w:spacing w:before="120" w:after="120"/>
              <w:contextualSpacing/>
              <w:rPr>
                <w:rFonts w:ascii="Arial" w:hAnsi="Arial" w:cs="Arial"/>
                <w:sz w:val="22"/>
                <w:szCs w:val="22"/>
                <w:highlight w:val="lightGray"/>
              </w:rPr>
            </w:pPr>
            <w:r w:rsidRPr="001D55B7">
              <w:rPr>
                <w:rFonts w:ascii="Arial" w:hAnsi="Arial" w:cs="Arial"/>
                <w:sz w:val="22"/>
                <w:szCs w:val="22"/>
              </w:rPr>
              <w:lastRenderedPageBreak/>
              <w:t xml:space="preserve">SNOMED codes exist for recording use of scoring tools and diagnoses of sore throat (including tonsillitis and pharyngitis). </w:t>
            </w:r>
          </w:p>
        </w:tc>
        <w:tc>
          <w:tcPr>
            <w:tcW w:w="3118" w:type="dxa"/>
          </w:tcPr>
          <w:p w14:paraId="65F79B7A" w14:textId="77777777" w:rsidR="00735337" w:rsidRPr="00AC1530" w:rsidRDefault="00735337" w:rsidP="00735337">
            <w:pPr>
              <w:spacing w:before="120" w:after="120"/>
              <w:rPr>
                <w:rFonts w:ascii="Arial" w:hAnsi="Arial" w:cs="Arial"/>
                <w:color w:val="000000"/>
                <w:kern w:val="24"/>
                <w:sz w:val="22"/>
                <w:szCs w:val="22"/>
              </w:rPr>
            </w:pPr>
            <w:r w:rsidRPr="00AC1530">
              <w:rPr>
                <w:rFonts w:ascii="Arial" w:hAnsi="Arial" w:cs="Arial"/>
                <w:color w:val="000000"/>
                <w:kern w:val="24"/>
                <w:sz w:val="22"/>
                <w:szCs w:val="22"/>
              </w:rPr>
              <w:t xml:space="preserve">The indicator is measuring what it is designed to measure. </w:t>
            </w:r>
          </w:p>
          <w:p w14:paraId="6714902D" w14:textId="77777777" w:rsidR="00735337" w:rsidRPr="00735337" w:rsidRDefault="00735337" w:rsidP="00735337">
            <w:pPr>
              <w:spacing w:before="120" w:after="120"/>
              <w:rPr>
                <w:rFonts w:ascii="Arial" w:hAnsi="Arial" w:cs="Arial"/>
                <w:color w:val="000000"/>
                <w:kern w:val="24"/>
                <w:sz w:val="22"/>
                <w:szCs w:val="22"/>
                <w:highlight w:val="lightGray"/>
              </w:rPr>
            </w:pPr>
            <w:r w:rsidRPr="00AC1530">
              <w:rPr>
                <w:rFonts w:ascii="Arial" w:hAnsi="Arial" w:cs="Arial"/>
                <w:color w:val="000000"/>
                <w:kern w:val="24"/>
                <w:sz w:val="22"/>
                <w:szCs w:val="22"/>
              </w:rPr>
              <w:t>The indicator uses existing data fields.</w:t>
            </w:r>
          </w:p>
        </w:tc>
      </w:tr>
    </w:tbl>
    <w:p w14:paraId="6CE2E9CC" w14:textId="77777777" w:rsidR="002338EB" w:rsidRDefault="002338EB" w:rsidP="002338EB">
      <w:pPr>
        <w:pStyle w:val="Paragraph"/>
      </w:pPr>
    </w:p>
    <w:p w14:paraId="58302D58" w14:textId="77777777"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372BF8FA" w14:textId="77777777" w:rsidTr="001C517D">
        <w:tc>
          <w:tcPr>
            <w:tcW w:w="5949" w:type="dxa"/>
          </w:tcPr>
          <w:p w14:paraId="4B487B16"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36A6C6F8"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6BB50478" w14:textId="77777777" w:rsidTr="001C517D">
        <w:tc>
          <w:tcPr>
            <w:tcW w:w="5949" w:type="dxa"/>
          </w:tcPr>
          <w:p w14:paraId="431ED640" w14:textId="5121A68B" w:rsidR="00A1779A" w:rsidRPr="00AC1530" w:rsidRDefault="00F52969" w:rsidP="00735337">
            <w:pPr>
              <w:pStyle w:val="Paragraph"/>
              <w:spacing w:before="120" w:after="120" w:line="240" w:lineRule="auto"/>
              <w:rPr>
                <w:rFonts w:cs="Arial"/>
                <w:sz w:val="22"/>
                <w:szCs w:val="22"/>
                <w:highlight w:val="lightGray"/>
              </w:rPr>
            </w:pPr>
            <w:r w:rsidRPr="00AC1530">
              <w:rPr>
                <w:rFonts w:cs="Arial"/>
                <w:sz w:val="22"/>
                <w:szCs w:val="22"/>
              </w:rPr>
              <w:t xml:space="preserve">Stakeholders </w:t>
            </w:r>
            <w:r>
              <w:rPr>
                <w:rFonts w:cs="Arial"/>
                <w:sz w:val="22"/>
                <w:szCs w:val="22"/>
              </w:rPr>
              <w:t xml:space="preserve">supported the indicator but </w:t>
            </w:r>
            <w:r w:rsidRPr="00AC1530">
              <w:rPr>
                <w:rFonts w:cs="Arial"/>
                <w:sz w:val="22"/>
                <w:szCs w:val="22"/>
              </w:rPr>
              <w:t xml:space="preserve">noted that the scoring </w:t>
            </w:r>
            <w:r>
              <w:rPr>
                <w:rFonts w:cs="Arial"/>
                <w:sz w:val="22"/>
                <w:szCs w:val="22"/>
              </w:rPr>
              <w:t xml:space="preserve">tools </w:t>
            </w:r>
            <w:r w:rsidRPr="00AC1530">
              <w:rPr>
                <w:rFonts w:cs="Arial"/>
                <w:sz w:val="22"/>
                <w:szCs w:val="22"/>
              </w:rPr>
              <w:t xml:space="preserve">are not currently embedded in clinical IT systems. </w:t>
            </w:r>
            <w:r w:rsidR="00A1779A" w:rsidRPr="00AC1530">
              <w:rPr>
                <w:rFonts w:cs="Arial"/>
                <w:sz w:val="22"/>
                <w:szCs w:val="22"/>
              </w:rPr>
              <w:t>It was also highlighted that the current strategic direction is to divert sore throat management away from general practice settings. The committee recommended that the indicator publishes as suitable for use outside the QOF.</w:t>
            </w:r>
          </w:p>
        </w:tc>
        <w:tc>
          <w:tcPr>
            <w:tcW w:w="3118" w:type="dxa"/>
          </w:tcPr>
          <w:p w14:paraId="65FB1081" w14:textId="77777777" w:rsidR="00735337" w:rsidRPr="00A47852" w:rsidRDefault="00735337" w:rsidP="00735337">
            <w:pPr>
              <w:pStyle w:val="Paragraph"/>
              <w:spacing w:before="120" w:after="120" w:line="240" w:lineRule="auto"/>
              <w:rPr>
                <w:highlight w:val="lightGray"/>
              </w:rPr>
            </w:pPr>
            <w:r w:rsidRPr="00AC1530">
              <w:rPr>
                <w:rFonts w:cs="Arial"/>
                <w:color w:val="000000"/>
                <w:kern w:val="24"/>
                <w:sz w:val="22"/>
                <w:szCs w:val="22"/>
              </w:rPr>
              <w:t>The indicator assesses performance that is attributable to or within the control of the audience</w:t>
            </w:r>
          </w:p>
        </w:tc>
      </w:tr>
      <w:tr w:rsidR="00735337" w14:paraId="5EB9DCF4" w14:textId="77777777" w:rsidTr="001C517D">
        <w:tc>
          <w:tcPr>
            <w:tcW w:w="5949" w:type="dxa"/>
          </w:tcPr>
          <w:p w14:paraId="3E7545DC" w14:textId="6B3FF1B4" w:rsidR="00735337" w:rsidRPr="00A47852" w:rsidRDefault="00F52969" w:rsidP="00735337">
            <w:pPr>
              <w:pStyle w:val="Paragraph"/>
              <w:spacing w:before="120" w:after="120" w:line="240" w:lineRule="auto"/>
              <w:rPr>
                <w:highlight w:val="lightGray"/>
              </w:rPr>
            </w:pPr>
            <w:r w:rsidRPr="00F52969">
              <w:rPr>
                <w:rFonts w:cs="Arial"/>
                <w:sz w:val="22"/>
                <w:szCs w:val="22"/>
              </w:rPr>
              <w:t>Data can be extracted and used to compare the performance of GP practices.</w:t>
            </w:r>
          </w:p>
        </w:tc>
        <w:tc>
          <w:tcPr>
            <w:tcW w:w="3118" w:type="dxa"/>
          </w:tcPr>
          <w:p w14:paraId="3405D49A" w14:textId="6FCA2E6F" w:rsidR="00735337" w:rsidRPr="00A47852" w:rsidRDefault="00735337" w:rsidP="00735337">
            <w:pPr>
              <w:pStyle w:val="Paragraph"/>
              <w:spacing w:before="120" w:after="120" w:line="240" w:lineRule="auto"/>
              <w:rPr>
                <w:highlight w:val="lightGray"/>
              </w:rPr>
            </w:pPr>
            <w:r w:rsidRPr="00BB4EFD">
              <w:rPr>
                <w:rFonts w:cs="Arial"/>
                <w:color w:val="000000"/>
                <w:kern w:val="24"/>
                <w:sz w:val="22"/>
                <w:szCs w:val="22"/>
              </w:rPr>
              <w:t>The results of the indicator can be used to improve practice</w:t>
            </w:r>
            <w:r w:rsidR="009B7421">
              <w:rPr>
                <w:rFonts w:cs="Arial"/>
                <w:color w:val="000000"/>
                <w:kern w:val="24"/>
                <w:sz w:val="22"/>
                <w:szCs w:val="22"/>
              </w:rPr>
              <w:t>.</w:t>
            </w:r>
          </w:p>
        </w:tc>
      </w:tr>
    </w:tbl>
    <w:p w14:paraId="1B5E61A6" w14:textId="77777777" w:rsidR="002338EB" w:rsidRDefault="002338EB" w:rsidP="002338EB">
      <w:pPr>
        <w:pStyle w:val="Paragraph"/>
      </w:pPr>
    </w:p>
    <w:p w14:paraId="0ED4CB17" w14:textId="77777777"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5DA1C018" w14:textId="77777777" w:rsidTr="001C517D">
        <w:tc>
          <w:tcPr>
            <w:tcW w:w="5949" w:type="dxa"/>
          </w:tcPr>
          <w:p w14:paraId="147FE429"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0960B238"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63FE9992" w14:textId="77777777" w:rsidTr="001C517D">
        <w:tc>
          <w:tcPr>
            <w:tcW w:w="5949" w:type="dxa"/>
          </w:tcPr>
          <w:p w14:paraId="13484146" w14:textId="6ECA1A32" w:rsidR="00A47852" w:rsidRPr="00A47852" w:rsidRDefault="00F52969" w:rsidP="00434BA9">
            <w:pPr>
              <w:pStyle w:val="Paragraph"/>
              <w:spacing w:before="120" w:after="120"/>
              <w:rPr>
                <w:highlight w:val="lightGray"/>
              </w:rPr>
            </w:pPr>
            <w:r>
              <w:rPr>
                <w:rFonts w:cs="Arial"/>
                <w:color w:val="000000"/>
                <w:kern w:val="24"/>
                <w:sz w:val="22"/>
                <w:szCs w:val="22"/>
                <w:lang w:eastAsia="en-GB"/>
              </w:rPr>
              <w:t xml:space="preserve">No substantial risks have been identified. </w:t>
            </w:r>
          </w:p>
        </w:tc>
        <w:tc>
          <w:tcPr>
            <w:tcW w:w="3118" w:type="dxa"/>
          </w:tcPr>
          <w:p w14:paraId="612BAFA8" w14:textId="2C933BC7" w:rsidR="00A47852" w:rsidRPr="00285CA9" w:rsidRDefault="00A47852" w:rsidP="00A47852">
            <w:pPr>
              <w:pStyle w:val="Paragraph"/>
              <w:spacing w:before="120" w:after="120" w:line="240" w:lineRule="auto"/>
            </w:pPr>
            <w:r w:rsidRPr="00285CA9">
              <w:rPr>
                <w:rFonts w:cs="Arial"/>
                <w:color w:val="000000"/>
                <w:kern w:val="24"/>
                <w:sz w:val="22"/>
                <w:szCs w:val="22"/>
              </w:rPr>
              <w:t>The indicator has an acceptable risk of unintended consequences.</w:t>
            </w:r>
            <w:r w:rsidR="00807D4B" w:rsidRPr="00285CA9">
              <w:rPr>
                <w:rFonts w:cs="Arial"/>
                <w:color w:val="000000"/>
                <w:kern w:val="24"/>
                <w:sz w:val="22"/>
                <w:szCs w:val="22"/>
              </w:rPr>
              <w:t xml:space="preserve"> </w:t>
            </w:r>
          </w:p>
        </w:tc>
      </w:tr>
    </w:tbl>
    <w:p w14:paraId="39565234" w14:textId="77777777" w:rsidR="002338EB" w:rsidRDefault="002338EB" w:rsidP="002338EB">
      <w:pPr>
        <w:pStyle w:val="Paragraph"/>
      </w:pPr>
    </w:p>
    <w:p w14:paraId="44632A6C" w14:textId="77777777" w:rsidR="006C3D61" w:rsidRDefault="006C3D61" w:rsidP="00192685">
      <w:pPr>
        <w:pStyle w:val="Heading1"/>
      </w:pPr>
      <w:r>
        <w:t>NICE indicator advisory committee recommendation</w:t>
      </w:r>
    </w:p>
    <w:p w14:paraId="03B89398" w14:textId="5DBAE6C6" w:rsidR="0077603D" w:rsidRPr="00407F14" w:rsidRDefault="0077603D" w:rsidP="00AC1530">
      <w:pPr>
        <w:pStyle w:val="Paragraph"/>
      </w:pPr>
      <w:r w:rsidRPr="00AC1530">
        <w:t>The NICE indicator advisory committee approved this indicator for publication on the menu</w:t>
      </w:r>
    </w:p>
    <w:p w14:paraId="5B02D734" w14:textId="77777777" w:rsidR="00D73835" w:rsidRDefault="00D73835" w:rsidP="003605D5">
      <w:pPr>
        <w:pStyle w:val="Heading1"/>
      </w:pPr>
    </w:p>
    <w:sectPr w:rsidR="00D73835" w:rsidSect="003E4657">
      <w:headerReference w:type="default" r:id="rId20"/>
      <w:footerReference w:type="default" r:id="rId21"/>
      <w:headerReference w:type="first" r:id="rId22"/>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7CE0" w14:textId="77777777" w:rsidR="003577AE" w:rsidRDefault="003577AE" w:rsidP="00446BEE">
      <w:r>
        <w:separator/>
      </w:r>
    </w:p>
  </w:endnote>
  <w:endnote w:type="continuationSeparator" w:id="0">
    <w:p w14:paraId="4EA989E0" w14:textId="77777777" w:rsidR="003577AE" w:rsidRDefault="003577A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DD8C" w14:textId="3CAEEC90" w:rsidR="00BB14CA" w:rsidRPr="008C1C95" w:rsidRDefault="00363276" w:rsidP="008C1C95">
    <w:pPr>
      <w:pStyle w:val="Footer"/>
      <w:jc w:val="right"/>
    </w:pPr>
    <w:r>
      <w:t>ID</w:t>
    </w:r>
    <w:r w:rsidR="00AC1530">
      <w:t>323</w:t>
    </w:r>
    <w:r w:rsidR="009B0E59">
      <w:t>: Validity assessment</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42EF" w14:textId="77777777" w:rsidR="003577AE" w:rsidRDefault="003577AE" w:rsidP="00446BEE">
      <w:r>
        <w:separator/>
      </w:r>
    </w:p>
  </w:footnote>
  <w:footnote w:type="continuationSeparator" w:id="0">
    <w:p w14:paraId="35C7675C" w14:textId="77777777" w:rsidR="003577AE" w:rsidRDefault="003577A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68E5" w14:textId="77777777" w:rsidR="00BB14CA" w:rsidRDefault="00BB14CA" w:rsidP="003E4657">
    <w:pPr>
      <w:pStyle w:val="Header"/>
      <w:tabs>
        <w:tab w:val="left" w:pos="2768"/>
        <w:tab w:val="center" w:pos="4156"/>
      </w:tabs>
      <w:rPr>
        <w:b/>
        <w:color w:val="FF0000"/>
        <w:sz w:val="22"/>
        <w:szCs w:val="22"/>
      </w:rPr>
    </w:pPr>
  </w:p>
  <w:p w14:paraId="3B37CFD1"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88CC" w14:textId="77777777" w:rsidR="003E4657" w:rsidRDefault="003E4657">
    <w:pPr>
      <w:pStyle w:val="Header"/>
    </w:pPr>
    <w:r w:rsidRPr="003E4657">
      <w:rPr>
        <w:rFonts w:ascii="Times New Roman" w:hAnsi="Times New Roman"/>
        <w:noProof/>
        <w:lang w:eastAsia="en-GB"/>
      </w:rPr>
      <w:drawing>
        <wp:inline distT="0" distB="0" distL="0" distR="0" wp14:anchorId="76BF1B33" wp14:editId="1C83777B">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853232"/>
    <w:multiLevelType w:val="hybridMultilevel"/>
    <w:tmpl w:val="B4FA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2"/>
  </w:num>
  <w:num w:numId="2" w16cid:durableId="233853175">
    <w:abstractNumId w:val="12"/>
  </w:num>
  <w:num w:numId="3" w16cid:durableId="1529370562">
    <w:abstractNumId w:val="28"/>
  </w:num>
  <w:num w:numId="4" w16cid:durableId="657612754">
    <w:abstractNumId w:val="13"/>
  </w:num>
  <w:num w:numId="5" w16cid:durableId="1193808871">
    <w:abstractNumId w:val="25"/>
  </w:num>
  <w:num w:numId="6" w16cid:durableId="781268177">
    <w:abstractNumId w:val="1"/>
  </w:num>
  <w:num w:numId="7" w16cid:durableId="201872007">
    <w:abstractNumId w:val="11"/>
  </w:num>
  <w:num w:numId="8" w16cid:durableId="1295333019">
    <w:abstractNumId w:val="23"/>
  </w:num>
  <w:num w:numId="9" w16cid:durableId="513112173">
    <w:abstractNumId w:val="24"/>
  </w:num>
  <w:num w:numId="10" w16cid:durableId="2049523386">
    <w:abstractNumId w:val="6"/>
  </w:num>
  <w:num w:numId="11" w16cid:durableId="1370840847">
    <w:abstractNumId w:val="8"/>
  </w:num>
  <w:num w:numId="12" w16cid:durableId="1021859395">
    <w:abstractNumId w:val="3"/>
  </w:num>
  <w:num w:numId="13" w16cid:durableId="1167093030">
    <w:abstractNumId w:val="31"/>
  </w:num>
  <w:num w:numId="14" w16cid:durableId="1771392860">
    <w:abstractNumId w:val="15"/>
  </w:num>
  <w:num w:numId="15" w16cid:durableId="1260019971">
    <w:abstractNumId w:val="10"/>
  </w:num>
  <w:num w:numId="16" w16cid:durableId="546987736">
    <w:abstractNumId w:val="20"/>
  </w:num>
  <w:num w:numId="17" w16cid:durableId="2137412053">
    <w:abstractNumId w:val="17"/>
  </w:num>
  <w:num w:numId="18" w16cid:durableId="2039037637">
    <w:abstractNumId w:val="22"/>
  </w:num>
  <w:num w:numId="19" w16cid:durableId="1939945119">
    <w:abstractNumId w:val="26"/>
  </w:num>
  <w:num w:numId="20" w16cid:durableId="1057584041">
    <w:abstractNumId w:val="7"/>
  </w:num>
  <w:num w:numId="21" w16cid:durableId="1439716324">
    <w:abstractNumId w:val="29"/>
  </w:num>
  <w:num w:numId="22" w16cid:durableId="321355733">
    <w:abstractNumId w:val="0"/>
  </w:num>
  <w:num w:numId="23" w16cid:durableId="317730129">
    <w:abstractNumId w:val="5"/>
  </w:num>
  <w:num w:numId="24" w16cid:durableId="480850916">
    <w:abstractNumId w:val="27"/>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9"/>
  </w:num>
  <w:num w:numId="29" w16cid:durableId="1249540939">
    <w:abstractNumId w:val="6"/>
  </w:num>
  <w:num w:numId="30" w16cid:durableId="1681851572">
    <w:abstractNumId w:val="14"/>
  </w:num>
  <w:num w:numId="31" w16cid:durableId="1344086205">
    <w:abstractNumId w:val="6"/>
  </w:num>
  <w:num w:numId="32" w16cid:durableId="1152327747">
    <w:abstractNumId w:val="6"/>
  </w:num>
  <w:num w:numId="33" w16cid:durableId="1533374662">
    <w:abstractNumId w:val="6"/>
  </w:num>
  <w:num w:numId="34" w16cid:durableId="82778544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6"/>
  </w:num>
  <w:num w:numId="36" w16cid:durableId="1121265795">
    <w:abstractNumId w:val="6"/>
  </w:num>
  <w:num w:numId="37" w16cid:durableId="1261986610">
    <w:abstractNumId w:val="6"/>
  </w:num>
  <w:num w:numId="38" w16cid:durableId="413625216">
    <w:abstractNumId w:val="30"/>
  </w:num>
  <w:num w:numId="39" w16cid:durableId="1357119577">
    <w:abstractNumId w:val="21"/>
  </w:num>
  <w:num w:numId="40" w16cid:durableId="1472091102">
    <w:abstractNumId w:val="4"/>
  </w:num>
  <w:num w:numId="41" w16cid:durableId="1454208177">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7AE"/>
    <w:rsid w:val="00001DF1"/>
    <w:rsid w:val="00002AC5"/>
    <w:rsid w:val="000060FE"/>
    <w:rsid w:val="00007CDA"/>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1423"/>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87166"/>
    <w:rsid w:val="000910A7"/>
    <w:rsid w:val="00094BC2"/>
    <w:rsid w:val="00094C1B"/>
    <w:rsid w:val="000963D1"/>
    <w:rsid w:val="000A16C2"/>
    <w:rsid w:val="000A2E4D"/>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2FFE"/>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55B7"/>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AF8"/>
    <w:rsid w:val="00205FBE"/>
    <w:rsid w:val="00207174"/>
    <w:rsid w:val="00210375"/>
    <w:rsid w:val="002128D3"/>
    <w:rsid w:val="002132AF"/>
    <w:rsid w:val="00214828"/>
    <w:rsid w:val="00214A72"/>
    <w:rsid w:val="00214DE0"/>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43448"/>
    <w:rsid w:val="002549B2"/>
    <w:rsid w:val="002563DF"/>
    <w:rsid w:val="0026014A"/>
    <w:rsid w:val="00260ECB"/>
    <w:rsid w:val="0026108E"/>
    <w:rsid w:val="002614ED"/>
    <w:rsid w:val="00262F59"/>
    <w:rsid w:val="00265142"/>
    <w:rsid w:val="00266AA6"/>
    <w:rsid w:val="00266B50"/>
    <w:rsid w:val="00270605"/>
    <w:rsid w:val="00271804"/>
    <w:rsid w:val="00271857"/>
    <w:rsid w:val="002721BD"/>
    <w:rsid w:val="00276AC9"/>
    <w:rsid w:val="00277ED2"/>
    <w:rsid w:val="00280F8A"/>
    <w:rsid w:val="00285CA9"/>
    <w:rsid w:val="00286537"/>
    <w:rsid w:val="00286C3A"/>
    <w:rsid w:val="00287467"/>
    <w:rsid w:val="00291A5B"/>
    <w:rsid w:val="00292B2C"/>
    <w:rsid w:val="0029330E"/>
    <w:rsid w:val="00296E2E"/>
    <w:rsid w:val="002A5503"/>
    <w:rsid w:val="002A6812"/>
    <w:rsid w:val="002A7339"/>
    <w:rsid w:val="002A7A24"/>
    <w:rsid w:val="002B3EBF"/>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074AF"/>
    <w:rsid w:val="00310E3D"/>
    <w:rsid w:val="00311ED0"/>
    <w:rsid w:val="00311FE4"/>
    <w:rsid w:val="003132FA"/>
    <w:rsid w:val="00314933"/>
    <w:rsid w:val="0031497D"/>
    <w:rsid w:val="00316D48"/>
    <w:rsid w:val="00317416"/>
    <w:rsid w:val="00320EE5"/>
    <w:rsid w:val="003236DA"/>
    <w:rsid w:val="003244E5"/>
    <w:rsid w:val="00324C60"/>
    <w:rsid w:val="00325AA0"/>
    <w:rsid w:val="00326131"/>
    <w:rsid w:val="00326482"/>
    <w:rsid w:val="00330EED"/>
    <w:rsid w:val="00331B26"/>
    <w:rsid w:val="003351B7"/>
    <w:rsid w:val="0033631A"/>
    <w:rsid w:val="00336946"/>
    <w:rsid w:val="00340D15"/>
    <w:rsid w:val="00341BA8"/>
    <w:rsid w:val="00343A77"/>
    <w:rsid w:val="00343D48"/>
    <w:rsid w:val="00344166"/>
    <w:rsid w:val="00344A1E"/>
    <w:rsid w:val="00346B57"/>
    <w:rsid w:val="00347EDE"/>
    <w:rsid w:val="00351FA4"/>
    <w:rsid w:val="00351FDE"/>
    <w:rsid w:val="003524BA"/>
    <w:rsid w:val="00352FD0"/>
    <w:rsid w:val="00354D09"/>
    <w:rsid w:val="00355BED"/>
    <w:rsid w:val="0035645A"/>
    <w:rsid w:val="003577AE"/>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D6C2F"/>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34BA9"/>
    <w:rsid w:val="00440CCA"/>
    <w:rsid w:val="00442D76"/>
    <w:rsid w:val="004440AF"/>
    <w:rsid w:val="00446BEE"/>
    <w:rsid w:val="00450E6D"/>
    <w:rsid w:val="004518F7"/>
    <w:rsid w:val="00452813"/>
    <w:rsid w:val="0045334C"/>
    <w:rsid w:val="004539A8"/>
    <w:rsid w:val="004539D9"/>
    <w:rsid w:val="00455B14"/>
    <w:rsid w:val="00456B1D"/>
    <w:rsid w:val="00461C01"/>
    <w:rsid w:val="00462AFA"/>
    <w:rsid w:val="0046325E"/>
    <w:rsid w:val="0046445C"/>
    <w:rsid w:val="0046709A"/>
    <w:rsid w:val="00472CEC"/>
    <w:rsid w:val="00474F2F"/>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3352"/>
    <w:rsid w:val="005343E1"/>
    <w:rsid w:val="005353CB"/>
    <w:rsid w:val="00535CCD"/>
    <w:rsid w:val="00544CA9"/>
    <w:rsid w:val="00545970"/>
    <w:rsid w:val="00550783"/>
    <w:rsid w:val="005508EE"/>
    <w:rsid w:val="0055162C"/>
    <w:rsid w:val="005536FB"/>
    <w:rsid w:val="00555CC8"/>
    <w:rsid w:val="00556B58"/>
    <w:rsid w:val="005577FA"/>
    <w:rsid w:val="00563FE9"/>
    <w:rsid w:val="0056425E"/>
    <w:rsid w:val="00565745"/>
    <w:rsid w:val="00566FFF"/>
    <w:rsid w:val="0056705D"/>
    <w:rsid w:val="00571370"/>
    <w:rsid w:val="00575207"/>
    <w:rsid w:val="00577C83"/>
    <w:rsid w:val="00580FF4"/>
    <w:rsid w:val="00581E1D"/>
    <w:rsid w:val="00583913"/>
    <w:rsid w:val="005842A7"/>
    <w:rsid w:val="00584C95"/>
    <w:rsid w:val="00584CC9"/>
    <w:rsid w:val="00585C10"/>
    <w:rsid w:val="00585FCF"/>
    <w:rsid w:val="00586210"/>
    <w:rsid w:val="00586316"/>
    <w:rsid w:val="005865B9"/>
    <w:rsid w:val="00590E29"/>
    <w:rsid w:val="005935C0"/>
    <w:rsid w:val="00596607"/>
    <w:rsid w:val="00596F8C"/>
    <w:rsid w:val="005A014D"/>
    <w:rsid w:val="005A188D"/>
    <w:rsid w:val="005A1A5C"/>
    <w:rsid w:val="005A4AD8"/>
    <w:rsid w:val="005A50D3"/>
    <w:rsid w:val="005A576F"/>
    <w:rsid w:val="005A64F3"/>
    <w:rsid w:val="005A6AB3"/>
    <w:rsid w:val="005B0095"/>
    <w:rsid w:val="005B0F72"/>
    <w:rsid w:val="005B5C8B"/>
    <w:rsid w:val="005B6D38"/>
    <w:rsid w:val="005B73E7"/>
    <w:rsid w:val="005C05E1"/>
    <w:rsid w:val="005C3893"/>
    <w:rsid w:val="005C5E41"/>
    <w:rsid w:val="005C7DB5"/>
    <w:rsid w:val="005D15B9"/>
    <w:rsid w:val="005D1E0A"/>
    <w:rsid w:val="005D352A"/>
    <w:rsid w:val="005D48F9"/>
    <w:rsid w:val="005D4C95"/>
    <w:rsid w:val="005D56C2"/>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56AE"/>
    <w:rsid w:val="00607959"/>
    <w:rsid w:val="0061221F"/>
    <w:rsid w:val="00614078"/>
    <w:rsid w:val="006147C5"/>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3B3D"/>
    <w:rsid w:val="006A5E06"/>
    <w:rsid w:val="006B17FD"/>
    <w:rsid w:val="006B44E2"/>
    <w:rsid w:val="006C0C61"/>
    <w:rsid w:val="006C3D61"/>
    <w:rsid w:val="006D4325"/>
    <w:rsid w:val="006D4C74"/>
    <w:rsid w:val="006D55A6"/>
    <w:rsid w:val="006D6BD0"/>
    <w:rsid w:val="006E09CB"/>
    <w:rsid w:val="006E2124"/>
    <w:rsid w:val="006E23A2"/>
    <w:rsid w:val="006E303F"/>
    <w:rsid w:val="006E46C1"/>
    <w:rsid w:val="006E4E37"/>
    <w:rsid w:val="006E5D76"/>
    <w:rsid w:val="006E7BD3"/>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101"/>
    <w:rsid w:val="007469C6"/>
    <w:rsid w:val="00746C13"/>
    <w:rsid w:val="00747C1C"/>
    <w:rsid w:val="007522A0"/>
    <w:rsid w:val="00752602"/>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97FF0"/>
    <w:rsid w:val="007B1A6C"/>
    <w:rsid w:val="007B5378"/>
    <w:rsid w:val="007B7229"/>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3156"/>
    <w:rsid w:val="0080417F"/>
    <w:rsid w:val="00804466"/>
    <w:rsid w:val="00806468"/>
    <w:rsid w:val="00806DBE"/>
    <w:rsid w:val="00807D4B"/>
    <w:rsid w:val="00807FF1"/>
    <w:rsid w:val="008100D4"/>
    <w:rsid w:val="00810C89"/>
    <w:rsid w:val="008137AD"/>
    <w:rsid w:val="008138B2"/>
    <w:rsid w:val="00813C4A"/>
    <w:rsid w:val="00815862"/>
    <w:rsid w:val="00817C3D"/>
    <w:rsid w:val="00820118"/>
    <w:rsid w:val="0082077F"/>
    <w:rsid w:val="00822301"/>
    <w:rsid w:val="00822F81"/>
    <w:rsid w:val="00823184"/>
    <w:rsid w:val="00823B47"/>
    <w:rsid w:val="00826926"/>
    <w:rsid w:val="008274B0"/>
    <w:rsid w:val="0082752E"/>
    <w:rsid w:val="008318F6"/>
    <w:rsid w:val="0083313E"/>
    <w:rsid w:val="008331BB"/>
    <w:rsid w:val="008338B5"/>
    <w:rsid w:val="00833D43"/>
    <w:rsid w:val="00840FF7"/>
    <w:rsid w:val="00841169"/>
    <w:rsid w:val="0084148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848"/>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0D92"/>
    <w:rsid w:val="008D2260"/>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A72"/>
    <w:rsid w:val="00916CED"/>
    <w:rsid w:val="00917909"/>
    <w:rsid w:val="00917D07"/>
    <w:rsid w:val="0092122F"/>
    <w:rsid w:val="009225D9"/>
    <w:rsid w:val="0092393F"/>
    <w:rsid w:val="0092431B"/>
    <w:rsid w:val="00925F15"/>
    <w:rsid w:val="0092757A"/>
    <w:rsid w:val="00930715"/>
    <w:rsid w:val="00930C59"/>
    <w:rsid w:val="0093101C"/>
    <w:rsid w:val="0093543E"/>
    <w:rsid w:val="00937E8B"/>
    <w:rsid w:val="009460E7"/>
    <w:rsid w:val="00947483"/>
    <w:rsid w:val="00947FDB"/>
    <w:rsid w:val="00952219"/>
    <w:rsid w:val="009539B0"/>
    <w:rsid w:val="009543A4"/>
    <w:rsid w:val="00955F17"/>
    <w:rsid w:val="00955F58"/>
    <w:rsid w:val="009562D0"/>
    <w:rsid w:val="00957124"/>
    <w:rsid w:val="00960B9B"/>
    <w:rsid w:val="00960CC3"/>
    <w:rsid w:val="0096180D"/>
    <w:rsid w:val="00961E3B"/>
    <w:rsid w:val="00962360"/>
    <w:rsid w:val="0096568F"/>
    <w:rsid w:val="009669AD"/>
    <w:rsid w:val="00966EB0"/>
    <w:rsid w:val="00970115"/>
    <w:rsid w:val="00972945"/>
    <w:rsid w:val="00973C64"/>
    <w:rsid w:val="00974384"/>
    <w:rsid w:val="00974D81"/>
    <w:rsid w:val="00976903"/>
    <w:rsid w:val="00977F9C"/>
    <w:rsid w:val="00981CAD"/>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B7421"/>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DEC"/>
    <w:rsid w:val="00A11ECD"/>
    <w:rsid w:val="00A12BE0"/>
    <w:rsid w:val="00A137EF"/>
    <w:rsid w:val="00A144F8"/>
    <w:rsid w:val="00A1592C"/>
    <w:rsid w:val="00A15A1F"/>
    <w:rsid w:val="00A16F4B"/>
    <w:rsid w:val="00A1779A"/>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67E8F"/>
    <w:rsid w:val="00A7018B"/>
    <w:rsid w:val="00A70A7A"/>
    <w:rsid w:val="00A71410"/>
    <w:rsid w:val="00A74AE2"/>
    <w:rsid w:val="00A756BB"/>
    <w:rsid w:val="00A77B63"/>
    <w:rsid w:val="00A80975"/>
    <w:rsid w:val="00A80F87"/>
    <w:rsid w:val="00A8249A"/>
    <w:rsid w:val="00A83C7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1530"/>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0218"/>
    <w:rsid w:val="00AF108A"/>
    <w:rsid w:val="00AF10F5"/>
    <w:rsid w:val="00AF1393"/>
    <w:rsid w:val="00AF27B4"/>
    <w:rsid w:val="00AF5D31"/>
    <w:rsid w:val="00AF6DD8"/>
    <w:rsid w:val="00B012C2"/>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45834"/>
    <w:rsid w:val="00B50B39"/>
    <w:rsid w:val="00B53A23"/>
    <w:rsid w:val="00B54BE5"/>
    <w:rsid w:val="00B55D4E"/>
    <w:rsid w:val="00B570F4"/>
    <w:rsid w:val="00B57BE4"/>
    <w:rsid w:val="00B57D87"/>
    <w:rsid w:val="00B67460"/>
    <w:rsid w:val="00B67A85"/>
    <w:rsid w:val="00B70575"/>
    <w:rsid w:val="00B70FFB"/>
    <w:rsid w:val="00B712E5"/>
    <w:rsid w:val="00B72513"/>
    <w:rsid w:val="00B73B73"/>
    <w:rsid w:val="00B77084"/>
    <w:rsid w:val="00B80DC7"/>
    <w:rsid w:val="00B81C3B"/>
    <w:rsid w:val="00B8205D"/>
    <w:rsid w:val="00B8239B"/>
    <w:rsid w:val="00B8344E"/>
    <w:rsid w:val="00B847E6"/>
    <w:rsid w:val="00B854AD"/>
    <w:rsid w:val="00B86D83"/>
    <w:rsid w:val="00B87486"/>
    <w:rsid w:val="00B906C4"/>
    <w:rsid w:val="00B909E1"/>
    <w:rsid w:val="00B91264"/>
    <w:rsid w:val="00B94316"/>
    <w:rsid w:val="00B956ED"/>
    <w:rsid w:val="00B95E5A"/>
    <w:rsid w:val="00B96E71"/>
    <w:rsid w:val="00B97C95"/>
    <w:rsid w:val="00BA02F9"/>
    <w:rsid w:val="00BA164A"/>
    <w:rsid w:val="00BA31F9"/>
    <w:rsid w:val="00BA3317"/>
    <w:rsid w:val="00BA3FDA"/>
    <w:rsid w:val="00BA4313"/>
    <w:rsid w:val="00BA4552"/>
    <w:rsid w:val="00BA4784"/>
    <w:rsid w:val="00BA49EA"/>
    <w:rsid w:val="00BA4F42"/>
    <w:rsid w:val="00BA513C"/>
    <w:rsid w:val="00BA570A"/>
    <w:rsid w:val="00BA714E"/>
    <w:rsid w:val="00BA7AA3"/>
    <w:rsid w:val="00BB14CA"/>
    <w:rsid w:val="00BB306E"/>
    <w:rsid w:val="00BB4EFD"/>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604"/>
    <w:rsid w:val="00BF3B0A"/>
    <w:rsid w:val="00BF4B06"/>
    <w:rsid w:val="00BF54C1"/>
    <w:rsid w:val="00BF5BDB"/>
    <w:rsid w:val="00BF7FE0"/>
    <w:rsid w:val="00C0050E"/>
    <w:rsid w:val="00C026AC"/>
    <w:rsid w:val="00C0570D"/>
    <w:rsid w:val="00C130C8"/>
    <w:rsid w:val="00C13168"/>
    <w:rsid w:val="00C13F60"/>
    <w:rsid w:val="00C14404"/>
    <w:rsid w:val="00C17D6A"/>
    <w:rsid w:val="00C20194"/>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AF9"/>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1A97"/>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C7476"/>
    <w:rsid w:val="00CD151E"/>
    <w:rsid w:val="00CD24A8"/>
    <w:rsid w:val="00CD315A"/>
    <w:rsid w:val="00CD319A"/>
    <w:rsid w:val="00CD4EB8"/>
    <w:rsid w:val="00CD5502"/>
    <w:rsid w:val="00CE0526"/>
    <w:rsid w:val="00CE0AEF"/>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5C03"/>
    <w:rsid w:val="00D16E6A"/>
    <w:rsid w:val="00D172EA"/>
    <w:rsid w:val="00D1792B"/>
    <w:rsid w:val="00D20212"/>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3698"/>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02"/>
    <w:rsid w:val="00DF67C3"/>
    <w:rsid w:val="00DF6CEB"/>
    <w:rsid w:val="00E0098A"/>
    <w:rsid w:val="00E009D9"/>
    <w:rsid w:val="00E03F71"/>
    <w:rsid w:val="00E045EE"/>
    <w:rsid w:val="00E06ED0"/>
    <w:rsid w:val="00E07FF5"/>
    <w:rsid w:val="00E1082D"/>
    <w:rsid w:val="00E130CB"/>
    <w:rsid w:val="00E14934"/>
    <w:rsid w:val="00E15866"/>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2FC"/>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A5650"/>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41DD"/>
    <w:rsid w:val="00F055F1"/>
    <w:rsid w:val="00F05A46"/>
    <w:rsid w:val="00F100EB"/>
    <w:rsid w:val="00F12436"/>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969"/>
    <w:rsid w:val="00F53495"/>
    <w:rsid w:val="00F559F9"/>
    <w:rsid w:val="00F56168"/>
    <w:rsid w:val="00F561EE"/>
    <w:rsid w:val="00F63D66"/>
    <w:rsid w:val="00F64504"/>
    <w:rsid w:val="00F6458C"/>
    <w:rsid w:val="00F6478A"/>
    <w:rsid w:val="00F6661C"/>
    <w:rsid w:val="00F6682D"/>
    <w:rsid w:val="00F701C7"/>
    <w:rsid w:val="00F7531F"/>
    <w:rsid w:val="00F762D8"/>
    <w:rsid w:val="00F76373"/>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4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33732721">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k-5-year-action-plan-for-antimicrobial-resistance-2024-to-2029" TargetMode="External"/><Relationship Id="rId13" Type="http://schemas.openxmlformats.org/officeDocument/2006/relationships/hyperlink" Target="https://adc.bmj.com/content/106/Suppl_1/A418.2" TargetMode="External"/><Relationship Id="rId18" Type="http://schemas.openxmlformats.org/officeDocument/2006/relationships/hyperlink" Target="https://www.nice.org.uk/guidance/ng84/chapter/terms-used-in-the-guidelin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ubmed.ncbi.nlm.nih.gov/24190439/" TargetMode="External"/><Relationship Id="rId17" Type="http://schemas.openxmlformats.org/officeDocument/2006/relationships/hyperlink" Target="https://www.nice.org.uk/guidance/ng84/chapter/terms-used-in-the-guideline" TargetMode="External"/><Relationship Id="rId2" Type="http://schemas.openxmlformats.org/officeDocument/2006/relationships/numbering" Target="numbering.xml"/><Relationship Id="rId16" Type="http://schemas.openxmlformats.org/officeDocument/2006/relationships/hyperlink" Target="https://www.nice.org.uk/guidance/ng8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949006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24114306/" TargetMode="External"/><Relationship Id="rId23" Type="http://schemas.openxmlformats.org/officeDocument/2006/relationships/fontTable" Target="fontTable.xml"/><Relationship Id="rId10" Type="http://schemas.openxmlformats.org/officeDocument/2006/relationships/hyperlink" Target="https://pubmed.ncbi.nlm.nih.gov/29490060/" TargetMode="External"/><Relationship Id="rId19" Type="http://schemas.openxmlformats.org/officeDocument/2006/relationships/hyperlink" Target="https://doi.org/10.48329/a94w-e055" TargetMode="External"/><Relationship Id="rId4" Type="http://schemas.openxmlformats.org/officeDocument/2006/relationships/settings" Target="settings.xml"/><Relationship Id="rId9" Type="http://schemas.openxmlformats.org/officeDocument/2006/relationships/hyperlink" Target="https://assets.publishing.service.gov.uk/media/6888a0b1a11f859994409147/fit-for-the-future-10-year-health-plan-for-england.pdf" TargetMode="External"/><Relationship Id="rId14" Type="http://schemas.openxmlformats.org/officeDocument/2006/relationships/hyperlink" Target="https://bjgp.org/content/70/695/279.1"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B8974-4152-4D3B-A6CB-F9AFE4D3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4893</Characters>
  <Application>Microsoft Office Word</Application>
  <DocSecurity>0</DocSecurity>
  <Lines>174</Lines>
  <Paragraphs>77</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2025-10-29T13:21:00Z</dcterms:created>
  <dcterms:modified xsi:type="dcterms:W3CDTF">2025-10-29T14:04:00Z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2025-10-29T13:22:01Z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9d691545-b3ca-4f92-b177-df2a982f8ef1</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