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D56A" w14:textId="77777777" w:rsidR="005640F6" w:rsidRPr="000C36A2" w:rsidRDefault="008D1F91" w:rsidP="008D1F91">
      <w:pPr>
        <w:jc w:val="center"/>
        <w:rPr>
          <w:rFonts w:ascii="Arial" w:hAnsi="Arial" w:cs="Arial"/>
          <w:b/>
          <w:bCs/>
          <w:sz w:val="32"/>
          <w:szCs w:val="32"/>
        </w:rPr>
      </w:pPr>
      <w:bookmarkStart w:id="0" w:name="_Hlk161153965"/>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4DD52A75" w14:textId="77777777" w:rsidR="008D1F91" w:rsidRDefault="008D1F91" w:rsidP="00A50587">
      <w:pPr>
        <w:pStyle w:val="Paragraphnonumbers"/>
        <w:spacing w:after="0"/>
        <w:jc w:val="center"/>
        <w:rPr>
          <w:b/>
          <w:bCs/>
          <w:sz w:val="32"/>
          <w:szCs w:val="32"/>
        </w:rPr>
      </w:pPr>
    </w:p>
    <w:p w14:paraId="05CABA87"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D626F5C" w14:textId="77777777" w:rsidR="00D131D5" w:rsidRDefault="00D131D5" w:rsidP="00A50587">
      <w:pPr>
        <w:pStyle w:val="Paragraphnonumbers"/>
        <w:spacing w:after="0"/>
        <w:jc w:val="center"/>
        <w:rPr>
          <w:b/>
          <w:bCs/>
          <w:sz w:val="32"/>
          <w:szCs w:val="32"/>
        </w:rPr>
      </w:pPr>
    </w:p>
    <w:p w14:paraId="5456FD9A"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84BED57" w14:textId="77777777" w:rsidR="00E3419E" w:rsidRPr="00310467" w:rsidRDefault="00E3419E" w:rsidP="00A50587">
      <w:pPr>
        <w:pStyle w:val="Paragraphnonumbers"/>
        <w:spacing w:after="0"/>
        <w:jc w:val="center"/>
        <w:rPr>
          <w:b/>
          <w:bCs/>
          <w:sz w:val="32"/>
          <w:szCs w:val="32"/>
        </w:rPr>
      </w:pPr>
    </w:p>
    <w:p w14:paraId="03DCE7C5"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4CB416C8" w14:textId="4E243316" w:rsidR="00A82E2A" w:rsidRDefault="00DB4211" w:rsidP="00A82E2A">
      <w:pPr>
        <w:pStyle w:val="Heading1"/>
        <w:jc w:val="center"/>
      </w:pPr>
      <w:r w:rsidRPr="00DB4211">
        <w:t>GID-IND1034</w:t>
      </w:r>
      <w:r w:rsidR="001F5FC3">
        <w:t>5</w:t>
      </w:r>
      <w:r w:rsidR="00A82E2A">
        <w:t xml:space="preserve"> </w:t>
      </w:r>
      <w:r w:rsidRPr="00DB4211">
        <w:t xml:space="preserve">Pain: </w:t>
      </w:r>
      <w:r w:rsidR="001F5FC3" w:rsidRPr="001F5FC3">
        <w:t>annual review long term opioid use</w:t>
      </w:r>
    </w:p>
    <w:p w14:paraId="33DAC28F"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9" w:anchor="how-we-develop-indicators" w:history="1">
        <w:r>
          <w:rPr>
            <w:rStyle w:val="Hyperlink"/>
          </w:rPr>
          <w:t>Indicators process guide</w:t>
        </w:r>
      </w:hyperlink>
      <w:r>
        <w:t>.</w:t>
      </w:r>
    </w:p>
    <w:p w14:paraId="6A66C1DC"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032813EE"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p w14:paraId="3391405E" w14:textId="265BFA59" w:rsidR="006210D3" w:rsidRPr="006210D3" w:rsidRDefault="006210D3" w:rsidP="004C5A80">
      <w:pPr>
        <w:pStyle w:val="Heading2"/>
        <w:spacing w:after="240"/>
      </w:pP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6B11B8FB" w14:textId="77777777" w:rsidTr="00E3419E">
        <w:trPr>
          <w:trHeight w:val="383"/>
        </w:trPr>
        <w:tc>
          <w:tcPr>
            <w:tcW w:w="9721" w:type="dxa"/>
          </w:tcPr>
          <w:p w14:paraId="665F24C0" w14:textId="77777777"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6CC7D1B5" w14:textId="77777777" w:rsidTr="00C97756">
        <w:trPr>
          <w:trHeight w:val="2643"/>
        </w:trPr>
        <w:tc>
          <w:tcPr>
            <w:tcW w:w="9721" w:type="dxa"/>
          </w:tcPr>
          <w:p w14:paraId="18695DFE" w14:textId="77777777" w:rsidR="00EB653E" w:rsidRDefault="009C68A0" w:rsidP="00D20EB1">
            <w:pPr>
              <w:pStyle w:val="Paragraphnonumbers"/>
            </w:pPr>
            <w:r w:rsidRPr="009C68A0">
              <w:t>The following sources of information have been reviewed for this EHIA:</w:t>
            </w:r>
          </w:p>
          <w:p w14:paraId="246220A1" w14:textId="77777777" w:rsidR="00F82D59" w:rsidRDefault="00963152" w:rsidP="00F85B0D">
            <w:pPr>
              <w:pStyle w:val="Bullets"/>
              <w:numPr>
                <w:ilvl w:val="0"/>
                <w:numId w:val="44"/>
              </w:numPr>
              <w:tabs>
                <w:tab w:val="left" w:pos="993"/>
              </w:tabs>
            </w:pPr>
            <w:hyperlink r:id="rId10" w:history="1">
              <w:r w:rsidRPr="00963152">
                <w:rPr>
                  <w:rStyle w:val="Hyperlink"/>
                </w:rPr>
                <w:t>NICE’s guideline on c</w:t>
              </w:r>
              <w:r w:rsidR="00B10607" w:rsidRPr="00963152">
                <w:rPr>
                  <w:rStyle w:val="Hyperlink"/>
                </w:rPr>
                <w:t>hronic pain (primary and secondary) in over 16s</w:t>
              </w:r>
            </w:hyperlink>
          </w:p>
          <w:p w14:paraId="04135742" w14:textId="13098D11" w:rsidR="001F7115" w:rsidRDefault="001F7115" w:rsidP="00F85B0D">
            <w:pPr>
              <w:pStyle w:val="Bullets"/>
              <w:numPr>
                <w:ilvl w:val="0"/>
                <w:numId w:val="44"/>
              </w:numPr>
              <w:tabs>
                <w:tab w:val="left" w:pos="993"/>
              </w:tabs>
            </w:pPr>
            <w:hyperlink r:id="rId11" w:history="1">
              <w:r w:rsidRPr="00F56BFE">
                <w:rPr>
                  <w:rStyle w:val="Hyperlink"/>
                </w:rPr>
                <w:t xml:space="preserve">NICE’s </w:t>
              </w:r>
              <w:r w:rsidR="00F82D59">
                <w:rPr>
                  <w:rStyle w:val="Hyperlink"/>
                </w:rPr>
                <w:t>c</w:t>
              </w:r>
              <w:r w:rsidRPr="00F56BFE">
                <w:rPr>
                  <w:rStyle w:val="Hyperlink"/>
                </w:rPr>
                <w:t xml:space="preserve">linical </w:t>
              </w:r>
              <w:r w:rsidR="00F82D59">
                <w:rPr>
                  <w:rStyle w:val="Hyperlink"/>
                </w:rPr>
                <w:t>k</w:t>
              </w:r>
              <w:r w:rsidRPr="00F56BFE">
                <w:rPr>
                  <w:rStyle w:val="Hyperlink"/>
                </w:rPr>
                <w:t xml:space="preserve">nowledge </w:t>
              </w:r>
              <w:r w:rsidR="00F82D59">
                <w:rPr>
                  <w:rStyle w:val="Hyperlink"/>
                </w:rPr>
                <w:t>s</w:t>
              </w:r>
              <w:r w:rsidRPr="00F56BFE">
                <w:rPr>
                  <w:rStyle w:val="Hyperlink"/>
                </w:rPr>
                <w:t>ummary</w:t>
              </w:r>
              <w:r w:rsidR="00345881" w:rsidRPr="00F56BFE">
                <w:rPr>
                  <w:rStyle w:val="Hyperlink"/>
                </w:rPr>
                <w:t xml:space="preserve"> </w:t>
              </w:r>
              <w:r w:rsidRPr="00F56BFE">
                <w:rPr>
                  <w:rStyle w:val="Hyperlink"/>
                </w:rPr>
                <w:t>on chronic pain in over 16s</w:t>
              </w:r>
            </w:hyperlink>
          </w:p>
          <w:p w14:paraId="7DC05396" w14:textId="3E725EB9" w:rsidR="00931737" w:rsidRDefault="00931737" w:rsidP="006B5D87">
            <w:pPr>
              <w:pStyle w:val="Bullets"/>
              <w:numPr>
                <w:ilvl w:val="0"/>
                <w:numId w:val="44"/>
              </w:numPr>
              <w:tabs>
                <w:tab w:val="left" w:pos="993"/>
              </w:tabs>
            </w:pPr>
            <w:hyperlink r:id="rId12" w:history="1">
              <w:r w:rsidRPr="00931737">
                <w:rPr>
                  <w:rStyle w:val="Hyperlink"/>
                </w:rPr>
                <w:t>NICE’s guideline on medicines associated with dependence or withdrawal symptoms</w:t>
              </w:r>
            </w:hyperlink>
          </w:p>
          <w:p w14:paraId="62786C0E" w14:textId="384C764F" w:rsidR="00087ED9" w:rsidRDefault="00087ED9" w:rsidP="006B5D87">
            <w:pPr>
              <w:pStyle w:val="Bullets"/>
              <w:numPr>
                <w:ilvl w:val="0"/>
                <w:numId w:val="44"/>
              </w:numPr>
              <w:tabs>
                <w:tab w:val="left" w:pos="993"/>
              </w:tabs>
            </w:pPr>
            <w:hyperlink r:id="rId13" w:history="1">
              <w:r w:rsidRPr="00087ED9">
                <w:rPr>
                  <w:rStyle w:val="Hyperlink"/>
                </w:rPr>
                <w:t>NICE’s guideline on medicines optimisation</w:t>
              </w:r>
            </w:hyperlink>
          </w:p>
          <w:p w14:paraId="1F2A1778" w14:textId="78765CFA" w:rsidR="00711255" w:rsidRDefault="00711255" w:rsidP="006B5D87">
            <w:pPr>
              <w:pStyle w:val="Bullets"/>
              <w:numPr>
                <w:ilvl w:val="0"/>
                <w:numId w:val="44"/>
              </w:numPr>
              <w:tabs>
                <w:tab w:val="left" w:pos="993"/>
              </w:tabs>
            </w:pPr>
            <w:hyperlink r:id="rId14" w:history="1">
              <w:r w:rsidRPr="00586352">
                <w:rPr>
                  <w:rStyle w:val="Hyperlink"/>
                </w:rPr>
                <w:t>NICE’s guideline on medicines adherence</w:t>
              </w:r>
            </w:hyperlink>
          </w:p>
          <w:p w14:paraId="1CB518A9" w14:textId="19D9135A" w:rsidR="00665410" w:rsidRDefault="00665410" w:rsidP="006B5D87">
            <w:pPr>
              <w:pStyle w:val="Bullets"/>
              <w:numPr>
                <w:ilvl w:val="0"/>
                <w:numId w:val="44"/>
              </w:numPr>
              <w:tabs>
                <w:tab w:val="left" w:pos="993"/>
              </w:tabs>
            </w:pPr>
            <w:hyperlink r:id="rId15" w:history="1">
              <w:r w:rsidRPr="00665410">
                <w:rPr>
                  <w:rStyle w:val="Hyperlink"/>
                </w:rPr>
                <w:t>Public Health England’s prescribed medicines review</w:t>
              </w:r>
            </w:hyperlink>
          </w:p>
          <w:p w14:paraId="21F27038" w14:textId="2FDE6034" w:rsidR="00021046" w:rsidRPr="009C68A0" w:rsidRDefault="00021046" w:rsidP="006B5D87">
            <w:pPr>
              <w:pStyle w:val="Bullets"/>
              <w:numPr>
                <w:ilvl w:val="0"/>
                <w:numId w:val="44"/>
              </w:numPr>
              <w:tabs>
                <w:tab w:val="left" w:pos="993"/>
              </w:tabs>
            </w:pPr>
            <w:r>
              <w:t>Desktop rese</w:t>
            </w:r>
            <w:r w:rsidR="009F2760">
              <w:t>arch</w:t>
            </w:r>
          </w:p>
        </w:tc>
      </w:tr>
    </w:tbl>
    <w:p w14:paraId="48C503E4"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47A54D35" w14:textId="77777777" w:rsidTr="0096171A">
        <w:tc>
          <w:tcPr>
            <w:tcW w:w="9704" w:type="dxa"/>
          </w:tcPr>
          <w:p w14:paraId="49331479"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2B51391E" w14:textId="77777777" w:rsidTr="001553E9">
        <w:tc>
          <w:tcPr>
            <w:tcW w:w="9704" w:type="dxa"/>
          </w:tcPr>
          <w:p w14:paraId="7ABC75D9" w14:textId="77777777" w:rsidR="009F2760" w:rsidRPr="002B0C6E" w:rsidRDefault="00C924A0" w:rsidP="001423DB">
            <w:pPr>
              <w:pStyle w:val="Paragraph"/>
              <w:spacing w:after="0"/>
              <w:rPr>
                <w:u w:val="single"/>
              </w:rPr>
            </w:pPr>
            <w:r w:rsidRPr="002B0C6E">
              <w:rPr>
                <w:u w:val="single"/>
              </w:rPr>
              <w:t>Age</w:t>
            </w:r>
          </w:p>
          <w:p w14:paraId="13FF6FB5" w14:textId="411B5D08" w:rsidR="00665410" w:rsidRDefault="003A07D3" w:rsidP="009C227B">
            <w:pPr>
              <w:pStyle w:val="Paragraph"/>
              <w:spacing w:after="0"/>
            </w:pPr>
            <w:r>
              <w:t xml:space="preserve">Rates of prescribing of opioid medicines </w:t>
            </w:r>
            <w:r w:rsidR="00E31640">
              <w:t xml:space="preserve">for pain </w:t>
            </w:r>
            <w:r>
              <w:t>increase with age.</w:t>
            </w:r>
            <w:r w:rsidR="00C1271F">
              <w:t xml:space="preserve"> </w:t>
            </w:r>
            <w:r w:rsidR="000A35A0">
              <w:t>In 2017/18</w:t>
            </w:r>
            <w:r w:rsidR="00680B4C">
              <w:t xml:space="preserve">, </w:t>
            </w:r>
            <w:r w:rsidR="00C1271F">
              <w:t>the</w:t>
            </w:r>
            <w:r w:rsidR="008F04D6">
              <w:t xml:space="preserve"> rate increased for every age group looked at over the age of 18</w:t>
            </w:r>
            <w:r w:rsidR="00E31640">
              <w:t xml:space="preserve">; </w:t>
            </w:r>
            <w:r w:rsidR="00C1271F">
              <w:t xml:space="preserve">the oldest age group had around 9 times the prescribing rate of the youngest age group. </w:t>
            </w:r>
            <w:r w:rsidR="00F03298">
              <w:t>(</w:t>
            </w:r>
            <w:hyperlink r:id="rId16" w:history="1">
              <w:r w:rsidR="00F03298" w:rsidRPr="00743727">
                <w:rPr>
                  <w:rStyle w:val="Hyperlink"/>
                </w:rPr>
                <w:t>Public Health England</w:t>
              </w:r>
              <w:r w:rsidR="00AE0DDD" w:rsidRPr="00743727">
                <w:rPr>
                  <w:rStyle w:val="Hyperlink"/>
                </w:rPr>
                <w:t xml:space="preserve"> 2019</w:t>
              </w:r>
            </w:hyperlink>
            <w:r w:rsidR="00F03298">
              <w:t>)</w:t>
            </w:r>
          </w:p>
          <w:p w14:paraId="223616B6" w14:textId="77777777" w:rsidR="009C227B" w:rsidRDefault="009C227B" w:rsidP="009C227B">
            <w:pPr>
              <w:pStyle w:val="Paragraph"/>
              <w:spacing w:after="0"/>
            </w:pPr>
          </w:p>
          <w:p w14:paraId="110FDBA1" w14:textId="25B58C40" w:rsidR="00234DAE" w:rsidRPr="002B0C6E" w:rsidRDefault="00110051" w:rsidP="001423DB">
            <w:pPr>
              <w:pStyle w:val="Paragraph"/>
              <w:spacing w:after="0"/>
              <w:rPr>
                <w:u w:val="single"/>
              </w:rPr>
            </w:pPr>
            <w:r w:rsidRPr="002B0C6E">
              <w:rPr>
                <w:u w:val="single"/>
              </w:rPr>
              <w:t>Sex</w:t>
            </w:r>
          </w:p>
          <w:p w14:paraId="18EEC204" w14:textId="3D5B9AB6" w:rsidR="009501E9" w:rsidRDefault="009501E9" w:rsidP="009C227B">
            <w:pPr>
              <w:pStyle w:val="Paragraph"/>
              <w:spacing w:after="0"/>
            </w:pPr>
            <w:r w:rsidRPr="009501E9">
              <w:t xml:space="preserve">Rates of prescribing of opioid medicines for pain </w:t>
            </w:r>
            <w:r>
              <w:t xml:space="preserve">were </w:t>
            </w:r>
            <w:r w:rsidRPr="009501E9">
              <w:t xml:space="preserve">higher for women than men </w:t>
            </w:r>
            <w:r w:rsidR="00833F09">
              <w:t xml:space="preserve">in 2017/18. 15% of women of adult age received a </w:t>
            </w:r>
            <w:r w:rsidR="002B2A68">
              <w:t xml:space="preserve">prescription for opioid </w:t>
            </w:r>
            <w:r w:rsidR="00C41F05">
              <w:t xml:space="preserve">pain compared to </w:t>
            </w:r>
            <w:r w:rsidR="003B2DC6">
              <w:t xml:space="preserve">10% of men </w:t>
            </w:r>
            <w:r w:rsidRPr="009501E9">
              <w:t>(</w:t>
            </w:r>
            <w:hyperlink r:id="rId17" w:history="1">
              <w:r w:rsidRPr="00743727">
                <w:rPr>
                  <w:rStyle w:val="Hyperlink"/>
                </w:rPr>
                <w:t>Public Health England</w:t>
              </w:r>
              <w:r w:rsidR="00AE0DDD" w:rsidRPr="00743727">
                <w:rPr>
                  <w:rStyle w:val="Hyperlink"/>
                </w:rPr>
                <w:t xml:space="preserve"> 2019</w:t>
              </w:r>
            </w:hyperlink>
            <w:r w:rsidRPr="009501E9">
              <w:t>)</w:t>
            </w:r>
            <w:r w:rsidR="00C4288A">
              <w:t>.</w:t>
            </w:r>
          </w:p>
          <w:p w14:paraId="6C719A09" w14:textId="77777777" w:rsidR="00F95A82" w:rsidRDefault="00F95A82" w:rsidP="009C227B">
            <w:pPr>
              <w:pStyle w:val="Paragraph"/>
              <w:spacing w:after="0"/>
            </w:pPr>
          </w:p>
          <w:p w14:paraId="07676BCB" w14:textId="77777777" w:rsidR="00F95A82" w:rsidRPr="002B0C6E" w:rsidRDefault="00F95A82" w:rsidP="00F95A82">
            <w:pPr>
              <w:pStyle w:val="Paragraph"/>
              <w:spacing w:after="0"/>
              <w:rPr>
                <w:u w:val="single"/>
              </w:rPr>
            </w:pPr>
            <w:r w:rsidRPr="002B0C6E">
              <w:rPr>
                <w:u w:val="single"/>
              </w:rPr>
              <w:t>Socio-economic factors</w:t>
            </w:r>
          </w:p>
          <w:p w14:paraId="4E5B2A4C" w14:textId="7EDF1535" w:rsidR="00B9077E" w:rsidRDefault="00B9077E" w:rsidP="00B9077E">
            <w:pPr>
              <w:pStyle w:val="Paragraph"/>
              <w:spacing w:after="0"/>
            </w:pPr>
            <w:r>
              <w:t>Prescribing rates for opioid pain medicines had a strong association with deprivation, being higher in areas of greater deprivation. In 2017/18, the prescribing rate for opioid pain medicines in the most deprived quintile was approximately 1.6 times the rate for those in the least deprived quintile (</w:t>
            </w:r>
            <w:hyperlink r:id="rId18" w:history="1">
              <w:r w:rsidRPr="00743727">
                <w:rPr>
                  <w:rStyle w:val="Hyperlink"/>
                </w:rPr>
                <w:t>Public Health England</w:t>
              </w:r>
              <w:r w:rsidR="00AE0DDD" w:rsidRPr="00743727">
                <w:rPr>
                  <w:rStyle w:val="Hyperlink"/>
                </w:rPr>
                <w:t xml:space="preserve"> 2019</w:t>
              </w:r>
            </w:hyperlink>
            <w:r>
              <w:t>).</w:t>
            </w:r>
          </w:p>
          <w:p w14:paraId="42F81E9A" w14:textId="77777777" w:rsidR="009C227B" w:rsidRDefault="009C227B" w:rsidP="009C227B">
            <w:pPr>
              <w:pStyle w:val="Paragraph"/>
              <w:spacing w:after="0"/>
            </w:pPr>
          </w:p>
          <w:p w14:paraId="7444EBBA" w14:textId="10B29BD2" w:rsidR="009A5F82" w:rsidRPr="009C227B" w:rsidRDefault="008B1B9F" w:rsidP="00B93D48">
            <w:pPr>
              <w:pStyle w:val="Paragraph"/>
              <w:spacing w:after="0"/>
              <w:rPr>
                <w:u w:val="single"/>
              </w:rPr>
            </w:pPr>
            <w:r w:rsidRPr="009C227B">
              <w:rPr>
                <w:u w:val="single"/>
              </w:rPr>
              <w:t>Geographical area variation</w:t>
            </w:r>
          </w:p>
          <w:p w14:paraId="02DB1F6D" w14:textId="329560B6" w:rsidR="00EF1567" w:rsidRPr="0049766D" w:rsidRDefault="008B1B9F" w:rsidP="0049766D">
            <w:pPr>
              <w:pStyle w:val="Paragraph"/>
              <w:rPr>
                <w:highlight w:val="lightGray"/>
              </w:rPr>
            </w:pPr>
            <w:r w:rsidRPr="00F12AA9">
              <w:t xml:space="preserve">There are large variations in standardised rates of prescribing at the level of </w:t>
            </w:r>
            <w:r w:rsidR="00F12AA9" w:rsidRPr="00F12AA9">
              <w:t>Clinical Commissioning Groups (</w:t>
            </w:r>
            <w:r w:rsidRPr="00F12AA9">
              <w:t>CCGs</w:t>
            </w:r>
            <w:r w:rsidR="00F12AA9" w:rsidRPr="00F12AA9">
              <w:t>)</w:t>
            </w:r>
            <w:r w:rsidR="002C280C" w:rsidRPr="00F12AA9">
              <w:t xml:space="preserve">. In 2017/18 </w:t>
            </w:r>
            <w:r w:rsidR="00B35D3A" w:rsidRPr="00F12AA9">
              <w:t xml:space="preserve">the proportion of adults receiving a </w:t>
            </w:r>
            <w:r w:rsidR="00B35D3A" w:rsidRPr="00F12AA9">
              <w:lastRenderedPageBreak/>
              <w:t xml:space="preserve">prescription for opioid pain </w:t>
            </w:r>
            <w:r w:rsidR="007F4EA4" w:rsidRPr="00F12AA9">
              <w:t>medicines</w:t>
            </w:r>
            <w:r w:rsidR="00B35D3A" w:rsidRPr="00F12AA9">
              <w:t xml:space="preserve"> ranged from </w:t>
            </w:r>
            <w:r w:rsidR="00F66DC1" w:rsidRPr="00F12AA9">
              <w:t>5</w:t>
            </w:r>
            <w:r w:rsidR="007F4EA4" w:rsidRPr="00F12AA9">
              <w:t xml:space="preserve">.7% in the lowest CCG to </w:t>
            </w:r>
            <w:r w:rsidR="008C1ABE" w:rsidRPr="00F12AA9">
              <w:t>20.6% in the highest CCG</w:t>
            </w:r>
            <w:r w:rsidR="00AE0DDD">
              <w:t xml:space="preserve"> (</w:t>
            </w:r>
            <w:hyperlink r:id="rId19" w:history="1">
              <w:r w:rsidR="00AE0DDD" w:rsidRPr="00743727">
                <w:rPr>
                  <w:rStyle w:val="Hyperlink"/>
                </w:rPr>
                <w:t>Public Health England 2019</w:t>
              </w:r>
            </w:hyperlink>
            <w:r w:rsidR="00AE0DDD">
              <w:t>).</w:t>
            </w:r>
          </w:p>
        </w:tc>
      </w:tr>
    </w:tbl>
    <w:p w14:paraId="6609074B"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0AE2C4F9" w14:textId="77777777" w:rsidTr="0028668F">
        <w:trPr>
          <w:trHeight w:val="598"/>
        </w:trPr>
        <w:tc>
          <w:tcPr>
            <w:tcW w:w="9781" w:type="dxa"/>
          </w:tcPr>
          <w:p w14:paraId="0369BF76"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1ADB6584" w14:textId="77777777" w:rsidTr="0028668F">
        <w:trPr>
          <w:trHeight w:val="3846"/>
        </w:trPr>
        <w:tc>
          <w:tcPr>
            <w:tcW w:w="9781" w:type="dxa"/>
          </w:tcPr>
          <w:p w14:paraId="38AB334A" w14:textId="1DA76DAD" w:rsidR="001045C2" w:rsidRPr="005E7574" w:rsidRDefault="00AF6F66" w:rsidP="0028668F">
            <w:pPr>
              <w:pStyle w:val="Paragraph"/>
            </w:pPr>
            <w:r>
              <w:t>Committee dis</w:t>
            </w:r>
            <w:r w:rsidR="00AE135C">
              <w:t>cussed and approved the indicator</w:t>
            </w:r>
            <w:r w:rsidR="00B84E36">
              <w:t xml:space="preserve"> to proceed to the next stage of indicator development. </w:t>
            </w:r>
            <w:r w:rsidR="00B84E36">
              <w:rPr>
                <w:iCs/>
              </w:rPr>
              <w:t>No specific equality and health inequality issues were raised by the committee.</w:t>
            </w:r>
          </w:p>
        </w:tc>
      </w:tr>
    </w:tbl>
    <w:p w14:paraId="6DD2454D"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0A09F918" w14:textId="77777777" w:rsidTr="0028668F">
        <w:trPr>
          <w:trHeight w:val="408"/>
        </w:trPr>
        <w:tc>
          <w:tcPr>
            <w:tcW w:w="9781" w:type="dxa"/>
          </w:tcPr>
          <w:p w14:paraId="36B99EB3"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62AEF8CA" w14:textId="77777777" w:rsidTr="0028668F">
        <w:trPr>
          <w:trHeight w:val="3108"/>
        </w:trPr>
        <w:tc>
          <w:tcPr>
            <w:tcW w:w="9781" w:type="dxa"/>
          </w:tcPr>
          <w:p w14:paraId="3BA5CCCF" w14:textId="47ADC623" w:rsidR="009D585B" w:rsidRPr="003771F7" w:rsidRDefault="003771F7" w:rsidP="0028668F">
            <w:pPr>
              <w:pStyle w:val="Paragraph"/>
            </w:pPr>
            <w:r w:rsidRPr="003771F7">
              <w:t>The indicator is not expected to increase inequalities.</w:t>
            </w:r>
          </w:p>
        </w:tc>
      </w:tr>
    </w:tbl>
    <w:p w14:paraId="6D8B442F"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76048CC9" w14:textId="77777777" w:rsidTr="001553E9">
        <w:trPr>
          <w:trHeight w:val="557"/>
        </w:trPr>
        <w:tc>
          <w:tcPr>
            <w:tcW w:w="9703" w:type="dxa"/>
          </w:tcPr>
          <w:p w14:paraId="12C3A102"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281A42AF" w14:textId="77777777" w:rsidTr="00EB653E">
        <w:trPr>
          <w:trHeight w:val="1323"/>
        </w:trPr>
        <w:tc>
          <w:tcPr>
            <w:tcW w:w="9703" w:type="dxa"/>
          </w:tcPr>
          <w:p w14:paraId="1762BA2C" w14:textId="6CB1E118" w:rsidR="005D07CC" w:rsidRPr="00B16B75" w:rsidRDefault="005D07CC" w:rsidP="005D07CC">
            <w:pPr>
              <w:pStyle w:val="Paragraph"/>
              <w:spacing w:after="0"/>
            </w:pPr>
            <w:r w:rsidRPr="00544FBD">
              <w:t xml:space="preserve">The NICE Public Involvement programme has suggested </w:t>
            </w:r>
            <w:r w:rsidR="00D1103C" w:rsidRPr="00544FBD">
              <w:t>several</w:t>
            </w:r>
            <w:r w:rsidRPr="00544FBD">
              <w:t xml:space="preserve"> </w:t>
            </w:r>
            <w:r>
              <w:t xml:space="preserve">relevant </w:t>
            </w:r>
            <w:r w:rsidRPr="00544FBD">
              <w:t>stakeholder organisations</w:t>
            </w:r>
            <w:r>
              <w:t xml:space="preserve"> for this indicator. </w:t>
            </w:r>
            <w:r w:rsidR="00280616">
              <w:t xml:space="preserve">These organisations have been invited to register as stakeholders so they can be </w:t>
            </w:r>
            <w:r>
              <w:t>included</w:t>
            </w:r>
            <w:r w:rsidRPr="00544FBD">
              <w:t xml:space="preserve"> in the consultation process. </w:t>
            </w:r>
          </w:p>
          <w:p w14:paraId="56CC481C" w14:textId="77777777" w:rsidR="00F96E99" w:rsidRDefault="00F96E99" w:rsidP="00F96E99">
            <w:pPr>
              <w:rPr>
                <w:rFonts w:ascii="Arial" w:hAnsi="Arial"/>
                <w:i/>
                <w:iCs/>
              </w:rPr>
            </w:pPr>
          </w:p>
          <w:p w14:paraId="75F73788" w14:textId="77777777" w:rsidR="00451133" w:rsidRPr="00DA13AC" w:rsidRDefault="00F96E99" w:rsidP="00DA13AC">
            <w:pPr>
              <w:tabs>
                <w:tab w:val="left" w:pos="6270"/>
              </w:tabs>
              <w:rPr>
                <w:i/>
              </w:rPr>
            </w:pPr>
            <w:r>
              <w:tab/>
            </w:r>
          </w:p>
        </w:tc>
      </w:tr>
    </w:tbl>
    <w:p w14:paraId="127D0B2B"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4C0EE61" w14:textId="77777777" w:rsidTr="003D03EE">
        <w:trPr>
          <w:trHeight w:val="838"/>
        </w:trPr>
        <w:tc>
          <w:tcPr>
            <w:tcW w:w="9731" w:type="dxa"/>
          </w:tcPr>
          <w:p w14:paraId="6222310F"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1438AB2C" w14:textId="77777777" w:rsidTr="00B025EB">
        <w:trPr>
          <w:trHeight w:val="1408"/>
        </w:trPr>
        <w:tc>
          <w:tcPr>
            <w:tcW w:w="9731" w:type="dxa"/>
          </w:tcPr>
          <w:p w14:paraId="0885E897" w14:textId="5C3F0D82" w:rsidR="00451133" w:rsidRPr="00966277" w:rsidRDefault="00D1103C" w:rsidP="000B6491">
            <w:pPr>
              <w:pStyle w:val="Paragraph"/>
              <w:rPr>
                <w:rFonts w:cs="Arial"/>
              </w:rPr>
            </w:pPr>
            <w:r>
              <w:rPr>
                <w:rFonts w:cs="Arial"/>
              </w:rPr>
              <w:t>No exclusions are proposed for this indicator.</w:t>
            </w:r>
          </w:p>
        </w:tc>
      </w:tr>
    </w:tbl>
    <w:p w14:paraId="5D0B60F1"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587FB968" w14:textId="77777777" w:rsidTr="0028668F">
        <w:trPr>
          <w:trHeight w:val="525"/>
        </w:trPr>
        <w:tc>
          <w:tcPr>
            <w:tcW w:w="9719" w:type="dxa"/>
          </w:tcPr>
          <w:p w14:paraId="1892F2F7"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7E70DB2B" w14:textId="77777777" w:rsidTr="0028668F">
        <w:trPr>
          <w:trHeight w:val="1916"/>
        </w:trPr>
        <w:tc>
          <w:tcPr>
            <w:tcW w:w="9719" w:type="dxa"/>
          </w:tcPr>
          <w:p w14:paraId="549BDD84" w14:textId="5E8A9EDC" w:rsidR="00543D3A" w:rsidRDefault="00543D3A" w:rsidP="00543D3A">
            <w:pPr>
              <w:pStyle w:val="Paragraphnonumbers"/>
            </w:pPr>
            <w:r>
              <w:t>Do you think there are any barriers to implementing the care described by these indicators?</w:t>
            </w:r>
          </w:p>
          <w:p w14:paraId="7A8DF6B3" w14:textId="1E99B70B" w:rsidR="00543D3A" w:rsidRDefault="00543D3A" w:rsidP="00543D3A">
            <w:pPr>
              <w:pStyle w:val="Paragraphnonumbers"/>
            </w:pPr>
            <w:r>
              <w:t>Do you think there are potential unintended consequences to implementing/ using any of these indicators?</w:t>
            </w:r>
          </w:p>
          <w:p w14:paraId="333E1CDA" w14:textId="49167727" w:rsidR="00543D3A" w:rsidRDefault="00543D3A" w:rsidP="00543D3A">
            <w:pPr>
              <w:pStyle w:val="Paragraphnonumbers"/>
            </w:pPr>
            <w: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36F8B628" w14:textId="6EBA5D07" w:rsidR="002D356B" w:rsidRDefault="00543D3A" w:rsidP="00D1103C">
            <w:pPr>
              <w:pStyle w:val="Paragraphnonumbers"/>
            </w:pPr>
            <w:r>
              <w:t>If you think any of these indicators may have an adverse impact in different groups in the community, can you suggest how the indicator might be delivered differently to different groups to reduce health inequalities?</w:t>
            </w:r>
          </w:p>
        </w:tc>
      </w:tr>
    </w:tbl>
    <w:p w14:paraId="4A94FB21" w14:textId="77777777" w:rsidR="00C42F39" w:rsidRDefault="00C42F39" w:rsidP="00C14F15">
      <w:pPr>
        <w:pStyle w:val="Paragraphnonumbers"/>
        <w:rPr>
          <w:rFonts w:cs="Arial"/>
        </w:rPr>
      </w:pPr>
    </w:p>
    <w:p w14:paraId="5072FA3A" w14:textId="6A8BFD85"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2D356B">
        <w:rPr>
          <w:rFonts w:cs="Arial"/>
        </w:rPr>
        <w:t>Paul Daly</w:t>
      </w:r>
    </w:p>
    <w:p w14:paraId="65F669B8" w14:textId="77777777" w:rsidR="001431B0" w:rsidRPr="0078563E" w:rsidRDefault="001431B0" w:rsidP="001431B0">
      <w:pPr>
        <w:pStyle w:val="Paragraphnonumbers"/>
        <w:spacing w:after="0"/>
        <w:rPr>
          <w:rFonts w:cs="Arial"/>
        </w:rPr>
      </w:pPr>
    </w:p>
    <w:p w14:paraId="3942B234" w14:textId="0CEA741F"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2D356B">
        <w:rPr>
          <w:rFonts w:cs="Arial"/>
        </w:rPr>
        <w:t>02/04/2026</w:t>
      </w:r>
    </w:p>
    <w:p w14:paraId="4EBB401E" w14:textId="77777777" w:rsidR="001431B0" w:rsidRDefault="001431B0" w:rsidP="001431B0">
      <w:pPr>
        <w:pStyle w:val="Paragraphnonumbers"/>
        <w:spacing w:after="0"/>
        <w:rPr>
          <w:rFonts w:cs="Arial"/>
        </w:rPr>
      </w:pPr>
    </w:p>
    <w:p w14:paraId="0097A6D4" w14:textId="4F8E6E5E"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2504DD">
        <w:rPr>
          <w:rFonts w:cs="Arial"/>
        </w:rPr>
        <w:t>Craig Grime</w:t>
      </w:r>
    </w:p>
    <w:p w14:paraId="54E7C405" w14:textId="77777777" w:rsidR="001431B0" w:rsidRPr="0078563E" w:rsidRDefault="001431B0" w:rsidP="001431B0">
      <w:pPr>
        <w:pStyle w:val="Paragraphnonumbers"/>
        <w:spacing w:after="0"/>
        <w:rPr>
          <w:rFonts w:cs="Arial"/>
        </w:rPr>
      </w:pPr>
    </w:p>
    <w:p w14:paraId="5A57C5B7" w14:textId="7B286C6F"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7A39A6" w:rsidRPr="007A39A6">
        <w:rPr>
          <w:rFonts w:cs="Arial"/>
        </w:rPr>
        <w:t>02/04/</w:t>
      </w:r>
      <w:r w:rsidR="007A39A6">
        <w:rPr>
          <w:rFonts w:cs="Arial"/>
        </w:rPr>
        <w:t>20</w:t>
      </w:r>
      <w:r w:rsidR="007A39A6" w:rsidRPr="007A39A6">
        <w:rPr>
          <w:rFonts w:cs="Arial"/>
        </w:rPr>
        <w:t>26</w:t>
      </w:r>
    </w:p>
    <w:p w14:paraId="7448D0DF" w14:textId="77777777" w:rsidR="001B335E" w:rsidRDefault="001B335E" w:rsidP="00EB653E">
      <w:pPr>
        <w:pStyle w:val="Paragraph"/>
      </w:pPr>
    </w:p>
    <w:p w14:paraId="26533457" w14:textId="3B4B3313" w:rsidR="00DA0765" w:rsidRPr="003D03EE" w:rsidRDefault="00DA0765" w:rsidP="00475A1B">
      <w:pPr>
        <w:pStyle w:val="Heading1"/>
        <w:rPr>
          <w:b w:val="0"/>
        </w:rPr>
      </w:pPr>
    </w:p>
    <w:sectPr w:rsidR="00DA0765" w:rsidRPr="003D03EE" w:rsidSect="00636759">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75E6" w14:textId="77777777" w:rsidR="00DB4211" w:rsidRDefault="00DB4211" w:rsidP="00446BEE">
      <w:r>
        <w:separator/>
      </w:r>
    </w:p>
  </w:endnote>
  <w:endnote w:type="continuationSeparator" w:id="0">
    <w:p w14:paraId="77CC4AD5" w14:textId="77777777" w:rsidR="00DB4211" w:rsidRDefault="00DB4211" w:rsidP="00446BEE">
      <w:r>
        <w:continuationSeparator/>
      </w:r>
    </w:p>
  </w:endnote>
  <w:endnote w:type="continuationNotice" w:id="1">
    <w:p w14:paraId="3C088E31" w14:textId="77777777" w:rsidR="00DB4211" w:rsidRDefault="00DB4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E6C2" w14:textId="09D9D437" w:rsidR="00516E2E" w:rsidRDefault="003C6AC3" w:rsidP="003C15C7">
    <w:pPr>
      <w:pStyle w:val="Footer"/>
    </w:pPr>
    <w:r w:rsidRPr="003C6AC3">
      <w:t>GID-IND1034</w:t>
    </w:r>
    <w:r w:rsidR="001F5FC3">
      <w:t>5</w:t>
    </w:r>
    <w:r w:rsidR="003C15C7">
      <w:t>: Equality and health inequalities assessment</w:t>
    </w:r>
    <w:r w:rsidR="003C15C7">
      <w:tab/>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7E769536"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8B95" w14:textId="77777777" w:rsidR="00DB4211" w:rsidRDefault="00DB4211" w:rsidP="00446BEE">
      <w:r>
        <w:separator/>
      </w:r>
    </w:p>
  </w:footnote>
  <w:footnote w:type="continuationSeparator" w:id="0">
    <w:p w14:paraId="2A60D10B" w14:textId="77777777" w:rsidR="00DB4211" w:rsidRDefault="00DB4211" w:rsidP="00446BEE">
      <w:r>
        <w:continuationSeparator/>
      </w:r>
    </w:p>
  </w:footnote>
  <w:footnote w:type="continuationNotice" w:id="1">
    <w:p w14:paraId="4548C32A" w14:textId="77777777" w:rsidR="00DB4211" w:rsidRDefault="00DB4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6553" w14:textId="68C87E16" w:rsidR="00DF198B" w:rsidRDefault="00FE16C4">
    <w:pPr>
      <w:pStyle w:val="Header"/>
      <w:rPr>
        <w:rFonts w:cs="Arial"/>
        <w:b/>
        <w:sz w:val="20"/>
        <w:szCs w:val="20"/>
      </w:rPr>
    </w:pPr>
    <w:r>
      <w:rPr>
        <w:rFonts w:cs="Arial"/>
        <w:b/>
        <w:sz w:val="20"/>
        <w:szCs w:val="20"/>
      </w:rPr>
      <w:tab/>
    </w:r>
  </w:p>
  <w:p w14:paraId="740FEA48"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EE0504"/>
    <w:multiLevelType w:val="multilevel"/>
    <w:tmpl w:val="1F36E61C"/>
    <w:numStyleLink w:val="Style4"/>
  </w:abstractNum>
  <w:abstractNum w:abstractNumId="20"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6" w15:restartNumberingAfterBreak="0">
    <w:nsid w:val="540E72A7"/>
    <w:multiLevelType w:val="hybridMultilevel"/>
    <w:tmpl w:val="9EE0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CBA3C95"/>
    <w:multiLevelType w:val="multilevel"/>
    <w:tmpl w:val="7B18D79E"/>
    <w:numStyleLink w:val="Style2"/>
  </w:abstractNum>
  <w:abstractNum w:abstractNumId="41" w15:restartNumberingAfterBreak="0">
    <w:nsid w:val="7D5B6FF6"/>
    <w:multiLevelType w:val="multilevel"/>
    <w:tmpl w:val="7B18D79E"/>
    <w:numStyleLink w:val="Style2"/>
  </w:abstractNum>
  <w:abstractNum w:abstractNumId="42"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3"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1"/>
  </w:num>
  <w:num w:numId="3" w16cid:durableId="1615945455">
    <w:abstractNumId w:val="5"/>
  </w:num>
  <w:num w:numId="4" w16cid:durableId="1029911101">
    <w:abstractNumId w:val="0"/>
  </w:num>
  <w:num w:numId="5" w16cid:durableId="2029716792">
    <w:abstractNumId w:val="24"/>
  </w:num>
  <w:num w:numId="6" w16cid:durableId="1918830326">
    <w:abstractNumId w:val="30"/>
  </w:num>
  <w:num w:numId="7" w16cid:durableId="1148591788">
    <w:abstractNumId w:val="40"/>
  </w:num>
  <w:num w:numId="8" w16cid:durableId="1849562648">
    <w:abstractNumId w:val="37"/>
  </w:num>
  <w:num w:numId="9" w16cid:durableId="1055349801">
    <w:abstractNumId w:val="39"/>
  </w:num>
  <w:num w:numId="10" w16cid:durableId="1704595744">
    <w:abstractNumId w:val="10"/>
  </w:num>
  <w:num w:numId="11" w16cid:durableId="627198209">
    <w:abstractNumId w:val="16"/>
  </w:num>
  <w:num w:numId="12" w16cid:durableId="1551574869">
    <w:abstractNumId w:val="42"/>
  </w:num>
  <w:num w:numId="13" w16cid:durableId="360518129">
    <w:abstractNumId w:val="33"/>
  </w:num>
  <w:num w:numId="14" w16cid:durableId="1844662713">
    <w:abstractNumId w:val="19"/>
  </w:num>
  <w:num w:numId="15" w16cid:durableId="2123527243">
    <w:abstractNumId w:val="13"/>
  </w:num>
  <w:num w:numId="16" w16cid:durableId="987831213">
    <w:abstractNumId w:val="14"/>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1"/>
  </w:num>
  <w:num w:numId="26" w16cid:durableId="1552765963">
    <w:abstractNumId w:val="18"/>
  </w:num>
  <w:num w:numId="27" w16cid:durableId="1613900351">
    <w:abstractNumId w:val="20"/>
  </w:num>
  <w:num w:numId="28" w16cid:durableId="2071151798">
    <w:abstractNumId w:val="41"/>
  </w:num>
  <w:num w:numId="29" w16cid:durableId="1773016109">
    <w:abstractNumId w:val="17"/>
  </w:num>
  <w:num w:numId="30" w16cid:durableId="1214999556">
    <w:abstractNumId w:val="36"/>
  </w:num>
  <w:num w:numId="31" w16cid:durableId="106050730">
    <w:abstractNumId w:val="35"/>
  </w:num>
  <w:num w:numId="32" w16cid:durableId="1981037423">
    <w:abstractNumId w:val="22"/>
  </w:num>
  <w:num w:numId="33" w16cid:durableId="1782531770">
    <w:abstractNumId w:val="6"/>
  </w:num>
  <w:num w:numId="34" w16cid:durableId="363406381">
    <w:abstractNumId w:val="23"/>
  </w:num>
  <w:num w:numId="35" w16cid:durableId="1564372752">
    <w:abstractNumId w:val="43"/>
  </w:num>
  <w:num w:numId="36" w16cid:durableId="96144097">
    <w:abstractNumId w:val="1"/>
  </w:num>
  <w:num w:numId="37" w16cid:durableId="1519781089">
    <w:abstractNumId w:val="32"/>
  </w:num>
  <w:num w:numId="38" w16cid:durableId="1448887418">
    <w:abstractNumId w:val="8"/>
  </w:num>
  <w:num w:numId="39" w16cid:durableId="1455443758">
    <w:abstractNumId w:val="29"/>
  </w:num>
  <w:num w:numId="40" w16cid:durableId="713963823">
    <w:abstractNumId w:val="3"/>
  </w:num>
  <w:num w:numId="41" w16cid:durableId="1864247540">
    <w:abstractNumId w:val="25"/>
  </w:num>
  <w:num w:numId="42" w16cid:durableId="2045325553">
    <w:abstractNumId w:val="27"/>
  </w:num>
  <w:num w:numId="43" w16cid:durableId="2099404550">
    <w:abstractNumId w:val="15"/>
  </w:num>
  <w:num w:numId="44" w16cid:durableId="130358335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11"/>
    <w:rsid w:val="00003A98"/>
    <w:rsid w:val="000053F8"/>
    <w:rsid w:val="00005F33"/>
    <w:rsid w:val="00007662"/>
    <w:rsid w:val="0000789E"/>
    <w:rsid w:val="00010E2D"/>
    <w:rsid w:val="00012B14"/>
    <w:rsid w:val="00013FBB"/>
    <w:rsid w:val="0001418F"/>
    <w:rsid w:val="00017A1C"/>
    <w:rsid w:val="00017D75"/>
    <w:rsid w:val="00020E22"/>
    <w:rsid w:val="00021046"/>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29ED"/>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604"/>
    <w:rsid w:val="00083846"/>
    <w:rsid w:val="00083B0B"/>
    <w:rsid w:val="0008759D"/>
    <w:rsid w:val="00087ED9"/>
    <w:rsid w:val="000902A4"/>
    <w:rsid w:val="00090450"/>
    <w:rsid w:val="00090E06"/>
    <w:rsid w:val="00090EBF"/>
    <w:rsid w:val="00092974"/>
    <w:rsid w:val="00093B0F"/>
    <w:rsid w:val="00094590"/>
    <w:rsid w:val="00096E9B"/>
    <w:rsid w:val="000A35A0"/>
    <w:rsid w:val="000A3E7F"/>
    <w:rsid w:val="000A4FEE"/>
    <w:rsid w:val="000A66D6"/>
    <w:rsid w:val="000B1868"/>
    <w:rsid w:val="000B5939"/>
    <w:rsid w:val="000B6491"/>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6B9A"/>
    <w:rsid w:val="00107273"/>
    <w:rsid w:val="00110051"/>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3DB"/>
    <w:rsid w:val="0014267F"/>
    <w:rsid w:val="0014271F"/>
    <w:rsid w:val="001431B0"/>
    <w:rsid w:val="00143AFA"/>
    <w:rsid w:val="001477A9"/>
    <w:rsid w:val="001553E9"/>
    <w:rsid w:val="00157BDA"/>
    <w:rsid w:val="0016466B"/>
    <w:rsid w:val="00165556"/>
    <w:rsid w:val="00165B8F"/>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4D86"/>
    <w:rsid w:val="001B65B3"/>
    <w:rsid w:val="001B6DBC"/>
    <w:rsid w:val="001B715D"/>
    <w:rsid w:val="001C3A55"/>
    <w:rsid w:val="001D01E4"/>
    <w:rsid w:val="001D2FCF"/>
    <w:rsid w:val="001D31CF"/>
    <w:rsid w:val="001D35F3"/>
    <w:rsid w:val="001D414D"/>
    <w:rsid w:val="001D4416"/>
    <w:rsid w:val="001D4937"/>
    <w:rsid w:val="001E20D3"/>
    <w:rsid w:val="001E2C47"/>
    <w:rsid w:val="001E7677"/>
    <w:rsid w:val="001E7EA5"/>
    <w:rsid w:val="001F4C2E"/>
    <w:rsid w:val="001F56B9"/>
    <w:rsid w:val="001F5FC3"/>
    <w:rsid w:val="001F64C1"/>
    <w:rsid w:val="001F7115"/>
    <w:rsid w:val="002004E2"/>
    <w:rsid w:val="00201ED2"/>
    <w:rsid w:val="002024BA"/>
    <w:rsid w:val="00202664"/>
    <w:rsid w:val="002029A6"/>
    <w:rsid w:val="00202E9C"/>
    <w:rsid w:val="00203F4A"/>
    <w:rsid w:val="00204710"/>
    <w:rsid w:val="002047CC"/>
    <w:rsid w:val="00206A36"/>
    <w:rsid w:val="00210A86"/>
    <w:rsid w:val="00210AFB"/>
    <w:rsid w:val="002200FE"/>
    <w:rsid w:val="00222ADD"/>
    <w:rsid w:val="00223163"/>
    <w:rsid w:val="00224896"/>
    <w:rsid w:val="002274F5"/>
    <w:rsid w:val="00230224"/>
    <w:rsid w:val="00231F35"/>
    <w:rsid w:val="002333A5"/>
    <w:rsid w:val="00234DAE"/>
    <w:rsid w:val="0023546E"/>
    <w:rsid w:val="002406A6"/>
    <w:rsid w:val="002408EA"/>
    <w:rsid w:val="00241AFE"/>
    <w:rsid w:val="00242ABB"/>
    <w:rsid w:val="00242ECF"/>
    <w:rsid w:val="002459B4"/>
    <w:rsid w:val="00246552"/>
    <w:rsid w:val="00247034"/>
    <w:rsid w:val="0024719E"/>
    <w:rsid w:val="002504DD"/>
    <w:rsid w:val="00252B9F"/>
    <w:rsid w:val="0025564D"/>
    <w:rsid w:val="00260995"/>
    <w:rsid w:val="0026199E"/>
    <w:rsid w:val="002648BA"/>
    <w:rsid w:val="00264ACF"/>
    <w:rsid w:val="00265FAC"/>
    <w:rsid w:val="00266729"/>
    <w:rsid w:val="00267C47"/>
    <w:rsid w:val="00267E25"/>
    <w:rsid w:val="00273AA7"/>
    <w:rsid w:val="00277BA4"/>
    <w:rsid w:val="002805A0"/>
    <w:rsid w:val="00280616"/>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C6E"/>
    <w:rsid w:val="002B0E8D"/>
    <w:rsid w:val="002B2817"/>
    <w:rsid w:val="002B2A68"/>
    <w:rsid w:val="002B3000"/>
    <w:rsid w:val="002C1A7E"/>
    <w:rsid w:val="002C20BB"/>
    <w:rsid w:val="002C272A"/>
    <w:rsid w:val="002C280C"/>
    <w:rsid w:val="002C66E0"/>
    <w:rsid w:val="002D0A75"/>
    <w:rsid w:val="002D3376"/>
    <w:rsid w:val="002D356B"/>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45881"/>
    <w:rsid w:val="003501DC"/>
    <w:rsid w:val="0035212E"/>
    <w:rsid w:val="003526F8"/>
    <w:rsid w:val="003542E8"/>
    <w:rsid w:val="00356F7D"/>
    <w:rsid w:val="00360652"/>
    <w:rsid w:val="00361068"/>
    <w:rsid w:val="003648C5"/>
    <w:rsid w:val="0036785C"/>
    <w:rsid w:val="003722FA"/>
    <w:rsid w:val="00373F5F"/>
    <w:rsid w:val="00374246"/>
    <w:rsid w:val="00376F28"/>
    <w:rsid w:val="003771F7"/>
    <w:rsid w:val="003778FE"/>
    <w:rsid w:val="003814C0"/>
    <w:rsid w:val="00384F8C"/>
    <w:rsid w:val="0038531C"/>
    <w:rsid w:val="003856F3"/>
    <w:rsid w:val="00386DC4"/>
    <w:rsid w:val="003871B2"/>
    <w:rsid w:val="0039265E"/>
    <w:rsid w:val="00392E57"/>
    <w:rsid w:val="00395763"/>
    <w:rsid w:val="00395CF6"/>
    <w:rsid w:val="00396A79"/>
    <w:rsid w:val="00397625"/>
    <w:rsid w:val="003A0077"/>
    <w:rsid w:val="003A010D"/>
    <w:rsid w:val="003A07D3"/>
    <w:rsid w:val="003A08C5"/>
    <w:rsid w:val="003A65F7"/>
    <w:rsid w:val="003B05C7"/>
    <w:rsid w:val="003B2DC6"/>
    <w:rsid w:val="003B3B81"/>
    <w:rsid w:val="003C15C7"/>
    <w:rsid w:val="003C1DE9"/>
    <w:rsid w:val="003C3B0A"/>
    <w:rsid w:val="003C3E98"/>
    <w:rsid w:val="003C6AC3"/>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792E"/>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75A1B"/>
    <w:rsid w:val="0048135A"/>
    <w:rsid w:val="00481591"/>
    <w:rsid w:val="00482EF3"/>
    <w:rsid w:val="0048317C"/>
    <w:rsid w:val="0048608B"/>
    <w:rsid w:val="00486634"/>
    <w:rsid w:val="00486A0C"/>
    <w:rsid w:val="004874F3"/>
    <w:rsid w:val="004948F2"/>
    <w:rsid w:val="004957A2"/>
    <w:rsid w:val="00497425"/>
    <w:rsid w:val="0049766D"/>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05AD"/>
    <w:rsid w:val="005313FB"/>
    <w:rsid w:val="005316E3"/>
    <w:rsid w:val="005331B9"/>
    <w:rsid w:val="005340EE"/>
    <w:rsid w:val="00534713"/>
    <w:rsid w:val="00535472"/>
    <w:rsid w:val="0053660D"/>
    <w:rsid w:val="0053680E"/>
    <w:rsid w:val="00537554"/>
    <w:rsid w:val="00541CF3"/>
    <w:rsid w:val="005424A6"/>
    <w:rsid w:val="00543D3A"/>
    <w:rsid w:val="00544490"/>
    <w:rsid w:val="005456D9"/>
    <w:rsid w:val="00550201"/>
    <w:rsid w:val="005509D6"/>
    <w:rsid w:val="00551518"/>
    <w:rsid w:val="0055171A"/>
    <w:rsid w:val="0055316C"/>
    <w:rsid w:val="00562E35"/>
    <w:rsid w:val="005640F6"/>
    <w:rsid w:val="0056677C"/>
    <w:rsid w:val="005667A4"/>
    <w:rsid w:val="00570494"/>
    <w:rsid w:val="0057339A"/>
    <w:rsid w:val="00576330"/>
    <w:rsid w:val="005834C2"/>
    <w:rsid w:val="00585FFE"/>
    <w:rsid w:val="00586352"/>
    <w:rsid w:val="00586E8A"/>
    <w:rsid w:val="00591766"/>
    <w:rsid w:val="00593134"/>
    <w:rsid w:val="005A2389"/>
    <w:rsid w:val="005A4151"/>
    <w:rsid w:val="005A5798"/>
    <w:rsid w:val="005A5D38"/>
    <w:rsid w:val="005A6DD2"/>
    <w:rsid w:val="005A7D55"/>
    <w:rsid w:val="005B1A47"/>
    <w:rsid w:val="005B1BF8"/>
    <w:rsid w:val="005B700C"/>
    <w:rsid w:val="005C06D2"/>
    <w:rsid w:val="005C3E8B"/>
    <w:rsid w:val="005C5307"/>
    <w:rsid w:val="005C7663"/>
    <w:rsid w:val="005C7BF6"/>
    <w:rsid w:val="005D07CC"/>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E7574"/>
    <w:rsid w:val="005F14B5"/>
    <w:rsid w:val="005F28BE"/>
    <w:rsid w:val="005F4B93"/>
    <w:rsid w:val="005F5FB9"/>
    <w:rsid w:val="005F7738"/>
    <w:rsid w:val="00603C60"/>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2B6"/>
    <w:rsid w:val="00636759"/>
    <w:rsid w:val="0064116E"/>
    <w:rsid w:val="0064134F"/>
    <w:rsid w:val="0064518F"/>
    <w:rsid w:val="006461FE"/>
    <w:rsid w:val="00647E28"/>
    <w:rsid w:val="00651308"/>
    <w:rsid w:val="0065193B"/>
    <w:rsid w:val="006544A3"/>
    <w:rsid w:val="006630EA"/>
    <w:rsid w:val="006641B7"/>
    <w:rsid w:val="0066517A"/>
    <w:rsid w:val="00665410"/>
    <w:rsid w:val="00666CA3"/>
    <w:rsid w:val="00667191"/>
    <w:rsid w:val="0066741D"/>
    <w:rsid w:val="0067036D"/>
    <w:rsid w:val="00670E51"/>
    <w:rsid w:val="00671A46"/>
    <w:rsid w:val="00673B53"/>
    <w:rsid w:val="00673CB2"/>
    <w:rsid w:val="00674AEA"/>
    <w:rsid w:val="006766ED"/>
    <w:rsid w:val="00677A91"/>
    <w:rsid w:val="00680B4C"/>
    <w:rsid w:val="00680F6A"/>
    <w:rsid w:val="0068254E"/>
    <w:rsid w:val="006921E1"/>
    <w:rsid w:val="006928D5"/>
    <w:rsid w:val="006931A3"/>
    <w:rsid w:val="006944ED"/>
    <w:rsid w:val="00694525"/>
    <w:rsid w:val="00694918"/>
    <w:rsid w:val="006949BF"/>
    <w:rsid w:val="006A242A"/>
    <w:rsid w:val="006A309E"/>
    <w:rsid w:val="006A546A"/>
    <w:rsid w:val="006A5A12"/>
    <w:rsid w:val="006A69ED"/>
    <w:rsid w:val="006B0239"/>
    <w:rsid w:val="006B0855"/>
    <w:rsid w:val="006B202A"/>
    <w:rsid w:val="006B25CB"/>
    <w:rsid w:val="006B3487"/>
    <w:rsid w:val="006B5D87"/>
    <w:rsid w:val="006C1200"/>
    <w:rsid w:val="006D0362"/>
    <w:rsid w:val="006D70ED"/>
    <w:rsid w:val="006E2970"/>
    <w:rsid w:val="006E4FCD"/>
    <w:rsid w:val="006E510A"/>
    <w:rsid w:val="006E5F32"/>
    <w:rsid w:val="006E7763"/>
    <w:rsid w:val="006F0C31"/>
    <w:rsid w:val="006F19CE"/>
    <w:rsid w:val="006F26B1"/>
    <w:rsid w:val="006F37C8"/>
    <w:rsid w:val="006F4B25"/>
    <w:rsid w:val="006F50EA"/>
    <w:rsid w:val="006F5291"/>
    <w:rsid w:val="006F5E5D"/>
    <w:rsid w:val="006F6496"/>
    <w:rsid w:val="006F7681"/>
    <w:rsid w:val="007028B0"/>
    <w:rsid w:val="00702B7E"/>
    <w:rsid w:val="0070537F"/>
    <w:rsid w:val="007055EA"/>
    <w:rsid w:val="00705D05"/>
    <w:rsid w:val="00711255"/>
    <w:rsid w:val="00711675"/>
    <w:rsid w:val="007126D3"/>
    <w:rsid w:val="00712E9A"/>
    <w:rsid w:val="007148C4"/>
    <w:rsid w:val="007230BA"/>
    <w:rsid w:val="00727692"/>
    <w:rsid w:val="00730ECF"/>
    <w:rsid w:val="0073266D"/>
    <w:rsid w:val="00733590"/>
    <w:rsid w:val="00733CB1"/>
    <w:rsid w:val="00735089"/>
    <w:rsid w:val="00736348"/>
    <w:rsid w:val="0073697C"/>
    <w:rsid w:val="007433C5"/>
    <w:rsid w:val="00743727"/>
    <w:rsid w:val="00743EA0"/>
    <w:rsid w:val="007444CA"/>
    <w:rsid w:val="00744DB7"/>
    <w:rsid w:val="00747CAD"/>
    <w:rsid w:val="00750457"/>
    <w:rsid w:val="00750D21"/>
    <w:rsid w:val="007514EE"/>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39A6"/>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4EA4"/>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3F09"/>
    <w:rsid w:val="008342B0"/>
    <w:rsid w:val="00837CD9"/>
    <w:rsid w:val="00840E51"/>
    <w:rsid w:val="00843091"/>
    <w:rsid w:val="008433A7"/>
    <w:rsid w:val="0085227A"/>
    <w:rsid w:val="00854AE3"/>
    <w:rsid w:val="00856C8A"/>
    <w:rsid w:val="00857D85"/>
    <w:rsid w:val="00861357"/>
    <w:rsid w:val="00861B92"/>
    <w:rsid w:val="00861E78"/>
    <w:rsid w:val="0087236F"/>
    <w:rsid w:val="008801F4"/>
    <w:rsid w:val="00880FE0"/>
    <w:rsid w:val="008814FB"/>
    <w:rsid w:val="00884392"/>
    <w:rsid w:val="008843D7"/>
    <w:rsid w:val="0088469B"/>
    <w:rsid w:val="00887B4E"/>
    <w:rsid w:val="00895C24"/>
    <w:rsid w:val="008A08A2"/>
    <w:rsid w:val="008A6492"/>
    <w:rsid w:val="008A7F87"/>
    <w:rsid w:val="008B19DF"/>
    <w:rsid w:val="008B1B9F"/>
    <w:rsid w:val="008B3C84"/>
    <w:rsid w:val="008B5091"/>
    <w:rsid w:val="008C0597"/>
    <w:rsid w:val="008C1ABE"/>
    <w:rsid w:val="008C5646"/>
    <w:rsid w:val="008C585C"/>
    <w:rsid w:val="008C5B58"/>
    <w:rsid w:val="008C5E9C"/>
    <w:rsid w:val="008C757D"/>
    <w:rsid w:val="008D1D52"/>
    <w:rsid w:val="008D1F91"/>
    <w:rsid w:val="008D40CD"/>
    <w:rsid w:val="008D5C98"/>
    <w:rsid w:val="008E1741"/>
    <w:rsid w:val="008E6DD0"/>
    <w:rsid w:val="008F04D6"/>
    <w:rsid w:val="008F19F0"/>
    <w:rsid w:val="008F1D5A"/>
    <w:rsid w:val="008F2F94"/>
    <w:rsid w:val="008F4CA8"/>
    <w:rsid w:val="008F5E30"/>
    <w:rsid w:val="009000EF"/>
    <w:rsid w:val="00900992"/>
    <w:rsid w:val="00901998"/>
    <w:rsid w:val="00901F9C"/>
    <w:rsid w:val="009044E1"/>
    <w:rsid w:val="00905479"/>
    <w:rsid w:val="009132A7"/>
    <w:rsid w:val="00914D7F"/>
    <w:rsid w:val="00915AE6"/>
    <w:rsid w:val="009170E3"/>
    <w:rsid w:val="009215F2"/>
    <w:rsid w:val="00931737"/>
    <w:rsid w:val="009322F0"/>
    <w:rsid w:val="00932D54"/>
    <w:rsid w:val="00933BA4"/>
    <w:rsid w:val="009447C5"/>
    <w:rsid w:val="00944BD2"/>
    <w:rsid w:val="009460D8"/>
    <w:rsid w:val="0094728C"/>
    <w:rsid w:val="009501E9"/>
    <w:rsid w:val="00950EE2"/>
    <w:rsid w:val="00951620"/>
    <w:rsid w:val="00952177"/>
    <w:rsid w:val="00954608"/>
    <w:rsid w:val="009605DF"/>
    <w:rsid w:val="00961079"/>
    <w:rsid w:val="0096150D"/>
    <w:rsid w:val="0096171A"/>
    <w:rsid w:val="009623B5"/>
    <w:rsid w:val="00963152"/>
    <w:rsid w:val="009648D8"/>
    <w:rsid w:val="00964DF6"/>
    <w:rsid w:val="00965244"/>
    <w:rsid w:val="00965AEE"/>
    <w:rsid w:val="00966277"/>
    <w:rsid w:val="00967AE0"/>
    <w:rsid w:val="009701AE"/>
    <w:rsid w:val="00971385"/>
    <w:rsid w:val="00972056"/>
    <w:rsid w:val="00972BD3"/>
    <w:rsid w:val="00974B04"/>
    <w:rsid w:val="00975299"/>
    <w:rsid w:val="009836BF"/>
    <w:rsid w:val="00983DAF"/>
    <w:rsid w:val="0098723D"/>
    <w:rsid w:val="00992DC6"/>
    <w:rsid w:val="00993860"/>
    <w:rsid w:val="00994311"/>
    <w:rsid w:val="00997792"/>
    <w:rsid w:val="009A070B"/>
    <w:rsid w:val="009A2431"/>
    <w:rsid w:val="009A5F82"/>
    <w:rsid w:val="009B06BC"/>
    <w:rsid w:val="009B0F82"/>
    <w:rsid w:val="009B6547"/>
    <w:rsid w:val="009B7B99"/>
    <w:rsid w:val="009C033C"/>
    <w:rsid w:val="009C227B"/>
    <w:rsid w:val="009C60B5"/>
    <w:rsid w:val="009C6894"/>
    <w:rsid w:val="009C68A0"/>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2760"/>
    <w:rsid w:val="009F6413"/>
    <w:rsid w:val="00A00B99"/>
    <w:rsid w:val="00A02944"/>
    <w:rsid w:val="00A0673D"/>
    <w:rsid w:val="00A07945"/>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541"/>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3E8A"/>
    <w:rsid w:val="00AD4093"/>
    <w:rsid w:val="00AD55C3"/>
    <w:rsid w:val="00AD6267"/>
    <w:rsid w:val="00AE0DDD"/>
    <w:rsid w:val="00AE135C"/>
    <w:rsid w:val="00AE1EF2"/>
    <w:rsid w:val="00AE205D"/>
    <w:rsid w:val="00AE36D0"/>
    <w:rsid w:val="00AF108A"/>
    <w:rsid w:val="00AF1BE5"/>
    <w:rsid w:val="00AF6F66"/>
    <w:rsid w:val="00AF7399"/>
    <w:rsid w:val="00AF7B61"/>
    <w:rsid w:val="00AF7D51"/>
    <w:rsid w:val="00B014E3"/>
    <w:rsid w:val="00B025EB"/>
    <w:rsid w:val="00B02E55"/>
    <w:rsid w:val="00B036C1"/>
    <w:rsid w:val="00B03C58"/>
    <w:rsid w:val="00B03DBB"/>
    <w:rsid w:val="00B04B9B"/>
    <w:rsid w:val="00B0529F"/>
    <w:rsid w:val="00B0537F"/>
    <w:rsid w:val="00B06BE9"/>
    <w:rsid w:val="00B100BD"/>
    <w:rsid w:val="00B10607"/>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35D3A"/>
    <w:rsid w:val="00B50444"/>
    <w:rsid w:val="00B52163"/>
    <w:rsid w:val="00B528D8"/>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4E36"/>
    <w:rsid w:val="00B850E4"/>
    <w:rsid w:val="00B9077E"/>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271F"/>
    <w:rsid w:val="00C13F45"/>
    <w:rsid w:val="00C14A9D"/>
    <w:rsid w:val="00C14F15"/>
    <w:rsid w:val="00C16471"/>
    <w:rsid w:val="00C16F60"/>
    <w:rsid w:val="00C20194"/>
    <w:rsid w:val="00C20BC6"/>
    <w:rsid w:val="00C22C9A"/>
    <w:rsid w:val="00C242A1"/>
    <w:rsid w:val="00C24746"/>
    <w:rsid w:val="00C249B9"/>
    <w:rsid w:val="00C266CC"/>
    <w:rsid w:val="00C30015"/>
    <w:rsid w:val="00C32F16"/>
    <w:rsid w:val="00C35EC0"/>
    <w:rsid w:val="00C372E6"/>
    <w:rsid w:val="00C379E7"/>
    <w:rsid w:val="00C40A81"/>
    <w:rsid w:val="00C41F05"/>
    <w:rsid w:val="00C4288A"/>
    <w:rsid w:val="00C42F39"/>
    <w:rsid w:val="00C43618"/>
    <w:rsid w:val="00C43C2D"/>
    <w:rsid w:val="00C46D8E"/>
    <w:rsid w:val="00C50746"/>
    <w:rsid w:val="00C537F0"/>
    <w:rsid w:val="00C57011"/>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18CE"/>
    <w:rsid w:val="00C924A0"/>
    <w:rsid w:val="00C926F6"/>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26F3"/>
    <w:rsid w:val="00CF58B7"/>
    <w:rsid w:val="00CF7F7A"/>
    <w:rsid w:val="00D01580"/>
    <w:rsid w:val="00D0460E"/>
    <w:rsid w:val="00D05B58"/>
    <w:rsid w:val="00D10B71"/>
    <w:rsid w:val="00D1103C"/>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B4211"/>
    <w:rsid w:val="00DB5DD3"/>
    <w:rsid w:val="00DC23C3"/>
    <w:rsid w:val="00DD1E97"/>
    <w:rsid w:val="00DD3C48"/>
    <w:rsid w:val="00DD7AFC"/>
    <w:rsid w:val="00DE1EEC"/>
    <w:rsid w:val="00DE22F7"/>
    <w:rsid w:val="00DE2E6B"/>
    <w:rsid w:val="00DE3C33"/>
    <w:rsid w:val="00DE50A9"/>
    <w:rsid w:val="00DE59B5"/>
    <w:rsid w:val="00DE5F09"/>
    <w:rsid w:val="00DF198B"/>
    <w:rsid w:val="00DF1C24"/>
    <w:rsid w:val="00DF46C0"/>
    <w:rsid w:val="00E027F5"/>
    <w:rsid w:val="00E0450A"/>
    <w:rsid w:val="00E069B5"/>
    <w:rsid w:val="00E07998"/>
    <w:rsid w:val="00E1272E"/>
    <w:rsid w:val="00E13AF5"/>
    <w:rsid w:val="00E17DE3"/>
    <w:rsid w:val="00E21AA7"/>
    <w:rsid w:val="00E222D4"/>
    <w:rsid w:val="00E30F37"/>
    <w:rsid w:val="00E31640"/>
    <w:rsid w:val="00E3419E"/>
    <w:rsid w:val="00E363D3"/>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0AD"/>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4E78"/>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3298"/>
    <w:rsid w:val="00F055F1"/>
    <w:rsid w:val="00F06675"/>
    <w:rsid w:val="00F07E97"/>
    <w:rsid w:val="00F100D1"/>
    <w:rsid w:val="00F11B13"/>
    <w:rsid w:val="00F11C4D"/>
    <w:rsid w:val="00F12AA9"/>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BFE"/>
    <w:rsid w:val="00F56D99"/>
    <w:rsid w:val="00F610AF"/>
    <w:rsid w:val="00F61E43"/>
    <w:rsid w:val="00F62A3E"/>
    <w:rsid w:val="00F64445"/>
    <w:rsid w:val="00F65230"/>
    <w:rsid w:val="00F66DC1"/>
    <w:rsid w:val="00F70741"/>
    <w:rsid w:val="00F71C58"/>
    <w:rsid w:val="00F74BD0"/>
    <w:rsid w:val="00F75CEB"/>
    <w:rsid w:val="00F76FFA"/>
    <w:rsid w:val="00F801B1"/>
    <w:rsid w:val="00F80FF4"/>
    <w:rsid w:val="00F82D59"/>
    <w:rsid w:val="00F83988"/>
    <w:rsid w:val="00F843E3"/>
    <w:rsid w:val="00F8734C"/>
    <w:rsid w:val="00F90088"/>
    <w:rsid w:val="00F900F4"/>
    <w:rsid w:val="00F94A3D"/>
    <w:rsid w:val="00F950D2"/>
    <w:rsid w:val="00F95115"/>
    <w:rsid w:val="00F95A82"/>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2384"/>
    <w:rsid w:val="00FE3220"/>
    <w:rsid w:val="00FE3A12"/>
    <w:rsid w:val="00FE5052"/>
    <w:rsid w:val="00FE5200"/>
    <w:rsid w:val="00FE54E0"/>
    <w:rsid w:val="00FE57EC"/>
    <w:rsid w:val="00FE6538"/>
    <w:rsid w:val="00FE71BF"/>
    <w:rsid w:val="00FE730F"/>
    <w:rsid w:val="00FE7396"/>
    <w:rsid w:val="00FF0433"/>
    <w:rsid w:val="00FF0BEC"/>
    <w:rsid w:val="00FF61E7"/>
    <w:rsid w:val="00FF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 w:type="paragraph" w:customStyle="1" w:styleId="NICEnormal">
    <w:name w:val="NICE normal"/>
    <w:link w:val="NICEnormalChar"/>
    <w:qFormat/>
    <w:rsid w:val="00C926F6"/>
    <w:pPr>
      <w:spacing w:after="240" w:line="360" w:lineRule="auto"/>
    </w:pPr>
    <w:rPr>
      <w:rFonts w:ascii="Arial" w:hAnsi="Arial"/>
      <w:sz w:val="24"/>
      <w:szCs w:val="24"/>
      <w:lang w:val="en-US" w:eastAsia="en-US"/>
    </w:rPr>
  </w:style>
  <w:style w:type="character" w:customStyle="1" w:styleId="NICEnormalChar">
    <w:name w:val="NICE normal Char"/>
    <w:link w:val="NICEnormal"/>
    <w:rsid w:val="00C926F6"/>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guidance/ng5" TargetMode="External"/><Relationship Id="rId18" Type="http://schemas.openxmlformats.org/officeDocument/2006/relationships/hyperlink" Target="https://www.gov.uk/government/publications/prescribed-medicines-review-report"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nice.org.uk/guidance/ng215" TargetMode="External"/><Relationship Id="rId17" Type="http://schemas.openxmlformats.org/officeDocument/2006/relationships/hyperlink" Target="https://www.gov.uk/government/publications/prescribed-medicines-review-report" TargetMode="External"/><Relationship Id="rId2" Type="http://schemas.openxmlformats.org/officeDocument/2006/relationships/customXml" Target="../customXml/item2.xml"/><Relationship Id="rId16" Type="http://schemas.openxmlformats.org/officeDocument/2006/relationships/hyperlink" Target="https://www.gov.uk/government/publications/prescribed-medicines-review-re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ks.nice.org.uk/topics/chronic-pain/" TargetMode="External"/><Relationship Id="rId5" Type="http://schemas.openxmlformats.org/officeDocument/2006/relationships/settings" Target="settings.xml"/><Relationship Id="rId15" Type="http://schemas.openxmlformats.org/officeDocument/2006/relationships/hyperlink" Target="https://www.gov.uk/government/publications/prescribed-medicines-review-report" TargetMode="External"/><Relationship Id="rId23" Type="http://schemas.openxmlformats.org/officeDocument/2006/relationships/theme" Target="theme/theme1.xml"/><Relationship Id="rId10" Type="http://schemas.openxmlformats.org/officeDocument/2006/relationships/hyperlink" Target="https://www.nice.org.uk/guidance/ng193" TargetMode="External"/><Relationship Id="rId19" Type="http://schemas.openxmlformats.org/officeDocument/2006/relationships/hyperlink" Target="https://www.gov.uk/government/publications/prescribed-medicines-review-report" TargetMode="External"/><Relationship Id="rId4" Type="http://schemas.openxmlformats.org/officeDocument/2006/relationships/styles" Target="styles.xml"/><Relationship Id="rId9" Type="http://schemas.openxmlformats.org/officeDocument/2006/relationships/hyperlink" Target="https://www.nice.org.uk/standards-and-indicators/indicators" TargetMode="External"/><Relationship Id="rId14" Type="http://schemas.openxmlformats.org/officeDocument/2006/relationships/hyperlink" Target="https://www.nice.org.uk/guidance/cg7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3862</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2026-04-02T14:28:00Z</dcterms:created>
  <dcterms:modified xsi:type="dcterms:W3CDTF">2026-04-02T14:42:00Z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2026-04-02T14:28:08Z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6d9973b8-bd76-4ab8-9266-80c9d8829ff4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