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1604" w14:textId="1F41B138" w:rsidR="00AC7B73" w:rsidRDefault="00AC7B73">
      <w:pPr>
        <w:rPr>
          <w:rFonts w:ascii="Arial" w:eastAsia="Calibri" w:hAnsi="Arial" w:cs="Arial"/>
          <w:bCs/>
          <w:lang w:eastAsia="en-US"/>
        </w:rPr>
      </w:pPr>
      <w:bookmarkStart w:id="0" w:name="_Hlk161153965"/>
    </w:p>
    <w:p w14:paraId="5BD458A4" w14:textId="77777777" w:rsidR="008D1F91" w:rsidRDefault="008D1F91" w:rsidP="008D1F91">
      <w:pPr>
        <w:rPr>
          <w:rFonts w:ascii="Arial" w:eastAsia="Calibri" w:hAnsi="Arial" w:cs="Arial"/>
          <w:bCs/>
          <w:lang w:eastAsia="en-US"/>
        </w:rPr>
      </w:pPr>
    </w:p>
    <w:p w14:paraId="7C596676"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0CBCC9BC" w14:textId="77777777" w:rsidR="008D1F91" w:rsidRDefault="008D1F91" w:rsidP="00A50587">
      <w:pPr>
        <w:pStyle w:val="Paragraphnonumbers"/>
        <w:spacing w:after="0"/>
        <w:jc w:val="center"/>
        <w:rPr>
          <w:b/>
          <w:bCs/>
          <w:sz w:val="32"/>
          <w:szCs w:val="32"/>
        </w:rPr>
      </w:pPr>
    </w:p>
    <w:p w14:paraId="4193F75B"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64853187" w14:textId="77777777" w:rsidR="00D131D5" w:rsidRDefault="00D131D5" w:rsidP="00A50587">
      <w:pPr>
        <w:pStyle w:val="Paragraphnonumbers"/>
        <w:spacing w:after="0"/>
        <w:jc w:val="center"/>
        <w:rPr>
          <w:b/>
          <w:bCs/>
          <w:sz w:val="32"/>
          <w:szCs w:val="32"/>
        </w:rPr>
      </w:pPr>
    </w:p>
    <w:p w14:paraId="64C9EF38"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31EB15C1" w14:textId="77777777" w:rsidR="00E3419E" w:rsidRPr="00310467" w:rsidRDefault="00E3419E" w:rsidP="00A50587">
      <w:pPr>
        <w:pStyle w:val="Paragraphnonumbers"/>
        <w:spacing w:after="0"/>
        <w:jc w:val="center"/>
        <w:rPr>
          <w:b/>
          <w:bCs/>
          <w:sz w:val="32"/>
          <w:szCs w:val="32"/>
        </w:rPr>
      </w:pPr>
    </w:p>
    <w:p w14:paraId="22AE61DC"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6ECF91C" w14:textId="09605519" w:rsidR="00A82E2A" w:rsidRDefault="00DF3039" w:rsidP="00A82E2A">
      <w:pPr>
        <w:pStyle w:val="Heading1"/>
        <w:jc w:val="center"/>
      </w:pPr>
      <w:r>
        <w:t>GID-IND10350</w:t>
      </w:r>
      <w:r w:rsidR="00A82E2A">
        <w:t xml:space="preserve"> </w:t>
      </w:r>
      <w:r w:rsidR="009D2005">
        <w:t>Diabetes: metformin and SGLT-2 inhibitors</w:t>
      </w:r>
      <w:r w:rsidR="000F3CF4">
        <w:t xml:space="preserve"> (T2DM)</w:t>
      </w:r>
    </w:p>
    <w:p w14:paraId="1C1D65E4"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9" w:anchor="how-we-develop-indicators" w:history="1">
        <w:r>
          <w:rPr>
            <w:rStyle w:val="Hyperlink"/>
          </w:rPr>
          <w:t>Indicators process guide</w:t>
        </w:r>
      </w:hyperlink>
      <w:r>
        <w:t>.</w:t>
      </w:r>
    </w:p>
    <w:p w14:paraId="2EDA9094"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11E952D0"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p w14:paraId="3F1AAF42" w14:textId="091B8B14" w:rsidR="006210D3" w:rsidRPr="006210D3" w:rsidRDefault="006210D3" w:rsidP="004C5A80">
      <w:pPr>
        <w:pStyle w:val="Heading2"/>
        <w:spacing w:after="240"/>
      </w:pP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1D9FCA7" w14:textId="77777777" w:rsidTr="00E3419E">
        <w:trPr>
          <w:trHeight w:val="383"/>
        </w:trPr>
        <w:tc>
          <w:tcPr>
            <w:tcW w:w="9721" w:type="dxa"/>
          </w:tcPr>
          <w:p w14:paraId="7DC24B91" w14:textId="77777777"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1B81297E" w14:textId="77777777" w:rsidTr="00C97756">
        <w:trPr>
          <w:trHeight w:val="2643"/>
        </w:trPr>
        <w:tc>
          <w:tcPr>
            <w:tcW w:w="9721" w:type="dxa"/>
          </w:tcPr>
          <w:p w14:paraId="309C5FD7" w14:textId="77777777" w:rsidR="00571F0A" w:rsidRPr="0075252D" w:rsidRDefault="00571F0A" w:rsidP="00571F0A">
            <w:pPr>
              <w:pStyle w:val="Paragraphnonumbers"/>
            </w:pPr>
            <w:hyperlink r:id="rId10" w:history="1">
              <w:r w:rsidRPr="0075252D">
                <w:rPr>
                  <w:rStyle w:val="Hyperlink"/>
                </w:rPr>
                <w:t>NICE Equalities and health inequalities assessmen</w:t>
              </w:r>
              <w:r w:rsidRPr="0075252D">
                <w:rPr>
                  <w:rStyle w:val="Hyperlink"/>
                </w:rPr>
                <w:t>t (EHIA). Type 2 diabetes in adults NG28</w:t>
              </w:r>
            </w:hyperlink>
            <w:r w:rsidRPr="0075252D">
              <w:t xml:space="preserve"> (2026)</w:t>
            </w:r>
          </w:p>
          <w:p w14:paraId="3DE4F9D7" w14:textId="36FD5B17" w:rsidR="00571F0A" w:rsidRPr="0075252D" w:rsidRDefault="00571F0A" w:rsidP="00571F0A">
            <w:pPr>
              <w:pStyle w:val="Paragraphnonumbers"/>
            </w:pPr>
            <w:hyperlink r:id="rId11" w:history="1">
              <w:r w:rsidRPr="0075252D">
                <w:rPr>
                  <w:rStyle w:val="Hyperlink"/>
                </w:rPr>
                <w:t xml:space="preserve">NICE </w:t>
              </w:r>
              <w:r w:rsidRPr="0075252D">
                <w:rPr>
                  <w:rStyle w:val="Hyperlink"/>
                </w:rPr>
                <w:t>health inequalities report</w:t>
              </w:r>
            </w:hyperlink>
            <w:r w:rsidRPr="0075252D">
              <w:t xml:space="preserve"> (2025)</w:t>
            </w:r>
          </w:p>
          <w:p w14:paraId="42BE59A0" w14:textId="7A1596D1" w:rsidR="00F13B90" w:rsidRPr="00D20EB1" w:rsidRDefault="00161DB9" w:rsidP="00D20EB1">
            <w:pPr>
              <w:pStyle w:val="Paragraphnonumbers"/>
              <w:rPr>
                <w:i/>
                <w:iCs/>
              </w:rPr>
            </w:pPr>
            <w:hyperlink r:id="rId12" w:history="1">
              <w:r w:rsidRPr="0075252D">
                <w:rPr>
                  <w:rStyle w:val="Hyperlink"/>
                </w:rPr>
                <w:t>No one left be</w:t>
              </w:r>
              <w:r w:rsidRPr="0075252D">
                <w:rPr>
                  <w:rStyle w:val="Hyperlink"/>
                </w:rPr>
                <w:t>hind. Achieving equity in diabetes: 2025 – 2030 strategy. Diabetes UK</w:t>
              </w:r>
            </w:hyperlink>
            <w:r w:rsidRPr="0075252D">
              <w:t xml:space="preserve"> (2025)</w:t>
            </w:r>
          </w:p>
        </w:tc>
      </w:tr>
    </w:tbl>
    <w:p w14:paraId="45217C7F"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365F31D8" w14:textId="77777777" w:rsidTr="0096171A">
        <w:tc>
          <w:tcPr>
            <w:tcW w:w="9704" w:type="dxa"/>
          </w:tcPr>
          <w:p w14:paraId="30B1F70B"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2BFCEFD7" w14:textId="77777777" w:rsidTr="001553E9">
        <w:tc>
          <w:tcPr>
            <w:tcW w:w="9704" w:type="dxa"/>
          </w:tcPr>
          <w:p w14:paraId="37B21A05" w14:textId="77777777" w:rsidR="00A32D00" w:rsidRPr="00972056" w:rsidRDefault="00A32D00" w:rsidP="00B93D48">
            <w:pPr>
              <w:pStyle w:val="Paragraph"/>
              <w:spacing w:after="0"/>
              <w:rPr>
                <w:i/>
                <w:iCs/>
                <w:highlight w:val="lightGray"/>
              </w:rPr>
            </w:pPr>
          </w:p>
          <w:p w14:paraId="469CF986" w14:textId="77777777" w:rsidR="002E0A2C" w:rsidRPr="00A7277B" w:rsidRDefault="00A32D00" w:rsidP="00A32D00">
            <w:pPr>
              <w:pStyle w:val="Paragraph"/>
              <w:numPr>
                <w:ilvl w:val="0"/>
                <w:numId w:val="21"/>
              </w:numPr>
              <w:spacing w:after="0"/>
              <w:rPr>
                <w:i/>
                <w:iCs/>
              </w:rPr>
            </w:pPr>
            <w:r w:rsidRPr="00A7277B">
              <w:rPr>
                <w:i/>
                <w:iCs/>
              </w:rPr>
              <w:t xml:space="preserve">Protected characteristics outlined in the Equality Act 2010 </w:t>
            </w:r>
          </w:p>
          <w:p w14:paraId="5636085C" w14:textId="77777777" w:rsidR="00544FBD" w:rsidRDefault="002E0A2C" w:rsidP="002E0A2C">
            <w:pPr>
              <w:pStyle w:val="Paragraph"/>
              <w:spacing w:after="0"/>
              <w:ind w:left="360"/>
              <w:rPr>
                <w:i/>
                <w:iCs/>
              </w:rPr>
            </w:pPr>
            <w:r w:rsidRPr="00571F0A">
              <w:t>A</w:t>
            </w:r>
            <w:r w:rsidR="00A32D00" w:rsidRPr="00571F0A">
              <w:t>ge</w:t>
            </w:r>
            <w:r w:rsidRPr="00A7277B">
              <w:rPr>
                <w:i/>
                <w:iCs/>
              </w:rPr>
              <w:t>:</w:t>
            </w:r>
            <w:r w:rsidR="00F13B90" w:rsidRPr="00A7277B">
              <w:rPr>
                <w:i/>
                <w:iCs/>
              </w:rPr>
              <w:t xml:space="preserve"> </w:t>
            </w:r>
          </w:p>
          <w:p w14:paraId="542B8D0B" w14:textId="08D381E7" w:rsidR="00544FBD" w:rsidRDefault="00F13B90" w:rsidP="00544FBD">
            <w:pPr>
              <w:pStyle w:val="Paragraph"/>
              <w:numPr>
                <w:ilvl w:val="0"/>
                <w:numId w:val="44"/>
              </w:numPr>
              <w:spacing w:after="0"/>
            </w:pPr>
            <w:r w:rsidRPr="00544FBD">
              <w:t xml:space="preserve">People with early onset type 2 diabetes (diagnosed under 40 years of age) have a high lifetime risk of </w:t>
            </w:r>
            <w:r w:rsidR="00544FBD">
              <w:t>cardiovascular disease</w:t>
            </w:r>
            <w:r w:rsidRPr="00544FBD">
              <w:t xml:space="preserve"> (</w:t>
            </w:r>
            <w:r w:rsidR="004E1C4C" w:rsidRPr="00544FBD">
              <w:t xml:space="preserve">NICE </w:t>
            </w:r>
            <w:r w:rsidRPr="00544FBD">
              <w:t>EHIA NG28, 2026)</w:t>
            </w:r>
          </w:p>
          <w:p w14:paraId="7D4FC0B9" w14:textId="4F78B8BD" w:rsidR="00C8281D" w:rsidRPr="00544FBD" w:rsidRDefault="00C8281D" w:rsidP="00544FBD">
            <w:pPr>
              <w:pStyle w:val="Paragraph"/>
              <w:numPr>
                <w:ilvl w:val="0"/>
                <w:numId w:val="44"/>
              </w:numPr>
              <w:spacing w:after="0"/>
            </w:pPr>
            <w:r w:rsidRPr="00544FBD">
              <w:t xml:space="preserve">SGLT-2 inhibitors are under-prescribed </w:t>
            </w:r>
            <w:r w:rsidR="000F7656" w:rsidRPr="00544FBD">
              <w:t>in older people (NICE EHIA NG28, 2026)</w:t>
            </w:r>
          </w:p>
          <w:p w14:paraId="0A1F32AE" w14:textId="77777777" w:rsidR="00544FBD" w:rsidRDefault="002E0A2C" w:rsidP="00F13B90">
            <w:pPr>
              <w:pStyle w:val="Paragraph"/>
              <w:spacing w:after="0"/>
              <w:ind w:left="360"/>
            </w:pPr>
            <w:r w:rsidRPr="00544FBD">
              <w:t>D</w:t>
            </w:r>
            <w:r w:rsidR="00A32D00" w:rsidRPr="00544FBD">
              <w:t>isability</w:t>
            </w:r>
            <w:r w:rsidRPr="00544FBD">
              <w:t>:</w:t>
            </w:r>
            <w:r w:rsidR="00A32D00" w:rsidRPr="00544FBD">
              <w:t xml:space="preserve"> </w:t>
            </w:r>
          </w:p>
          <w:p w14:paraId="7485A23D" w14:textId="3EE91FA6" w:rsidR="002E0A2C" w:rsidRPr="00544FBD" w:rsidRDefault="00A7277B" w:rsidP="00544FBD">
            <w:pPr>
              <w:pStyle w:val="Paragraph"/>
              <w:numPr>
                <w:ilvl w:val="0"/>
                <w:numId w:val="45"/>
              </w:numPr>
              <w:spacing w:after="0"/>
            </w:pPr>
            <w:r w:rsidRPr="00544FBD">
              <w:t>People with a learning disability are more likely to have</w:t>
            </w:r>
            <w:r w:rsidR="00C87F10">
              <w:t xml:space="preserve"> type 2 </w:t>
            </w:r>
            <w:r w:rsidRPr="00544FBD">
              <w:t>diabetes, and at a younger age, than the general population. This is most likely due to the higher prevalence of obesity and physical inactivity in this cohort which are largely driven by social factors (NICE EHIA NG28, 2026)</w:t>
            </w:r>
          </w:p>
          <w:p w14:paraId="45ADE4D0" w14:textId="5DEBF828" w:rsidR="002E0A2C" w:rsidRPr="0075252D" w:rsidRDefault="002E0A2C" w:rsidP="002E0A2C">
            <w:pPr>
              <w:pStyle w:val="Paragraph"/>
              <w:spacing w:after="0"/>
              <w:ind w:left="360"/>
            </w:pPr>
            <w:r w:rsidRPr="0075252D">
              <w:t>G</w:t>
            </w:r>
            <w:r w:rsidR="00A32D00" w:rsidRPr="0075252D">
              <w:t>ender reassignment</w:t>
            </w:r>
            <w:r w:rsidRPr="0075252D">
              <w:t>:</w:t>
            </w:r>
            <w:r w:rsidR="00544FBD" w:rsidRPr="0075252D">
              <w:t xml:space="preserve"> No issues identified from sources consulted.</w:t>
            </w:r>
          </w:p>
          <w:p w14:paraId="3B2FD3B5" w14:textId="0E2EDAB7" w:rsidR="002E0A2C" w:rsidRPr="0075252D" w:rsidRDefault="002E0A2C" w:rsidP="002E0A2C">
            <w:pPr>
              <w:pStyle w:val="Paragraph"/>
              <w:spacing w:after="0"/>
              <w:ind w:left="360"/>
            </w:pPr>
            <w:r w:rsidRPr="0075252D">
              <w:t>P</w:t>
            </w:r>
            <w:r w:rsidR="00A32D00" w:rsidRPr="0075252D">
              <w:t>regnancy and maternity</w:t>
            </w:r>
            <w:r w:rsidRPr="0075252D">
              <w:t>:</w:t>
            </w:r>
            <w:r w:rsidR="00544FBD" w:rsidRPr="0075252D">
              <w:t xml:space="preserve"> No issues identified from sources consulted.</w:t>
            </w:r>
          </w:p>
          <w:p w14:paraId="48E6DFF6" w14:textId="77777777" w:rsidR="00544FBD" w:rsidRPr="00544FBD" w:rsidRDefault="002E0A2C" w:rsidP="002E0A2C">
            <w:pPr>
              <w:pStyle w:val="Paragraph"/>
              <w:spacing w:after="0"/>
              <w:ind w:left="360"/>
            </w:pPr>
            <w:r w:rsidRPr="00544FBD">
              <w:t>Ra</w:t>
            </w:r>
            <w:r w:rsidR="00A32D00" w:rsidRPr="00544FBD">
              <w:t>ce</w:t>
            </w:r>
            <w:r w:rsidRPr="00544FBD">
              <w:t>:</w:t>
            </w:r>
            <w:r w:rsidR="00A32D00" w:rsidRPr="00544FBD">
              <w:t xml:space="preserve"> </w:t>
            </w:r>
          </w:p>
          <w:p w14:paraId="5717C77E" w14:textId="77777777" w:rsidR="00544FBD" w:rsidRPr="00544FBD" w:rsidRDefault="00161DB9" w:rsidP="00544FBD">
            <w:pPr>
              <w:pStyle w:val="Paragraph"/>
              <w:numPr>
                <w:ilvl w:val="0"/>
                <w:numId w:val="46"/>
              </w:numPr>
              <w:spacing w:after="0"/>
            </w:pPr>
            <w:r w:rsidRPr="00544FBD">
              <w:t>People from South Asian (particularly Bangladeshi and Pakistani), Black African and Black Caribbean communities have a higher risk of developing type 2 diabetes, face inequities in access to care and treatments and experience worse outcomes. Factors like disability, gender and postcode intersect with ethnicity and economic status to deepen disparity (Diabetes UK, 2025)</w:t>
            </w:r>
          </w:p>
          <w:p w14:paraId="58CEAC89" w14:textId="726D8191" w:rsidR="00C8281D" w:rsidRPr="00544FBD" w:rsidRDefault="00C8281D" w:rsidP="00544FBD">
            <w:pPr>
              <w:pStyle w:val="Paragraph"/>
              <w:numPr>
                <w:ilvl w:val="0"/>
                <w:numId w:val="46"/>
              </w:numPr>
              <w:spacing w:after="0"/>
            </w:pPr>
            <w:r w:rsidRPr="00544FBD">
              <w:t xml:space="preserve">SGLT-2 inhibitors are under-prescribed for people </w:t>
            </w:r>
            <w:r w:rsidR="004E1C4C" w:rsidRPr="00544FBD">
              <w:t>from</w:t>
            </w:r>
            <w:r w:rsidRPr="00544FBD">
              <w:t xml:space="preserve"> some </w:t>
            </w:r>
            <w:r w:rsidR="004E1C4C" w:rsidRPr="00544FBD">
              <w:t>ethnic backgrounds (NICE EHIA NG28, 2026)</w:t>
            </w:r>
          </w:p>
          <w:p w14:paraId="1BD8DA0F" w14:textId="3738840E" w:rsidR="002E0A2C" w:rsidRPr="00544FBD" w:rsidRDefault="002E0A2C" w:rsidP="002E0A2C">
            <w:pPr>
              <w:pStyle w:val="Paragraph"/>
              <w:spacing w:after="0"/>
              <w:ind w:left="360"/>
            </w:pPr>
            <w:r w:rsidRPr="00544FBD">
              <w:t>R</w:t>
            </w:r>
            <w:r w:rsidR="00A32D00" w:rsidRPr="00544FBD">
              <w:t>eligion or belief</w:t>
            </w:r>
            <w:r w:rsidRPr="00544FBD">
              <w:t>:</w:t>
            </w:r>
            <w:r w:rsidR="00544FBD" w:rsidRPr="00544FBD">
              <w:t xml:space="preserve"> No issues identified from sources consulted.</w:t>
            </w:r>
          </w:p>
          <w:p w14:paraId="69322333" w14:textId="79D7B43D" w:rsidR="002E0A2C" w:rsidRPr="00544FBD" w:rsidRDefault="002E0A2C" w:rsidP="002E0A2C">
            <w:pPr>
              <w:pStyle w:val="Paragraph"/>
              <w:spacing w:after="0"/>
              <w:ind w:left="360"/>
            </w:pPr>
            <w:r w:rsidRPr="00544FBD">
              <w:lastRenderedPageBreak/>
              <w:t>Se</w:t>
            </w:r>
            <w:r w:rsidR="00A32D00" w:rsidRPr="00544FBD">
              <w:t>x</w:t>
            </w:r>
            <w:r w:rsidRPr="00544FBD">
              <w:t>:</w:t>
            </w:r>
            <w:r w:rsidR="00F13B90" w:rsidRPr="00544FBD">
              <w:t xml:space="preserve"> SGLT-2 inhibitors are under-</w:t>
            </w:r>
            <w:r w:rsidR="00C8281D" w:rsidRPr="00544FBD">
              <w:t>prescribed</w:t>
            </w:r>
            <w:r w:rsidR="00F13B90" w:rsidRPr="00544FBD">
              <w:t xml:space="preserve"> in </w:t>
            </w:r>
            <w:r w:rsidR="00C8281D" w:rsidRPr="00544FBD">
              <w:t>women</w:t>
            </w:r>
            <w:r w:rsidR="00912DA3" w:rsidRPr="00544FBD">
              <w:t xml:space="preserve"> (NICE EHIA NG28, 2026)</w:t>
            </w:r>
          </w:p>
          <w:p w14:paraId="437D4CBE" w14:textId="2C398F3B" w:rsidR="00A32D00" w:rsidRDefault="002E0A2C" w:rsidP="002E0A2C">
            <w:pPr>
              <w:pStyle w:val="Paragraph"/>
              <w:spacing w:after="0"/>
              <w:ind w:left="360"/>
            </w:pPr>
            <w:r w:rsidRPr="00544FBD">
              <w:t>S</w:t>
            </w:r>
            <w:r w:rsidR="00A32D00" w:rsidRPr="00544FBD">
              <w:t>exual orientation</w:t>
            </w:r>
            <w:r w:rsidRPr="00544FBD">
              <w:t>:</w:t>
            </w:r>
            <w:r w:rsidR="00544FBD" w:rsidRPr="00544FBD">
              <w:t xml:space="preserve"> No issues identified from sources consulted.</w:t>
            </w:r>
          </w:p>
          <w:p w14:paraId="07D9F444" w14:textId="77777777" w:rsidR="0075252D" w:rsidRPr="00544FBD" w:rsidRDefault="0075252D" w:rsidP="002E0A2C">
            <w:pPr>
              <w:pStyle w:val="Paragraph"/>
              <w:spacing w:after="0"/>
              <w:ind w:left="360"/>
            </w:pPr>
          </w:p>
          <w:p w14:paraId="5A47CF79" w14:textId="77777777" w:rsidR="00544FBD" w:rsidRPr="00544FBD" w:rsidRDefault="00A32D00" w:rsidP="00A7277B">
            <w:pPr>
              <w:pStyle w:val="Paragraph"/>
              <w:numPr>
                <w:ilvl w:val="0"/>
                <w:numId w:val="21"/>
              </w:numPr>
              <w:spacing w:after="0"/>
            </w:pPr>
            <w:r w:rsidRPr="00544FBD">
              <w:t>Socioeconomic status and deprivation (for example, variation by area deprivation such as Index of Multiple Deprivation, National Statistics Socio-economic Classification, employment status, income)</w:t>
            </w:r>
            <w:r w:rsidR="00F32B59" w:rsidRPr="00544FBD">
              <w:t xml:space="preserve">: </w:t>
            </w:r>
          </w:p>
          <w:p w14:paraId="3465029E" w14:textId="77777777" w:rsidR="00544FBD" w:rsidRPr="00544FBD" w:rsidRDefault="00161DB9" w:rsidP="00544FBD">
            <w:pPr>
              <w:pStyle w:val="Paragraph"/>
              <w:numPr>
                <w:ilvl w:val="1"/>
                <w:numId w:val="21"/>
              </w:numPr>
              <w:spacing w:after="0"/>
            </w:pPr>
            <w:r w:rsidRPr="00544FBD">
              <w:t>People living in poverty have a higher risk of developing</w:t>
            </w:r>
            <w:r w:rsidR="00F32B59" w:rsidRPr="00544FBD">
              <w:t xml:space="preserve"> type 2 diabetes </w:t>
            </w:r>
            <w:r w:rsidRPr="00544FBD">
              <w:t>and face inequities in access to care and treatments. People from the most deprived areas of the UK are more likely to develop type 2 diabetes and at a younger age than those from the least deprived.</w:t>
            </w:r>
            <w:r w:rsidR="00F32B59" w:rsidRPr="00544FBD">
              <w:t xml:space="preserve"> (Diabetes UK, 202</w:t>
            </w:r>
            <w:r w:rsidRPr="00544FBD">
              <w:t>5</w:t>
            </w:r>
            <w:r w:rsidR="004E1C4C" w:rsidRPr="00544FBD">
              <w:t xml:space="preserve">). </w:t>
            </w:r>
          </w:p>
          <w:p w14:paraId="13539F32" w14:textId="766ADE4D" w:rsidR="00544FBD" w:rsidRPr="00544FBD" w:rsidRDefault="004E1C4C" w:rsidP="00544FBD">
            <w:pPr>
              <w:pStyle w:val="Paragraph"/>
              <w:numPr>
                <w:ilvl w:val="1"/>
                <w:numId w:val="21"/>
              </w:numPr>
              <w:spacing w:after="0"/>
            </w:pPr>
            <w:r w:rsidRPr="00544FBD">
              <w:t xml:space="preserve">SGLT-2 inhibitors are under-prescribed for people who live in </w:t>
            </w:r>
            <w:r w:rsidR="00C4048C">
              <w:t xml:space="preserve">an </w:t>
            </w:r>
            <w:r w:rsidRPr="00544FBD">
              <w:t>area with a higher level of deprivation (NICE EHIA NG28, 2026)</w:t>
            </w:r>
            <w:r w:rsidR="00A7277B" w:rsidRPr="00544FBD">
              <w:t xml:space="preserve">. </w:t>
            </w:r>
          </w:p>
          <w:p w14:paraId="715372C2" w14:textId="0A60A9F0" w:rsidR="00A7277B" w:rsidRDefault="00A7277B" w:rsidP="00544FBD">
            <w:pPr>
              <w:pStyle w:val="Paragraph"/>
              <w:numPr>
                <w:ilvl w:val="1"/>
                <w:numId w:val="21"/>
              </w:numPr>
              <w:spacing w:after="0"/>
            </w:pPr>
            <w:r w:rsidRPr="00544FBD">
              <w:t>Prevalence of type 2 diabetes and a given comorbidity (for example living with obesity, high risk of cardiovascular disease) is highest among groups living in the most deprived areas (NICE health inequalities report, 2025).</w:t>
            </w:r>
          </w:p>
          <w:p w14:paraId="65923912" w14:textId="77777777" w:rsidR="0075252D" w:rsidRPr="00544FBD" w:rsidRDefault="0075252D" w:rsidP="0075252D">
            <w:pPr>
              <w:pStyle w:val="Paragraph"/>
              <w:spacing w:after="0"/>
              <w:ind w:left="1080"/>
            </w:pPr>
          </w:p>
          <w:p w14:paraId="507CE791" w14:textId="1C7295DD" w:rsidR="00A32D00" w:rsidRDefault="00A32D00" w:rsidP="00A32D00">
            <w:pPr>
              <w:pStyle w:val="Paragraph"/>
              <w:numPr>
                <w:ilvl w:val="0"/>
                <w:numId w:val="21"/>
              </w:numPr>
              <w:spacing w:after="0"/>
            </w:pPr>
            <w:r w:rsidRPr="00544FBD">
              <w:t>Geographical area variation (for example, geographical differences in epidemiology or service provision- urban/rural, coastal, north/south)</w:t>
            </w:r>
            <w:r w:rsidR="00544FBD" w:rsidRPr="00544FBD">
              <w:t xml:space="preserve">: No issues identified from sources consulted. </w:t>
            </w:r>
          </w:p>
          <w:p w14:paraId="7986871A" w14:textId="77777777" w:rsidR="0075252D" w:rsidRPr="00544FBD" w:rsidRDefault="0075252D" w:rsidP="0075252D">
            <w:pPr>
              <w:pStyle w:val="Paragraph"/>
              <w:spacing w:after="0"/>
              <w:ind w:left="360"/>
            </w:pPr>
          </w:p>
          <w:p w14:paraId="58CC2D91" w14:textId="193B2145" w:rsidR="00EF1567" w:rsidRPr="0075252D" w:rsidRDefault="00A32D00" w:rsidP="00247034">
            <w:pPr>
              <w:pStyle w:val="Paragraph"/>
              <w:numPr>
                <w:ilvl w:val="0"/>
                <w:numId w:val="21"/>
              </w:numPr>
            </w:pPr>
            <w:r w:rsidRPr="00544FBD">
              <w:t>Inclusion health and vulnerable groups</w:t>
            </w:r>
            <w:r w:rsidR="00247034" w:rsidRPr="00544FBD">
              <w:t xml:space="preserve"> (for example, vulnerable migrants, people experiencing homelessness, people in contact with the criminal justice system, sex workers, Gypsy, Roma and Traveller communities, young people leaving care and victims of trafficking)</w:t>
            </w:r>
            <w:r w:rsidR="00544FBD" w:rsidRPr="00544FBD">
              <w:t>: No issues identified from sources consulted.</w:t>
            </w:r>
          </w:p>
        </w:tc>
      </w:tr>
    </w:tbl>
    <w:p w14:paraId="2189CE9E"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25B6B577" w14:textId="77777777" w:rsidTr="0028668F">
        <w:trPr>
          <w:trHeight w:val="598"/>
        </w:trPr>
        <w:tc>
          <w:tcPr>
            <w:tcW w:w="9781" w:type="dxa"/>
          </w:tcPr>
          <w:p w14:paraId="3EC85020"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0D0AE250" w14:textId="77777777" w:rsidTr="0075252D">
        <w:trPr>
          <w:trHeight w:val="2259"/>
        </w:trPr>
        <w:tc>
          <w:tcPr>
            <w:tcW w:w="9781" w:type="dxa"/>
          </w:tcPr>
          <w:p w14:paraId="6D5C67E6" w14:textId="0228B217" w:rsidR="00544FBD" w:rsidRPr="00544FBD" w:rsidRDefault="00544FBD" w:rsidP="0028668F">
            <w:pPr>
              <w:pStyle w:val="Paragraph"/>
              <w:rPr>
                <w:iCs/>
              </w:rPr>
            </w:pPr>
            <w:r w:rsidRPr="00544FBD">
              <w:rPr>
                <w:iCs/>
              </w:rPr>
              <w:t xml:space="preserve">The committee considered the higher risk of cardiovascular disease in people with early-onset type 2 diabetes and advised that a separate indicator on metformin and SGLT-2 inhibitor prescribing </w:t>
            </w:r>
            <w:r>
              <w:rPr>
                <w:iCs/>
              </w:rPr>
              <w:t>focusing on</w:t>
            </w:r>
            <w:r w:rsidRPr="00544FBD">
              <w:rPr>
                <w:iCs/>
              </w:rPr>
              <w:t xml:space="preserve"> this population should progress to the next stage of indicator development</w:t>
            </w:r>
            <w:r>
              <w:rPr>
                <w:iCs/>
              </w:rPr>
              <w:t xml:space="preserve">, in addition to </w:t>
            </w:r>
            <w:r w:rsidR="00DF3039">
              <w:rPr>
                <w:iCs/>
              </w:rPr>
              <w:t>GID-IND10350</w:t>
            </w:r>
            <w:r w:rsidRPr="00544FBD">
              <w:rPr>
                <w:iCs/>
              </w:rPr>
              <w:t xml:space="preserve">. </w:t>
            </w:r>
          </w:p>
        </w:tc>
      </w:tr>
    </w:tbl>
    <w:p w14:paraId="7598BEFF"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70EDC210" w14:textId="77777777" w:rsidTr="0028668F">
        <w:trPr>
          <w:trHeight w:val="408"/>
        </w:trPr>
        <w:tc>
          <w:tcPr>
            <w:tcW w:w="9781" w:type="dxa"/>
          </w:tcPr>
          <w:p w14:paraId="7FE435B8"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2510807C" w14:textId="77777777" w:rsidTr="0075252D">
        <w:trPr>
          <w:trHeight w:val="2008"/>
        </w:trPr>
        <w:tc>
          <w:tcPr>
            <w:tcW w:w="9781" w:type="dxa"/>
          </w:tcPr>
          <w:p w14:paraId="6C3AC124" w14:textId="0CF98B41" w:rsidR="00544FBD" w:rsidRPr="00544FBD" w:rsidRDefault="00544FBD" w:rsidP="0028668F">
            <w:pPr>
              <w:pStyle w:val="Paragraph"/>
            </w:pPr>
            <w:r w:rsidRPr="00544FBD">
              <w:rPr>
                <w:rFonts w:cs="Arial"/>
              </w:rPr>
              <w:lastRenderedPageBreak/>
              <w:t xml:space="preserve">This indicator is not anticipated to increase inequalities. </w:t>
            </w:r>
          </w:p>
        </w:tc>
      </w:tr>
    </w:tbl>
    <w:p w14:paraId="051DD90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55BEEC08" w14:textId="77777777" w:rsidTr="001553E9">
        <w:trPr>
          <w:trHeight w:val="557"/>
        </w:trPr>
        <w:tc>
          <w:tcPr>
            <w:tcW w:w="9703" w:type="dxa"/>
          </w:tcPr>
          <w:p w14:paraId="651AF1E6"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1A1B9F51" w14:textId="77777777" w:rsidTr="00EB653E">
        <w:trPr>
          <w:trHeight w:val="1323"/>
        </w:trPr>
        <w:tc>
          <w:tcPr>
            <w:tcW w:w="9703" w:type="dxa"/>
          </w:tcPr>
          <w:p w14:paraId="65850B4E" w14:textId="0F1F8315" w:rsidR="00544FBD" w:rsidRPr="00544FBD" w:rsidRDefault="00544FBD" w:rsidP="002B0E8D">
            <w:pPr>
              <w:pStyle w:val="Paragraph"/>
              <w:spacing w:after="0"/>
            </w:pPr>
            <w:r w:rsidRPr="00544FBD">
              <w:t xml:space="preserve">The NICE Public Involvement programme </w:t>
            </w:r>
            <w:r w:rsidR="00AC5722">
              <w:t>has</w:t>
            </w:r>
            <w:r w:rsidRPr="00544FBD">
              <w:t xml:space="preserve"> suggested </w:t>
            </w:r>
            <w:proofErr w:type="gramStart"/>
            <w:r w:rsidRPr="00544FBD">
              <w:t>a number of</w:t>
            </w:r>
            <w:proofErr w:type="gramEnd"/>
            <w:r w:rsidRPr="00544FBD">
              <w:t xml:space="preserve"> </w:t>
            </w:r>
            <w:r>
              <w:t xml:space="preserve">relevant </w:t>
            </w:r>
            <w:r w:rsidRPr="00544FBD">
              <w:t xml:space="preserve">stakeholder organisations </w:t>
            </w:r>
            <w:r w:rsidR="00E53B7B">
              <w:t>that will be included</w:t>
            </w:r>
            <w:r w:rsidRPr="00544FBD">
              <w:t xml:space="preserve"> in the consultation process. </w:t>
            </w:r>
          </w:p>
          <w:p w14:paraId="5F4C0346" w14:textId="77777777" w:rsidR="00F96E99" w:rsidRDefault="00F96E99" w:rsidP="00F96E99">
            <w:pPr>
              <w:rPr>
                <w:rFonts w:ascii="Arial" w:hAnsi="Arial"/>
                <w:i/>
                <w:iCs/>
              </w:rPr>
            </w:pPr>
          </w:p>
          <w:p w14:paraId="0226807B" w14:textId="77777777" w:rsidR="00451133" w:rsidRPr="00DA13AC" w:rsidRDefault="00F96E99" w:rsidP="00DA13AC">
            <w:pPr>
              <w:tabs>
                <w:tab w:val="left" w:pos="6270"/>
              </w:tabs>
              <w:rPr>
                <w:i/>
              </w:rPr>
            </w:pPr>
            <w:r>
              <w:tab/>
            </w:r>
          </w:p>
        </w:tc>
      </w:tr>
    </w:tbl>
    <w:p w14:paraId="30BB957C"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0950FEFF" w14:textId="77777777" w:rsidTr="003D03EE">
        <w:trPr>
          <w:trHeight w:val="838"/>
        </w:trPr>
        <w:tc>
          <w:tcPr>
            <w:tcW w:w="9731" w:type="dxa"/>
          </w:tcPr>
          <w:p w14:paraId="2762833A" w14:textId="77777777" w:rsidR="00843091" w:rsidRDefault="00242ABB" w:rsidP="00242ABB">
            <w:pPr>
              <w:pStyle w:val="Paragraph"/>
              <w:numPr>
                <w:ilvl w:val="1"/>
                <w:numId w:val="35"/>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2A3B70C5" w14:textId="77777777" w:rsidTr="00B025EB">
        <w:trPr>
          <w:trHeight w:val="1408"/>
        </w:trPr>
        <w:tc>
          <w:tcPr>
            <w:tcW w:w="9731" w:type="dxa"/>
          </w:tcPr>
          <w:p w14:paraId="680EAE1E" w14:textId="1811146C" w:rsidR="00E53B7B" w:rsidRDefault="00AF065D" w:rsidP="00451133">
            <w:pPr>
              <w:pStyle w:val="Paragraph"/>
              <w:rPr>
                <w:rFonts w:cs="Arial"/>
              </w:rPr>
            </w:pPr>
            <w:r>
              <w:rPr>
                <w:rFonts w:cs="Arial"/>
              </w:rPr>
              <w:t>C</w:t>
            </w:r>
            <w:r w:rsidR="00544FBD" w:rsidRPr="00571F0A">
              <w:rPr>
                <w:rFonts w:cs="Arial"/>
              </w:rPr>
              <w:t xml:space="preserve">hildren and young people are excluded from this indicator as </w:t>
            </w:r>
            <w:r w:rsidR="00544EED">
              <w:rPr>
                <w:rFonts w:cs="Arial"/>
              </w:rPr>
              <w:t xml:space="preserve">there are no NICE recommendations that support use of an SGLT-2 inhibitor in the management of type 2 diabetes for all children and young people. Current recommendations on empagliflozin in </w:t>
            </w:r>
            <w:hyperlink r:id="rId13" w:history="1">
              <w:r w:rsidR="00544EED" w:rsidRPr="00544EED">
                <w:rPr>
                  <w:rStyle w:val="Hyperlink"/>
                  <w:rFonts w:cs="Arial"/>
                </w:rPr>
                <w:t>NICE’s guideline on diabetes (type 1 and type 2) in children and young people</w:t>
              </w:r>
            </w:hyperlink>
            <w:r w:rsidR="00544EED">
              <w:rPr>
                <w:rFonts w:cs="Arial"/>
              </w:rPr>
              <w:t xml:space="preserve"> are limited to a consider recommendation for children aged 10 or over with type 2 diabetes who meet specified criteria.</w:t>
            </w:r>
          </w:p>
          <w:p w14:paraId="59FF5C87" w14:textId="50DF4222" w:rsidR="00AF065D" w:rsidRDefault="00B30B85" w:rsidP="00451133">
            <w:pPr>
              <w:pStyle w:val="Paragraph"/>
              <w:rPr>
                <w:rFonts w:cs="Arial"/>
              </w:rPr>
            </w:pPr>
            <w:r>
              <w:rPr>
                <w:rFonts w:cs="Arial"/>
              </w:rPr>
              <w:t xml:space="preserve">Metformin </w:t>
            </w:r>
            <w:r w:rsidR="00DF3039">
              <w:rPr>
                <w:rFonts w:cs="Arial"/>
              </w:rPr>
              <w:t>cannot be used</w:t>
            </w:r>
            <w:r w:rsidRPr="00571F0A">
              <w:rPr>
                <w:rFonts w:cs="Arial"/>
              </w:rPr>
              <w:t xml:space="preserve"> </w:t>
            </w:r>
            <w:r w:rsidR="00544FBD" w:rsidRPr="00571F0A">
              <w:rPr>
                <w:rFonts w:cs="Arial"/>
              </w:rPr>
              <w:t xml:space="preserve">with </w:t>
            </w:r>
            <w:r>
              <w:rPr>
                <w:rFonts w:cs="Arial"/>
              </w:rPr>
              <w:t>an estimated glomerular filtration rate (eGFR) less than 30 ml/min/1.73 m</w:t>
            </w:r>
            <w:r w:rsidRPr="00914091">
              <w:rPr>
                <w:rFonts w:cs="Arial"/>
                <w:vertAlign w:val="superscript"/>
              </w:rPr>
              <w:t>2</w:t>
            </w:r>
            <w:r w:rsidR="00DF3039">
              <w:rPr>
                <w:rFonts w:cs="Arial"/>
              </w:rPr>
              <w:t xml:space="preserve"> and an SGLT-2 inhibitor cannot be used with an eGFR less than 20</w:t>
            </w:r>
            <w:r w:rsidR="007C29B3">
              <w:rPr>
                <w:rFonts w:cs="Arial"/>
              </w:rPr>
              <w:t> </w:t>
            </w:r>
            <w:r w:rsidR="00DF3039">
              <w:t>ml/min/1.73 m</w:t>
            </w:r>
            <w:r w:rsidR="00DF3039" w:rsidRPr="00914091">
              <w:rPr>
                <w:vertAlign w:val="superscript"/>
              </w:rPr>
              <w:t>2</w:t>
            </w:r>
            <w:r w:rsidR="00DF3039">
              <w:t xml:space="preserve"> therefore exclusion from the indicator is appropriate for these groups</w:t>
            </w:r>
            <w:r w:rsidR="00C4048C">
              <w:t>.</w:t>
            </w:r>
            <w:r w:rsidR="00C4048C" w:rsidRPr="00571F0A">
              <w:rPr>
                <w:rFonts w:cs="Arial"/>
              </w:rPr>
              <w:t xml:space="preserve"> </w:t>
            </w:r>
          </w:p>
          <w:p w14:paraId="03533596" w14:textId="1E454963" w:rsidR="00544FBD" w:rsidRPr="00571F0A" w:rsidRDefault="00AF065D" w:rsidP="00451133">
            <w:pPr>
              <w:pStyle w:val="Paragraph"/>
              <w:rPr>
                <w:rFonts w:cs="Arial"/>
              </w:rPr>
            </w:pPr>
            <w:r>
              <w:rPr>
                <w:rFonts w:cs="Arial"/>
              </w:rPr>
              <w:t>At this stage w</w:t>
            </w:r>
            <w:r w:rsidR="00E53B7B">
              <w:rPr>
                <w:rFonts w:cs="Arial"/>
              </w:rPr>
              <w:t xml:space="preserve">e propose </w:t>
            </w:r>
            <w:r>
              <w:rPr>
                <w:rFonts w:cs="Arial"/>
              </w:rPr>
              <w:t xml:space="preserve">the </w:t>
            </w:r>
            <w:r w:rsidR="00E53B7B">
              <w:rPr>
                <w:rFonts w:cs="Arial"/>
              </w:rPr>
              <w:t>use of a personalised care adjustment</w:t>
            </w:r>
            <w:r>
              <w:rPr>
                <w:rFonts w:cs="Arial"/>
              </w:rPr>
              <w:t>s</w:t>
            </w:r>
            <w:r w:rsidR="00E53B7B">
              <w:rPr>
                <w:rFonts w:cs="Arial"/>
              </w:rPr>
              <w:t xml:space="preserve"> for people with frailty to avoid blanket exclusion from the indicator</w:t>
            </w:r>
            <w:r w:rsidR="00DF3039">
              <w:rPr>
                <w:rFonts w:cs="Arial"/>
              </w:rPr>
              <w:t>, as recommendations on frailty note that an SGLT-2 inhibitor should only be offered if the person’s level of frailty does not place them as risk of adverse events from such a medicine</w:t>
            </w:r>
            <w:r w:rsidR="00E53B7B">
              <w:rPr>
                <w:rFonts w:cs="Arial"/>
              </w:rPr>
              <w:t>. The NICE guideline i</w:t>
            </w:r>
            <w:r w:rsidR="00AC5722">
              <w:rPr>
                <w:rFonts w:cs="Arial"/>
              </w:rPr>
              <w:t>ncl</w:t>
            </w:r>
            <w:r w:rsidR="00E53B7B">
              <w:rPr>
                <w:rFonts w:cs="Arial"/>
              </w:rPr>
              <w:t xml:space="preserve">udes recommendations on alternative treatment options for people with an </w:t>
            </w:r>
            <w:r w:rsidR="00DF3039">
              <w:rPr>
                <w:rFonts w:cs="Arial"/>
              </w:rPr>
              <w:t>eGFR</w:t>
            </w:r>
            <w:r w:rsidR="00E53B7B">
              <w:rPr>
                <w:rFonts w:cs="Arial"/>
              </w:rPr>
              <w:t xml:space="preserve"> or level of frailty that would mean treatment with </w:t>
            </w:r>
            <w:r w:rsidR="00DF3039">
              <w:rPr>
                <w:rFonts w:cs="Arial"/>
              </w:rPr>
              <w:t xml:space="preserve">one or </w:t>
            </w:r>
            <w:proofErr w:type="gramStart"/>
            <w:r w:rsidR="00DF3039">
              <w:rPr>
                <w:rFonts w:cs="Arial"/>
              </w:rPr>
              <w:t>both of the medicines</w:t>
            </w:r>
            <w:proofErr w:type="gramEnd"/>
            <w:r w:rsidR="00DF3039">
              <w:rPr>
                <w:rFonts w:cs="Arial"/>
              </w:rPr>
              <w:t xml:space="preserve"> </w:t>
            </w:r>
            <w:r w:rsidR="00E53B7B">
              <w:rPr>
                <w:rFonts w:cs="Arial"/>
              </w:rPr>
              <w:t>would not be suitable so</w:t>
            </w:r>
            <w:r w:rsidR="00571F0A" w:rsidRPr="00571F0A">
              <w:rPr>
                <w:rFonts w:cs="Arial"/>
              </w:rPr>
              <w:t xml:space="preserve"> this indicator should not further impact</w:t>
            </w:r>
            <w:r w:rsidR="00E53B7B">
              <w:rPr>
                <w:rFonts w:cs="Arial"/>
              </w:rPr>
              <w:t xml:space="preserve"> the</w:t>
            </w:r>
            <w:r w:rsidR="00571F0A" w:rsidRPr="00571F0A">
              <w:rPr>
                <w:rFonts w:cs="Arial"/>
              </w:rPr>
              <w:t xml:space="preserve"> equality and health inequality issues identified. </w:t>
            </w:r>
          </w:p>
        </w:tc>
      </w:tr>
    </w:tbl>
    <w:p w14:paraId="4561EEAA"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010A239D" w14:textId="77777777" w:rsidTr="0028668F">
        <w:trPr>
          <w:trHeight w:val="525"/>
        </w:trPr>
        <w:tc>
          <w:tcPr>
            <w:tcW w:w="9719" w:type="dxa"/>
          </w:tcPr>
          <w:p w14:paraId="590DC9F8" w14:textId="77777777" w:rsidR="00C42F39" w:rsidRPr="00094590" w:rsidRDefault="00C42F39" w:rsidP="00C42F39">
            <w:pPr>
              <w:pStyle w:val="Paragraph"/>
              <w:numPr>
                <w:ilvl w:val="1"/>
                <w:numId w:val="35"/>
              </w:numPr>
              <w:spacing w:after="0"/>
              <w:rPr>
                <w:rFonts w:cs="Arial"/>
              </w:rPr>
            </w:pPr>
            <w:bookmarkStart w:id="9" w:name="_Hlk161151945"/>
            <w:r>
              <w:lastRenderedPageBreak/>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3E8A449B" w14:textId="77777777" w:rsidTr="0028668F">
        <w:trPr>
          <w:trHeight w:val="1916"/>
        </w:trPr>
        <w:tc>
          <w:tcPr>
            <w:tcW w:w="9719" w:type="dxa"/>
          </w:tcPr>
          <w:p w14:paraId="2F15DB95" w14:textId="77777777" w:rsidR="00C42F39" w:rsidRDefault="00571F0A" w:rsidP="0028668F">
            <w:pPr>
              <w:pStyle w:val="Paragraphnonumbers"/>
            </w:pPr>
            <w:r>
              <w:t>The following questions will be asked at consultation:</w:t>
            </w:r>
          </w:p>
          <w:p w14:paraId="7495A8F6" w14:textId="73585EDF" w:rsidR="00571F0A" w:rsidRDefault="00571F0A" w:rsidP="00571F0A">
            <w:pPr>
              <w:pStyle w:val="Paragraph"/>
              <w:numPr>
                <w:ilvl w:val="0"/>
                <w:numId w:val="47"/>
              </w:numPr>
            </w:pPr>
            <w:r>
              <w:t>Do you think there are potential unintended consequences to implementing/ using any of these indicators?</w:t>
            </w:r>
          </w:p>
          <w:p w14:paraId="2C7FCA4C" w14:textId="417B979A" w:rsidR="00571F0A" w:rsidRDefault="00571F0A" w:rsidP="00571F0A">
            <w:pPr>
              <w:pStyle w:val="Paragraph"/>
              <w:numPr>
                <w:ilvl w:val="0"/>
                <w:numId w:val="47"/>
              </w:numPr>
            </w:pPr>
            <w: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7D04DC74" w14:textId="5697A2F0" w:rsidR="00571F0A" w:rsidRDefault="00571F0A" w:rsidP="0028668F">
            <w:pPr>
              <w:pStyle w:val="Paragraph"/>
              <w:numPr>
                <w:ilvl w:val="0"/>
                <w:numId w:val="47"/>
              </w:numPr>
            </w:pPr>
            <w:r>
              <w:t>If you think any of these indicators may have an adverse impact in different groups in the community, can you suggest how the indicator might be delivered differently to different groups to reduce health inequalities?</w:t>
            </w:r>
          </w:p>
        </w:tc>
      </w:tr>
    </w:tbl>
    <w:p w14:paraId="5976B411" w14:textId="77777777" w:rsidR="00C42F39" w:rsidRDefault="00C42F39" w:rsidP="00C14F15">
      <w:pPr>
        <w:pStyle w:val="Paragraphnonumbers"/>
        <w:rPr>
          <w:rFonts w:cs="Arial"/>
        </w:rPr>
      </w:pPr>
    </w:p>
    <w:p w14:paraId="39E6CE23" w14:textId="631D1BA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DF3039">
        <w:rPr>
          <w:rFonts w:cs="Arial"/>
        </w:rPr>
        <w:t>Charlotte Fairclough</w:t>
      </w:r>
    </w:p>
    <w:p w14:paraId="667EE603" w14:textId="77777777" w:rsidR="001431B0" w:rsidRPr="0078563E" w:rsidRDefault="001431B0" w:rsidP="001431B0">
      <w:pPr>
        <w:pStyle w:val="Paragraphnonumbers"/>
        <w:spacing w:after="0"/>
        <w:rPr>
          <w:rFonts w:cs="Arial"/>
        </w:rPr>
      </w:pPr>
    </w:p>
    <w:p w14:paraId="2D4ADE01" w14:textId="67061D5A"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DF3039">
        <w:rPr>
          <w:rFonts w:cs="Arial"/>
        </w:rPr>
        <w:t>10/03/2026</w:t>
      </w:r>
    </w:p>
    <w:p w14:paraId="2C3388D5" w14:textId="77777777" w:rsidR="001431B0" w:rsidRDefault="001431B0" w:rsidP="001431B0">
      <w:pPr>
        <w:pStyle w:val="Paragraphnonumbers"/>
        <w:spacing w:after="0"/>
        <w:rPr>
          <w:rFonts w:cs="Arial"/>
        </w:rPr>
      </w:pPr>
    </w:p>
    <w:p w14:paraId="50151D42" w14:textId="70A0EF91"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AF065D" w:rsidRPr="00914091">
        <w:rPr>
          <w:rFonts w:cs="Arial"/>
        </w:rPr>
        <w:t>Mark Minchin</w:t>
      </w:r>
    </w:p>
    <w:p w14:paraId="55104A90" w14:textId="77777777" w:rsidR="001431B0" w:rsidRPr="0078563E" w:rsidRDefault="001431B0" w:rsidP="001431B0">
      <w:pPr>
        <w:pStyle w:val="Paragraphnonumbers"/>
        <w:spacing w:after="0"/>
        <w:rPr>
          <w:rFonts w:cs="Arial"/>
        </w:rPr>
      </w:pPr>
    </w:p>
    <w:p w14:paraId="6D094B21" w14:textId="691380C3"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AF065D">
        <w:rPr>
          <w:rFonts w:cs="Arial"/>
        </w:rPr>
        <w:t>01/04/2026</w:t>
      </w:r>
    </w:p>
    <w:p w14:paraId="18942282" w14:textId="77777777" w:rsidR="001B335E" w:rsidRDefault="001B335E" w:rsidP="00EB653E">
      <w:pPr>
        <w:pStyle w:val="Paragraph"/>
      </w:pPr>
    </w:p>
    <w:p w14:paraId="2E4F179C" w14:textId="77777777" w:rsidR="00DA0765" w:rsidRDefault="00DA0765" w:rsidP="003D03EE">
      <w:pPr>
        <w:rPr>
          <w:b/>
          <w:kern w:val="32"/>
          <w:sz w:val="28"/>
        </w:rPr>
      </w:pPr>
    </w:p>
    <w:p w14:paraId="2B499836" w14:textId="77777777" w:rsidR="00712E9A" w:rsidRDefault="00712E9A" w:rsidP="00DA0765">
      <w:pPr>
        <w:pStyle w:val="pf0"/>
        <w:rPr>
          <w:rStyle w:val="cf01"/>
        </w:rPr>
      </w:pPr>
    </w:p>
    <w:p w14:paraId="41610F9B" w14:textId="77777777" w:rsidR="00712E9A" w:rsidRDefault="00712E9A" w:rsidP="00DA0765">
      <w:pPr>
        <w:pStyle w:val="pf0"/>
        <w:rPr>
          <w:rStyle w:val="cf01"/>
        </w:rPr>
      </w:pPr>
    </w:p>
    <w:p w14:paraId="43A08BCB" w14:textId="77777777" w:rsidR="00712E9A" w:rsidRDefault="00712E9A" w:rsidP="00DA0765">
      <w:pPr>
        <w:pStyle w:val="pf0"/>
        <w:rPr>
          <w:rStyle w:val="cf01"/>
        </w:rPr>
      </w:pPr>
    </w:p>
    <w:p w14:paraId="011FC676" w14:textId="77777777" w:rsidR="00712E9A" w:rsidRDefault="00712E9A" w:rsidP="00DA0765">
      <w:pPr>
        <w:pStyle w:val="pf0"/>
        <w:rPr>
          <w:rStyle w:val="cf01"/>
        </w:rPr>
      </w:pPr>
    </w:p>
    <w:p w14:paraId="3B0D5CEE" w14:textId="77777777" w:rsidR="00712E9A" w:rsidRDefault="00712E9A" w:rsidP="00DA0765">
      <w:pPr>
        <w:pStyle w:val="pf0"/>
        <w:rPr>
          <w:rStyle w:val="cf01"/>
        </w:rPr>
      </w:pPr>
    </w:p>
    <w:p w14:paraId="0AB2FBEB" w14:textId="77777777" w:rsidR="00712E9A" w:rsidRDefault="00712E9A" w:rsidP="00DA0765">
      <w:pPr>
        <w:pStyle w:val="pf0"/>
        <w:rPr>
          <w:rStyle w:val="cf01"/>
        </w:rPr>
      </w:pPr>
    </w:p>
    <w:p w14:paraId="0F772311" w14:textId="23AAACAC" w:rsidR="00DA0765" w:rsidRPr="003D03EE" w:rsidRDefault="00DA0765" w:rsidP="00DA0765">
      <w:pPr>
        <w:pStyle w:val="pf0"/>
        <w:rPr>
          <w:b/>
          <w:kern w:val="32"/>
          <w:sz w:val="28"/>
        </w:rPr>
      </w:pPr>
      <w:r>
        <w:rPr>
          <w:rStyle w:val="cf01"/>
        </w:rPr>
        <w:t xml:space="preserve">© NICE </w:t>
      </w:r>
      <w:r w:rsidR="00620D47">
        <w:rPr>
          <w:rStyle w:val="cf11"/>
        </w:rPr>
        <w:t>2026</w:t>
      </w:r>
      <w:r>
        <w:rPr>
          <w:rStyle w:val="cf11"/>
        </w:rPr>
        <w:t>.</w:t>
      </w:r>
      <w:r>
        <w:rPr>
          <w:rStyle w:val="cf01"/>
        </w:rPr>
        <w:t xml:space="preserve"> All rights reserved. Subject to </w:t>
      </w:r>
      <w:hyperlink r:id="rId14" w:anchor="notice-of-rights" w:history="1">
        <w:r>
          <w:rPr>
            <w:rStyle w:val="cf01"/>
            <w:color w:val="0000FF"/>
            <w:u w:val="single"/>
          </w:rPr>
          <w:t>Notice of rights</w:t>
        </w:r>
      </w:hyperlink>
      <w:r>
        <w:rPr>
          <w:rStyle w:val="cf01"/>
        </w:rPr>
        <w:t>.</w:t>
      </w:r>
    </w:p>
    <w:sectPr w:rsidR="00DA0765" w:rsidRPr="003D03EE" w:rsidSect="0063675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E9FA" w14:textId="77777777" w:rsidR="003D60C6" w:rsidRDefault="003D60C6" w:rsidP="00446BEE">
      <w:r>
        <w:separator/>
      </w:r>
    </w:p>
  </w:endnote>
  <w:endnote w:type="continuationSeparator" w:id="0">
    <w:p w14:paraId="31A23D04" w14:textId="77777777" w:rsidR="003D60C6" w:rsidRDefault="003D60C6" w:rsidP="00446BEE">
      <w:r>
        <w:continuationSeparator/>
      </w:r>
    </w:p>
  </w:endnote>
  <w:endnote w:type="continuationNotice" w:id="1">
    <w:p w14:paraId="3088FA25" w14:textId="77777777" w:rsidR="003D60C6" w:rsidRDefault="003D6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3218" w14:textId="30126C58" w:rsidR="00516E2E" w:rsidRDefault="00DF3039" w:rsidP="003C15C7">
    <w:pPr>
      <w:pStyle w:val="Footer"/>
    </w:pPr>
    <w:r>
      <w:t>GID-IND10350</w:t>
    </w:r>
    <w:r w:rsidR="003C15C7">
      <w:t>: Equality and health inequalities assessment</w:t>
    </w:r>
    <w:r w:rsidR="003C15C7">
      <w:tab/>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7677BA87"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CDC7" w14:textId="77777777" w:rsidR="003D60C6" w:rsidRDefault="003D60C6" w:rsidP="00446BEE">
      <w:r>
        <w:separator/>
      </w:r>
    </w:p>
  </w:footnote>
  <w:footnote w:type="continuationSeparator" w:id="0">
    <w:p w14:paraId="193A6465" w14:textId="77777777" w:rsidR="003D60C6" w:rsidRDefault="003D60C6" w:rsidP="00446BEE">
      <w:r>
        <w:continuationSeparator/>
      </w:r>
    </w:p>
  </w:footnote>
  <w:footnote w:type="continuationNotice" w:id="1">
    <w:p w14:paraId="1DB758C0" w14:textId="77777777" w:rsidR="003D60C6" w:rsidRDefault="003D6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2124" w14:textId="6DC4C04E" w:rsidR="00DF198B" w:rsidRDefault="00FE16C4">
    <w:pPr>
      <w:pStyle w:val="Header"/>
      <w:rPr>
        <w:rFonts w:cs="Arial"/>
        <w:b/>
        <w:sz w:val="20"/>
        <w:szCs w:val="20"/>
      </w:rPr>
    </w:pPr>
    <w:r>
      <w:rPr>
        <w:rFonts w:cs="Arial"/>
        <w:b/>
        <w:sz w:val="20"/>
        <w:szCs w:val="20"/>
      </w:rPr>
      <w:tab/>
    </w:r>
  </w:p>
  <w:p w14:paraId="3F424BE1"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4CAE409C"/>
    <w:lvl w:ilvl="0" w:tplc="4000CD2E">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EE0504"/>
    <w:multiLevelType w:val="multilevel"/>
    <w:tmpl w:val="1F36E61C"/>
    <w:numStyleLink w:val="Style4"/>
  </w:abstractNum>
  <w:abstractNum w:abstractNumId="20"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6" w15:restartNumberingAfterBreak="0">
    <w:nsid w:val="558507FE"/>
    <w:multiLevelType w:val="hybridMultilevel"/>
    <w:tmpl w:val="A378D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36858E3"/>
    <w:multiLevelType w:val="hybridMultilevel"/>
    <w:tmpl w:val="97F4F4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B3277E"/>
    <w:multiLevelType w:val="hybridMultilevel"/>
    <w:tmpl w:val="7A407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4"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6"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5779FA"/>
    <w:multiLevelType w:val="multilevel"/>
    <w:tmpl w:val="7B18D79E"/>
    <w:numStyleLink w:val="Style2"/>
  </w:abstractNum>
  <w:abstractNum w:abstractNumId="39"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1"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2" w15:restartNumberingAfterBreak="0">
    <w:nsid w:val="77B65C3A"/>
    <w:multiLevelType w:val="hybridMultilevel"/>
    <w:tmpl w:val="E87A4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BA3C95"/>
    <w:multiLevelType w:val="multilevel"/>
    <w:tmpl w:val="7B18D79E"/>
    <w:numStyleLink w:val="Style2"/>
  </w:abstractNum>
  <w:abstractNum w:abstractNumId="44" w15:restartNumberingAfterBreak="0">
    <w:nsid w:val="7D5B6FF6"/>
    <w:multiLevelType w:val="multilevel"/>
    <w:tmpl w:val="7B18D79E"/>
    <w:numStyleLink w:val="Style2"/>
  </w:abstractNum>
  <w:abstractNum w:abstractNumId="45"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6"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3"/>
  </w:num>
  <w:num w:numId="2" w16cid:durableId="1236670440">
    <w:abstractNumId w:val="11"/>
  </w:num>
  <w:num w:numId="3" w16cid:durableId="1615945455">
    <w:abstractNumId w:val="5"/>
  </w:num>
  <w:num w:numId="4" w16cid:durableId="1029911101">
    <w:abstractNumId w:val="0"/>
  </w:num>
  <w:num w:numId="5" w16cid:durableId="2029716792">
    <w:abstractNumId w:val="24"/>
  </w:num>
  <w:num w:numId="6" w16cid:durableId="1918830326">
    <w:abstractNumId w:val="32"/>
  </w:num>
  <w:num w:numId="7" w16cid:durableId="1148591788">
    <w:abstractNumId w:val="43"/>
  </w:num>
  <w:num w:numId="8" w16cid:durableId="1849562648">
    <w:abstractNumId w:val="39"/>
  </w:num>
  <w:num w:numId="9" w16cid:durableId="1055349801">
    <w:abstractNumId w:val="41"/>
  </w:num>
  <w:num w:numId="10" w16cid:durableId="1704595744">
    <w:abstractNumId w:val="10"/>
  </w:num>
  <w:num w:numId="11" w16cid:durableId="627198209">
    <w:abstractNumId w:val="16"/>
  </w:num>
  <w:num w:numId="12" w16cid:durableId="1551574869">
    <w:abstractNumId w:val="45"/>
  </w:num>
  <w:num w:numId="13" w16cid:durableId="360518129">
    <w:abstractNumId w:val="35"/>
  </w:num>
  <w:num w:numId="14" w16cid:durableId="1844662713">
    <w:abstractNumId w:val="19"/>
  </w:num>
  <w:num w:numId="15" w16cid:durableId="2123527243">
    <w:abstractNumId w:val="13"/>
  </w:num>
  <w:num w:numId="16" w16cid:durableId="987831213">
    <w:abstractNumId w:val="14"/>
  </w:num>
  <w:num w:numId="17" w16cid:durableId="2083868888">
    <w:abstractNumId w:val="28"/>
  </w:num>
  <w:num w:numId="18" w16cid:durableId="940183058">
    <w:abstractNumId w:val="40"/>
  </w:num>
  <w:num w:numId="19" w16cid:durableId="1833257076">
    <w:abstractNumId w:val="2"/>
  </w:num>
  <w:num w:numId="20" w16cid:durableId="1484271452">
    <w:abstractNumId w:val="36"/>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1"/>
  </w:num>
  <w:num w:numId="26" w16cid:durableId="1552765963">
    <w:abstractNumId w:val="18"/>
  </w:num>
  <w:num w:numId="27" w16cid:durableId="1613900351">
    <w:abstractNumId w:val="20"/>
  </w:num>
  <w:num w:numId="28" w16cid:durableId="2071151798">
    <w:abstractNumId w:val="44"/>
  </w:num>
  <w:num w:numId="29" w16cid:durableId="1773016109">
    <w:abstractNumId w:val="17"/>
  </w:num>
  <w:num w:numId="30" w16cid:durableId="1214999556">
    <w:abstractNumId w:val="38"/>
  </w:num>
  <w:num w:numId="31" w16cid:durableId="106050730">
    <w:abstractNumId w:val="37"/>
  </w:num>
  <w:num w:numId="32" w16cid:durableId="1981037423">
    <w:abstractNumId w:val="22"/>
  </w:num>
  <w:num w:numId="33" w16cid:durableId="1782531770">
    <w:abstractNumId w:val="6"/>
  </w:num>
  <w:num w:numId="34" w16cid:durableId="363406381">
    <w:abstractNumId w:val="23"/>
  </w:num>
  <w:num w:numId="35" w16cid:durableId="1564372752">
    <w:abstractNumId w:val="46"/>
  </w:num>
  <w:num w:numId="36" w16cid:durableId="96144097">
    <w:abstractNumId w:val="1"/>
  </w:num>
  <w:num w:numId="37" w16cid:durableId="1519781089">
    <w:abstractNumId w:val="34"/>
  </w:num>
  <w:num w:numId="38" w16cid:durableId="1448887418">
    <w:abstractNumId w:val="8"/>
  </w:num>
  <w:num w:numId="39" w16cid:durableId="1455443758">
    <w:abstractNumId w:val="30"/>
  </w:num>
  <w:num w:numId="40" w16cid:durableId="713963823">
    <w:abstractNumId w:val="3"/>
  </w:num>
  <w:num w:numId="41" w16cid:durableId="1864247540">
    <w:abstractNumId w:val="25"/>
  </w:num>
  <w:num w:numId="42" w16cid:durableId="2045325553">
    <w:abstractNumId w:val="27"/>
  </w:num>
  <w:num w:numId="43" w16cid:durableId="2099404550">
    <w:abstractNumId w:val="15"/>
  </w:num>
  <w:num w:numId="44" w16cid:durableId="1044867918">
    <w:abstractNumId w:val="26"/>
  </w:num>
  <w:num w:numId="45" w16cid:durableId="53746448">
    <w:abstractNumId w:val="42"/>
  </w:num>
  <w:num w:numId="46" w16cid:durableId="350229550">
    <w:abstractNumId w:val="29"/>
  </w:num>
  <w:num w:numId="47" w16cid:durableId="118255143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C6"/>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3CF4"/>
    <w:rsid w:val="000F4137"/>
    <w:rsid w:val="000F575B"/>
    <w:rsid w:val="000F6E9C"/>
    <w:rsid w:val="000F7656"/>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1DB9"/>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136"/>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37EF6"/>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B75F2"/>
    <w:rsid w:val="003C15C7"/>
    <w:rsid w:val="003C1DE9"/>
    <w:rsid w:val="003C3B0A"/>
    <w:rsid w:val="003C3E98"/>
    <w:rsid w:val="003C7AAF"/>
    <w:rsid w:val="003D03EE"/>
    <w:rsid w:val="003D4FF1"/>
    <w:rsid w:val="003D5119"/>
    <w:rsid w:val="003D60C6"/>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1C4C"/>
    <w:rsid w:val="004E25C7"/>
    <w:rsid w:val="004E3358"/>
    <w:rsid w:val="004E33F0"/>
    <w:rsid w:val="004E4586"/>
    <w:rsid w:val="004E579F"/>
    <w:rsid w:val="004F5C74"/>
    <w:rsid w:val="005025A1"/>
    <w:rsid w:val="00502D36"/>
    <w:rsid w:val="00502E47"/>
    <w:rsid w:val="005045C0"/>
    <w:rsid w:val="005049FA"/>
    <w:rsid w:val="00504CCE"/>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4EED"/>
    <w:rsid w:val="00544FBD"/>
    <w:rsid w:val="005456D9"/>
    <w:rsid w:val="00550201"/>
    <w:rsid w:val="005509D6"/>
    <w:rsid w:val="00551518"/>
    <w:rsid w:val="0055171A"/>
    <w:rsid w:val="00562E35"/>
    <w:rsid w:val="005640F6"/>
    <w:rsid w:val="0056677C"/>
    <w:rsid w:val="005667A4"/>
    <w:rsid w:val="00570494"/>
    <w:rsid w:val="00571F0A"/>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2C2D"/>
    <w:rsid w:val="005F4B93"/>
    <w:rsid w:val="005F5FB9"/>
    <w:rsid w:val="005F7738"/>
    <w:rsid w:val="00605097"/>
    <w:rsid w:val="006060CC"/>
    <w:rsid w:val="00614200"/>
    <w:rsid w:val="00615A23"/>
    <w:rsid w:val="00615B44"/>
    <w:rsid w:val="00620721"/>
    <w:rsid w:val="00620D47"/>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215"/>
    <w:rsid w:val="006766ED"/>
    <w:rsid w:val="00677A91"/>
    <w:rsid w:val="00680F6A"/>
    <w:rsid w:val="0068254E"/>
    <w:rsid w:val="00691AC3"/>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252D"/>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29B3"/>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A62"/>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1DD9"/>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2DA3"/>
    <w:rsid w:val="009132A7"/>
    <w:rsid w:val="00914091"/>
    <w:rsid w:val="00914D7F"/>
    <w:rsid w:val="00915AE6"/>
    <w:rsid w:val="009170E3"/>
    <w:rsid w:val="009215F2"/>
    <w:rsid w:val="009322F0"/>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2005"/>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27656"/>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277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5722"/>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065D"/>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B8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10F9"/>
    <w:rsid w:val="00C22C9A"/>
    <w:rsid w:val="00C242A1"/>
    <w:rsid w:val="00C249B9"/>
    <w:rsid w:val="00C266CC"/>
    <w:rsid w:val="00C30015"/>
    <w:rsid w:val="00C32F16"/>
    <w:rsid w:val="00C35EC0"/>
    <w:rsid w:val="00C372E6"/>
    <w:rsid w:val="00C379E7"/>
    <w:rsid w:val="00C4048C"/>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81D"/>
    <w:rsid w:val="00C82D91"/>
    <w:rsid w:val="00C84125"/>
    <w:rsid w:val="00C843C9"/>
    <w:rsid w:val="00C84ACF"/>
    <w:rsid w:val="00C86044"/>
    <w:rsid w:val="00C87D66"/>
    <w:rsid w:val="00C87F10"/>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556"/>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3039"/>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89A"/>
    <w:rsid w:val="00E41AFF"/>
    <w:rsid w:val="00E42A4F"/>
    <w:rsid w:val="00E43817"/>
    <w:rsid w:val="00E444D5"/>
    <w:rsid w:val="00E46F4F"/>
    <w:rsid w:val="00E5053F"/>
    <w:rsid w:val="00E51920"/>
    <w:rsid w:val="00E52DE1"/>
    <w:rsid w:val="00E5308E"/>
    <w:rsid w:val="00E532AE"/>
    <w:rsid w:val="00E53B7B"/>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A19"/>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3B90"/>
    <w:rsid w:val="00F21331"/>
    <w:rsid w:val="00F21410"/>
    <w:rsid w:val="00F228BD"/>
    <w:rsid w:val="00F22A09"/>
    <w:rsid w:val="00F2374A"/>
    <w:rsid w:val="00F2753D"/>
    <w:rsid w:val="00F32B59"/>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B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99"/>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guidance/ng1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iabetes.org.uk/about-us/our-impact/tackling-inequity-strate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ng28/histor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nice.org.uk/guidance/ng28/history" TargetMode="External"/><Relationship Id="rId4" Type="http://schemas.openxmlformats.org/officeDocument/2006/relationships/styles" Target="styles.xml"/><Relationship Id="rId9" Type="http://schemas.openxmlformats.org/officeDocument/2006/relationships/hyperlink" Target="https://www.nice.org.uk/standards-and-indicators/indicators" TargetMode="External"/><Relationship Id="rId14"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6639</Characters>
  <Application>Microsoft Office Word</Application>
  <DocSecurity>0</DocSecurity>
  <Lines>158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2026-04-02T06:51:00Z</dcterms:created>
  <dcterms:modified xsi:type="dcterms:W3CDTF">2026-04-02T08:10:00Z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2026-04-02T06:51:14Z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49609b1b-a134-4d2a-93f9-01f7912603a7</vt:lpwstr>
  </property>
  <property fmtid="{D5CDD505-2E9C-101B-9397-08002B2CF9AE}" pid="8" name="MSIP_Label_37c1caf1-e4f0-4b5d-9415-ebd897024cb8_ContentBits">
    <vt:lpwstr>0</vt:lpwstr>
  </property>
  <property fmtid="{D5CDD505-2E9C-101B-9397-08002B2CF9AE}" pid="9" name="MSIP_Label_37c1caf1-e4f0-4b5d-9415-ebd897024cb8_Tag">
    <vt:lpwstr>10, 0, 1, 1</vt:lpwstr>
  </property>
</Properties>
</file>