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F6EE" w14:textId="77777777" w:rsidR="007F56A9" w:rsidRPr="00D92A1C" w:rsidRDefault="00525377">
      <w:pPr>
        <w:tabs>
          <w:tab w:val="left" w:pos="9029"/>
        </w:tabs>
        <w:ind w:left="1021"/>
        <w:rPr>
          <w:rFonts w:ascii="Times New Roman"/>
          <w:sz w:val="20"/>
        </w:rPr>
      </w:pPr>
      <w:r w:rsidRPr="00D92A1C">
        <w:rPr>
          <w:rFonts w:ascii="Times New Roman"/>
          <w:noProof/>
          <w:sz w:val="20"/>
        </w:rPr>
        <w:drawing>
          <wp:inline distT="0" distB="0" distL="0" distR="0" wp14:anchorId="0EE46311" wp14:editId="6AB92D5C">
            <wp:extent cx="2179213" cy="76676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79213" cy="766762"/>
                    </a:xfrm>
                    <a:prstGeom prst="rect">
                      <a:avLst/>
                    </a:prstGeom>
                  </pic:spPr>
                </pic:pic>
              </a:graphicData>
            </a:graphic>
          </wp:inline>
        </w:drawing>
      </w:r>
      <w:r w:rsidRPr="00D92A1C">
        <w:rPr>
          <w:rFonts w:ascii="Times New Roman"/>
          <w:sz w:val="20"/>
        </w:rPr>
        <w:tab/>
      </w:r>
      <w:r w:rsidRPr="00D92A1C">
        <w:rPr>
          <w:rFonts w:ascii="Times New Roman"/>
          <w:noProof/>
          <w:position w:val="44"/>
          <w:sz w:val="20"/>
        </w:rPr>
        <w:drawing>
          <wp:inline distT="0" distB="0" distL="0" distR="0" wp14:anchorId="5D0E0660" wp14:editId="7E17768D">
            <wp:extent cx="1428485" cy="57321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28485" cy="573214"/>
                    </a:xfrm>
                    <a:prstGeom prst="rect">
                      <a:avLst/>
                    </a:prstGeom>
                  </pic:spPr>
                </pic:pic>
              </a:graphicData>
            </a:graphic>
          </wp:inline>
        </w:drawing>
      </w:r>
    </w:p>
    <w:p w14:paraId="66B2681A" w14:textId="6DA004E3" w:rsidR="007F56A9" w:rsidRPr="00D92A1C" w:rsidRDefault="00525377" w:rsidP="00540129">
      <w:pPr>
        <w:spacing w:before="91" w:after="240"/>
        <w:ind w:left="567" w:right="125"/>
        <w:rPr>
          <w:sz w:val="28"/>
        </w:rPr>
      </w:pPr>
      <w:r w:rsidRPr="00D92A1C">
        <w:rPr>
          <w:color w:val="005EB8"/>
          <w:sz w:val="28"/>
        </w:rPr>
        <w:t xml:space="preserve">Specialty guides for patient management during the </w:t>
      </w:r>
      <w:r w:rsidR="0019174B">
        <w:rPr>
          <w:color w:val="005EB8"/>
          <w:sz w:val="28"/>
        </w:rPr>
        <w:t>COVID-19</w:t>
      </w:r>
      <w:r w:rsidR="0019174B" w:rsidRPr="00D92A1C">
        <w:rPr>
          <w:color w:val="005EB8"/>
          <w:sz w:val="28"/>
        </w:rPr>
        <w:t xml:space="preserve"> </w:t>
      </w:r>
      <w:r w:rsidRPr="00D92A1C">
        <w:rPr>
          <w:color w:val="005EB8"/>
          <w:sz w:val="28"/>
        </w:rPr>
        <w:t>pandemic</w:t>
      </w:r>
    </w:p>
    <w:p w14:paraId="5E37839F" w14:textId="25BC706B" w:rsidR="007F56A9" w:rsidRPr="00D92A1C" w:rsidRDefault="00525377" w:rsidP="00B97C75">
      <w:pPr>
        <w:ind w:left="567" w:right="122"/>
        <w:rPr>
          <w:sz w:val="48"/>
        </w:rPr>
      </w:pPr>
      <w:r w:rsidRPr="00D92A1C">
        <w:rPr>
          <w:color w:val="005EB8"/>
          <w:spacing w:val="-10"/>
          <w:sz w:val="48"/>
        </w:rPr>
        <w:t xml:space="preserve">Clinical </w:t>
      </w:r>
      <w:r w:rsidRPr="00D92A1C">
        <w:rPr>
          <w:color w:val="005EB8"/>
          <w:spacing w:val="-9"/>
          <w:sz w:val="48"/>
        </w:rPr>
        <w:t xml:space="preserve">guide </w:t>
      </w:r>
      <w:r w:rsidRPr="00D92A1C">
        <w:rPr>
          <w:color w:val="005EB8"/>
          <w:spacing w:val="-7"/>
          <w:sz w:val="48"/>
        </w:rPr>
        <w:t xml:space="preserve">for the </w:t>
      </w:r>
      <w:r w:rsidRPr="00D92A1C">
        <w:rPr>
          <w:color w:val="005EB8"/>
          <w:spacing w:val="-10"/>
          <w:sz w:val="48"/>
        </w:rPr>
        <w:t xml:space="preserve">management </w:t>
      </w:r>
      <w:r w:rsidRPr="00D92A1C">
        <w:rPr>
          <w:color w:val="005EB8"/>
          <w:spacing w:val="-6"/>
          <w:sz w:val="48"/>
        </w:rPr>
        <w:t>of</w:t>
      </w:r>
      <w:r w:rsidRPr="00D92A1C">
        <w:rPr>
          <w:color w:val="005EB8"/>
          <w:spacing w:val="-70"/>
          <w:sz w:val="48"/>
        </w:rPr>
        <w:t xml:space="preserve"> </w:t>
      </w:r>
      <w:r w:rsidRPr="00D92A1C">
        <w:rPr>
          <w:color w:val="005EB8"/>
          <w:spacing w:val="-9"/>
          <w:sz w:val="48"/>
        </w:rPr>
        <w:t xml:space="preserve">stroke </w:t>
      </w:r>
      <w:r w:rsidRPr="00D92A1C">
        <w:rPr>
          <w:color w:val="005EB8"/>
          <w:spacing w:val="-10"/>
          <w:sz w:val="48"/>
        </w:rPr>
        <w:t xml:space="preserve">patients during </w:t>
      </w:r>
      <w:r w:rsidRPr="00D92A1C">
        <w:rPr>
          <w:color w:val="005EB8"/>
          <w:spacing w:val="-7"/>
          <w:sz w:val="48"/>
        </w:rPr>
        <w:t xml:space="preserve">the </w:t>
      </w:r>
      <w:r w:rsidR="00B61C17">
        <w:rPr>
          <w:color w:val="005EB8"/>
          <w:spacing w:val="-10"/>
          <w:sz w:val="48"/>
        </w:rPr>
        <w:t>COVID-19</w:t>
      </w:r>
      <w:r w:rsidR="00B61C17" w:rsidRPr="00D92A1C">
        <w:rPr>
          <w:color w:val="005EB8"/>
          <w:spacing w:val="-10"/>
          <w:sz w:val="48"/>
        </w:rPr>
        <w:t xml:space="preserve"> </w:t>
      </w:r>
      <w:r w:rsidRPr="00D92A1C">
        <w:rPr>
          <w:color w:val="005EB8"/>
          <w:spacing w:val="-10"/>
          <w:sz w:val="48"/>
        </w:rPr>
        <w:t>pandemic</w:t>
      </w:r>
    </w:p>
    <w:p w14:paraId="12C1461A" w14:textId="7E33FB57" w:rsidR="007F56A9" w:rsidRPr="00D92A1C" w:rsidRDefault="00B80858" w:rsidP="00B97C75">
      <w:pPr>
        <w:pStyle w:val="Heading2"/>
        <w:spacing w:before="241" w:line="360" w:lineRule="auto"/>
        <w:ind w:left="567" w:right="122"/>
      </w:pPr>
      <w:r>
        <w:rPr>
          <w:color w:val="005EB8"/>
        </w:rPr>
        <w:t>December 2021</w:t>
      </w:r>
    </w:p>
    <w:p w14:paraId="0D9F619B" w14:textId="1E49B9DC" w:rsidR="007F56A9" w:rsidRPr="00D92A1C" w:rsidRDefault="00D23062" w:rsidP="00B97C75">
      <w:pPr>
        <w:pStyle w:val="BodyText"/>
      </w:pPr>
      <w:r w:rsidRPr="00D92A1C">
        <w:rPr>
          <w:noProof/>
        </w:rPr>
        <mc:AlternateContent>
          <mc:Choice Requires="wps">
            <w:drawing>
              <wp:anchor distT="0" distB="0" distL="114300" distR="114300" simplePos="0" relativeHeight="251658240" behindDoc="1" locked="0" layoutInCell="1" allowOverlap="1" wp14:anchorId="652BEBB8" wp14:editId="72C33152">
                <wp:simplePos x="0" y="0"/>
                <wp:positionH relativeFrom="page">
                  <wp:posOffset>4804410</wp:posOffset>
                </wp:positionH>
                <wp:positionV relativeFrom="paragraph">
                  <wp:posOffset>1302385</wp:posOffset>
                </wp:positionV>
                <wp:extent cx="42545" cy="11430"/>
                <wp:effectExtent l="3810" t="2540" r="127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14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0D2A6" id="Rectangle 2" o:spid="_x0000_s1026" style="position:absolute;margin-left:378.3pt;margin-top:102.55pt;width:3.35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" fillcolor="#006fc0" stroked="f">
                <w10:wrap anchorx="page"/>
              </v:rect>
            </w:pict>
          </mc:Fallback>
        </mc:AlternateContent>
      </w:r>
      <w:r w:rsidR="00525377" w:rsidRPr="00D92A1C">
        <w:t xml:space="preserve">As doctors we all have general responsibilities in relation to </w:t>
      </w:r>
      <w:r w:rsidR="00B61C17">
        <w:t>COVID-19</w:t>
      </w:r>
      <w:r w:rsidR="00B61C17" w:rsidRPr="00D92A1C">
        <w:t xml:space="preserve"> </w:t>
      </w:r>
      <w:r w:rsidR="00525377" w:rsidRPr="00D92A1C">
        <w:t xml:space="preserve">and for these we should seek and act on national and local guidelines. We also have a specific responsibility to ensure that essential care continues with the minimum burden on the NHS. We must engage with those planning our local response. We may also need to work outside our specific areas of training and expertise and the </w:t>
      </w:r>
      <w:hyperlink r:id="rId9" w:history="1">
        <w:r w:rsidR="001F3B23" w:rsidRPr="00D92A1C">
          <w:rPr>
            <w:rFonts w:cs="Times New Roman"/>
            <w:color w:val="0070C0"/>
            <w:u w:val="single"/>
            <w:lang w:eastAsia="en-US" w:bidi="ar-SA"/>
          </w:rPr>
          <w:t>General Medical Council (GMC) has already indicated its support</w:t>
        </w:r>
      </w:hyperlink>
      <w:r w:rsidR="001F3B23" w:rsidRPr="00D92A1C">
        <w:rPr>
          <w:rFonts w:cs="Times New Roman"/>
          <w:color w:val="231F20"/>
          <w:lang w:eastAsia="en-US" w:bidi="ar-SA"/>
        </w:rPr>
        <w:t xml:space="preserve"> </w:t>
      </w:r>
      <w:r w:rsidR="00525377" w:rsidRPr="00D92A1C">
        <w:t>for this in the exceptional circumstances we may face.</w:t>
      </w:r>
      <w:r w:rsidR="001F3B23" w:rsidRPr="00D92A1C">
        <w:t xml:space="preserve"> </w:t>
      </w:r>
    </w:p>
    <w:p w14:paraId="670A2671" w14:textId="2D18C1F5" w:rsidR="00C30518" w:rsidRDefault="00525377" w:rsidP="00C30518">
      <w:pPr>
        <w:pStyle w:val="BodyText"/>
        <w:ind w:right="-20"/>
      </w:pPr>
      <w:r w:rsidRPr="00D92A1C">
        <w:t>Much of stroke medicine is in the front</w:t>
      </w:r>
      <w:r>
        <w:t xml:space="preserve"> </w:t>
      </w:r>
      <w:r w:rsidRPr="00D92A1C">
        <w:t>line, with responsibilities involving direct and indirect support to emergency departments (EDs) and admissions units. Most stroke physicians</w:t>
      </w:r>
      <w:r w:rsidR="00C23E7B">
        <w:t>,</w:t>
      </w:r>
      <w:r w:rsidRPr="00D92A1C">
        <w:t xml:space="preserve"> however</w:t>
      </w:r>
      <w:r w:rsidR="00C23E7B">
        <w:t>,</w:t>
      </w:r>
      <w:r w:rsidRPr="00D92A1C">
        <w:t xml:space="preserve"> have dual or triple accreditation in general medicine and/or geriatrics. Therefore</w:t>
      </w:r>
      <w:r w:rsidR="0019174B">
        <w:t>,</w:t>
      </w:r>
      <w:r w:rsidRPr="00D92A1C">
        <w:t xml:space="preserve"> some services may need to consider how they extend their roles to release clinicians to support the general emergency medical take and inpatient bed base. We should seek the best local solutions to continue the proper management while developing and protecting resources for the response to </w:t>
      </w:r>
      <w:r w:rsidR="0019174B">
        <w:t>COVID-19</w:t>
      </w:r>
      <w:r w:rsidRPr="00D92A1C">
        <w:t>.</w:t>
      </w:r>
      <w:r w:rsidR="00C30518" w:rsidRPr="00C30518">
        <w:t xml:space="preserve"> </w:t>
      </w:r>
    </w:p>
    <w:p w14:paraId="0210DE61" w14:textId="093C60D1" w:rsidR="007F56A9" w:rsidRPr="00D92A1C" w:rsidRDefault="00C30518" w:rsidP="00C30518">
      <w:pPr>
        <w:pStyle w:val="BodyText"/>
        <w:ind w:right="-20"/>
      </w:pPr>
      <w:r w:rsidRPr="00D92A1C">
        <w:t xml:space="preserve">In addition, overall factors such as staff sickness, supply chain shortages and the use of some facilities to develop additional in-patient capacity including high dependency unit and intensive treatment unit (ITU) resources may </w:t>
      </w:r>
      <w:r w:rsidR="00C23E7B">
        <w:t xml:space="preserve">have an </w:t>
      </w:r>
      <w:r w:rsidRPr="00D92A1C">
        <w:t>impact on normal pathways of care.</w:t>
      </w:r>
    </w:p>
    <w:p w14:paraId="14825463" w14:textId="5A9FEF8D" w:rsidR="007F56A9" w:rsidRPr="00D92A1C" w:rsidRDefault="00525377" w:rsidP="00540129">
      <w:pPr>
        <w:pStyle w:val="Heading3"/>
        <w:spacing w:before="92"/>
        <w:ind w:left="3874" w:firstLine="0"/>
        <w:sectPr w:rsidR="007F56A9" w:rsidRPr="00D92A1C" w:rsidSect="00B97C75">
          <w:footerReference w:type="default" r:id="rId10"/>
          <w:type w:val="continuous"/>
          <w:pgSz w:w="11910" w:h="16840"/>
          <w:pgMar w:top="720" w:right="720" w:bottom="720" w:left="720" w:header="720" w:footer="1871" w:gutter="0"/>
          <w:cols w:space="720"/>
          <w:docGrid w:linePitch="299"/>
        </w:sectPr>
      </w:pPr>
      <w:r w:rsidRPr="00D92A1C">
        <w:rPr>
          <w:noProof/>
        </w:rPr>
        <w:drawing>
          <wp:anchor distT="0" distB="0" distL="0" distR="0" simplePos="0" relativeHeight="251657216" behindDoc="0" locked="0" layoutInCell="1" allowOverlap="1" wp14:anchorId="60FECC48" wp14:editId="6B7BDABC">
            <wp:simplePos x="0" y="0"/>
            <wp:positionH relativeFrom="page">
              <wp:posOffset>0</wp:posOffset>
            </wp:positionH>
            <wp:positionV relativeFrom="paragraph">
              <wp:posOffset>751840</wp:posOffset>
            </wp:positionV>
            <wp:extent cx="7550150" cy="472440"/>
            <wp:effectExtent l="0" t="0" r="0" b="381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550150" cy="472440"/>
                    </a:xfrm>
                    <a:prstGeom prst="rect">
                      <a:avLst/>
                    </a:prstGeom>
                  </pic:spPr>
                </pic:pic>
              </a:graphicData>
            </a:graphic>
          </wp:anchor>
        </w:drawing>
      </w:r>
    </w:p>
    <w:p w14:paraId="4AF8D0EC" w14:textId="77777777" w:rsidR="007F56A9" w:rsidRPr="00D92A1C" w:rsidRDefault="00525377" w:rsidP="00F94A13">
      <w:pPr>
        <w:pStyle w:val="BodyText"/>
        <w:ind w:right="-20"/>
      </w:pPr>
      <w:r w:rsidRPr="00D92A1C">
        <w:lastRenderedPageBreak/>
        <w:t>An acceptance of the need to reduce the stroke inpatient bed base to accommodate the potential influx of non-stroke patients is paramount, although ensuing that stroke patients have access when needed is crucial.</w:t>
      </w:r>
    </w:p>
    <w:p w14:paraId="62FB613A" w14:textId="0435C8D4" w:rsidR="007F56A9" w:rsidRPr="00D92A1C" w:rsidRDefault="00525377" w:rsidP="00F94A13">
      <w:pPr>
        <w:pStyle w:val="BodyText"/>
        <w:ind w:right="-20"/>
      </w:pPr>
      <w:r w:rsidRPr="00D92A1C">
        <w:t>Many services will already have elements of virtual assessment in operation along the stroke pathway. It is suggested that where these have been used for out of hours assessments, one considers their use during normal working hours also. There will be other opportunities to use virtual assessments where they have not previous</w:t>
      </w:r>
      <w:r w:rsidR="008129C5">
        <w:t>ly</w:t>
      </w:r>
      <w:r w:rsidRPr="00D92A1C">
        <w:t xml:space="preserve"> been used; the use of novel </w:t>
      </w:r>
      <w:r w:rsidR="00D92A1C">
        <w:t>(</w:t>
      </w:r>
      <w:proofErr w:type="spellStart"/>
      <w:r w:rsidR="00D92A1C">
        <w:t>Hospify</w:t>
      </w:r>
      <w:proofErr w:type="spellEnd"/>
      <w:r w:rsidR="00D92A1C">
        <w:t>/</w:t>
      </w:r>
      <w:r w:rsidRPr="00D92A1C">
        <w:t xml:space="preserve">Facetime/WhatsApp video call) mobile apps with established virtual assessments should be considered for extension to settings such as multidisciplinary teams (MDTs), pre-hospital, virtual ward rounds and rehabilitation. There are pre-existing </w:t>
      </w:r>
      <w:hyperlink r:id="rId12">
        <w:r w:rsidRPr="00D92A1C">
          <w:rPr>
            <w:color w:val="006FC0"/>
            <w:u w:val="single" w:color="006FC0"/>
          </w:rPr>
          <w:t>GDPR clause</w:t>
        </w:r>
        <w:r w:rsidR="0053381D">
          <w:rPr>
            <w:color w:val="006FC0"/>
            <w:u w:val="single" w:color="006FC0"/>
          </w:rPr>
          <w:t xml:space="preserve">s (see the </w:t>
        </w:r>
        <w:r w:rsidR="0053381D" w:rsidRPr="0053381D">
          <w:rPr>
            <w:color w:val="006FC0"/>
            <w:u w:val="single" w:color="006FC0"/>
          </w:rPr>
          <w:t>European Data Protection Board</w:t>
        </w:r>
        <w:r w:rsidR="0053381D">
          <w:rPr>
            <w:color w:val="006FC0"/>
            <w:u w:val="single" w:color="006FC0"/>
          </w:rPr>
          <w:t xml:space="preserve"> statement)</w:t>
        </w:r>
        <w:r w:rsidRPr="00D92A1C">
          <w:rPr>
            <w:color w:val="006FC0"/>
          </w:rPr>
          <w:t xml:space="preserve"> </w:t>
        </w:r>
      </w:hyperlink>
      <w:r w:rsidRPr="00D92A1C">
        <w:t>offering flexibility in times of crisis, and we would encourage use of facilitative technologies during this time.</w:t>
      </w:r>
    </w:p>
    <w:p w14:paraId="5512DDEE" w14:textId="24C6A8D5" w:rsidR="007F56A9" w:rsidRPr="00D92A1C" w:rsidRDefault="00525377" w:rsidP="00F94A13">
      <w:pPr>
        <w:pStyle w:val="BodyText"/>
        <w:ind w:right="-20"/>
      </w:pPr>
      <w:r w:rsidRPr="00D92A1C">
        <w:t>Consider enhanced pre</w:t>
      </w:r>
      <w:r w:rsidR="00540129">
        <w:t>-</w:t>
      </w:r>
      <w:r w:rsidRPr="00D92A1C">
        <w:t xml:space="preserve">hospital communication with </w:t>
      </w:r>
      <w:r w:rsidR="00540129">
        <w:t xml:space="preserve">a </w:t>
      </w:r>
      <w:r w:rsidRPr="00D92A1C">
        <w:t xml:space="preserve">senior stroke decision maker to reduce unnecessary conveyance to hospital for patients with a stroke mimic or transient ischaemic attack (TIA) – this may include the rapid introduction of pre-hospital telemedicine, </w:t>
      </w:r>
      <w:r w:rsidR="001F3B23" w:rsidRPr="00D92A1C">
        <w:t xml:space="preserve">for example </w:t>
      </w:r>
      <w:r w:rsidRPr="00D92A1C">
        <w:t xml:space="preserve">via apps such as </w:t>
      </w:r>
      <w:proofErr w:type="spellStart"/>
      <w:r w:rsidR="00D92A1C">
        <w:t>GoodSA</w:t>
      </w:r>
      <w:r w:rsidR="0013524F">
        <w:t>M</w:t>
      </w:r>
      <w:proofErr w:type="spellEnd"/>
      <w:r w:rsidRPr="00D92A1C">
        <w:t xml:space="preserve">/Facetime. Work on the direct to CT pathway for patients with clear stroke symptoms and an onset time that makes them amenable to </w:t>
      </w:r>
      <w:proofErr w:type="spellStart"/>
      <w:r w:rsidRPr="00D92A1C">
        <w:t>recanalisation</w:t>
      </w:r>
      <w:proofErr w:type="spellEnd"/>
      <w:r w:rsidRPr="00D92A1C">
        <w:t xml:space="preserve"> therapy.</w:t>
      </w:r>
    </w:p>
    <w:p w14:paraId="4FD8E4D4" w14:textId="77777777" w:rsidR="007F56A9" w:rsidRPr="00D92A1C" w:rsidRDefault="00525377" w:rsidP="00F94A13">
      <w:pPr>
        <w:pStyle w:val="Heading1"/>
        <w:spacing w:before="223"/>
        <w:ind w:right="-20"/>
      </w:pPr>
      <w:r w:rsidRPr="00D92A1C">
        <w:t>Maintaining high standards of stroke care across the pathway</w:t>
      </w:r>
    </w:p>
    <w:p w14:paraId="06707901" w14:textId="77777777" w:rsidR="007F56A9" w:rsidRPr="00D92A1C" w:rsidRDefault="00525377" w:rsidP="00C30518">
      <w:pPr>
        <w:pStyle w:val="BodyText"/>
        <w:spacing w:after="0"/>
        <w:ind w:right="-23"/>
      </w:pPr>
      <w:r w:rsidRPr="00D92A1C">
        <w:t>Many facets of the stroke pathway are deemed important, but during this time of considerable pressure some that should hold precedence:</w:t>
      </w:r>
    </w:p>
    <w:p w14:paraId="23DEC5C6" w14:textId="6FBA9F0D" w:rsidR="007F56A9" w:rsidRPr="00D92A1C" w:rsidRDefault="00525377" w:rsidP="00F94A13">
      <w:pPr>
        <w:pStyle w:val="ListParagraph"/>
        <w:ind w:right="-20"/>
      </w:pPr>
      <w:r w:rsidRPr="00525377">
        <w:t>early senior assessment on admission (</w:t>
      </w:r>
      <w:r w:rsidR="0013524F">
        <w:t xml:space="preserve">less than </w:t>
      </w:r>
      <w:r w:rsidRPr="00525377">
        <w:t>1 hour) – this may be face-to-face with PPE, but cons</w:t>
      </w:r>
      <w:r w:rsidRPr="00D92A1C">
        <w:t>ider secondary reviews via video or</w:t>
      </w:r>
      <w:r w:rsidRPr="00D92A1C">
        <w:rPr>
          <w:spacing w:val="-2"/>
        </w:rPr>
        <w:t xml:space="preserve"> </w:t>
      </w:r>
      <w:r w:rsidRPr="00D92A1C">
        <w:t>telephone</w:t>
      </w:r>
    </w:p>
    <w:p w14:paraId="34560F6D" w14:textId="715E219B" w:rsidR="007F56A9" w:rsidRPr="00D92A1C" w:rsidRDefault="00525377" w:rsidP="00F94A13">
      <w:pPr>
        <w:pStyle w:val="ListParagraph"/>
        <w:ind w:right="-20"/>
      </w:pPr>
      <w:r w:rsidRPr="00D92A1C">
        <w:t>early appropriate cerebral imaging (</w:t>
      </w:r>
      <w:r w:rsidR="0013524F" w:rsidRPr="0013524F">
        <w:t xml:space="preserve">less than </w:t>
      </w:r>
      <w:r w:rsidRPr="00D92A1C">
        <w:t>1 hour)</w:t>
      </w:r>
    </w:p>
    <w:p w14:paraId="649AA1E9" w14:textId="77777777" w:rsidR="007F56A9" w:rsidRPr="00D92A1C" w:rsidRDefault="00525377" w:rsidP="00F94A13">
      <w:pPr>
        <w:pStyle w:val="ListParagraph"/>
        <w:ind w:right="-20"/>
      </w:pPr>
      <w:r w:rsidRPr="00D92A1C">
        <w:t>rapid thrombolysis and referral for</w:t>
      </w:r>
      <w:r w:rsidRPr="00D92A1C">
        <w:rPr>
          <w:spacing w:val="-3"/>
        </w:rPr>
        <w:t xml:space="preserve"> </w:t>
      </w:r>
      <w:r w:rsidRPr="00D92A1C">
        <w:t>thrombectomy</w:t>
      </w:r>
    </w:p>
    <w:p w14:paraId="1B425544" w14:textId="433C259A" w:rsidR="007F56A9" w:rsidRPr="00D92A1C" w:rsidRDefault="00525377" w:rsidP="00F94A13">
      <w:pPr>
        <w:pStyle w:val="ListParagraph"/>
        <w:ind w:right="-20"/>
      </w:pPr>
      <w:r w:rsidRPr="00D92A1C">
        <w:t>early reversal of anticoagulation and management of raised BP in patients with intracerebral haemorrhage (</w:t>
      </w:r>
      <w:r w:rsidR="0013524F" w:rsidRPr="0013524F">
        <w:t xml:space="preserve">less than </w:t>
      </w:r>
      <w:r w:rsidRPr="00D92A1C">
        <w:t>1 hour)</w:t>
      </w:r>
    </w:p>
    <w:p w14:paraId="5ACDE193" w14:textId="77777777" w:rsidR="007F56A9" w:rsidRPr="00D92A1C" w:rsidRDefault="00525377" w:rsidP="00F94A13">
      <w:pPr>
        <w:pStyle w:val="ListParagraph"/>
        <w:ind w:right="-20"/>
      </w:pPr>
      <w:r w:rsidRPr="00D92A1C">
        <w:t>direct admission to stroke unit early swallow</w:t>
      </w:r>
      <w:r w:rsidRPr="00D92A1C">
        <w:rPr>
          <w:spacing w:val="-2"/>
        </w:rPr>
        <w:t xml:space="preserve"> </w:t>
      </w:r>
      <w:r w:rsidRPr="00D92A1C">
        <w:t>screen</w:t>
      </w:r>
    </w:p>
    <w:p w14:paraId="5188188D" w14:textId="757B6D2B" w:rsidR="007F56A9" w:rsidRPr="00D92A1C" w:rsidRDefault="00525377" w:rsidP="00F94A13">
      <w:pPr>
        <w:pStyle w:val="ListParagraph"/>
        <w:ind w:right="-20"/>
      </w:pPr>
      <w:r w:rsidRPr="00D92A1C">
        <w:t>maintain stay on stroke unit for as long as patient benefitting from</w:t>
      </w:r>
      <w:r w:rsidRPr="00D92A1C">
        <w:rPr>
          <w:spacing w:val="-4"/>
        </w:rPr>
        <w:t xml:space="preserve"> </w:t>
      </w:r>
      <w:r w:rsidRPr="00D92A1C">
        <w:t>care</w:t>
      </w:r>
    </w:p>
    <w:p w14:paraId="6D22C258" w14:textId="1B17FDDD" w:rsidR="007F56A9" w:rsidRPr="00D92A1C" w:rsidRDefault="0013524F" w:rsidP="00540129">
      <w:pPr>
        <w:pStyle w:val="ListParagraph"/>
        <w:spacing w:after="240" w:line="298" w:lineRule="auto"/>
        <w:ind w:right="-23"/>
      </w:pPr>
      <w:r>
        <w:t>r</w:t>
      </w:r>
      <w:r w:rsidR="00525377" w:rsidRPr="00D92A1C">
        <w:t>apid discharge to Early Supported Discharge Services to minimise time spent is</w:t>
      </w:r>
      <w:r w:rsidR="00525377" w:rsidRPr="00D92A1C">
        <w:rPr>
          <w:spacing w:val="-1"/>
        </w:rPr>
        <w:t xml:space="preserve"> </w:t>
      </w:r>
      <w:r w:rsidR="00525377" w:rsidRPr="00D92A1C">
        <w:t>hospital</w:t>
      </w:r>
      <w:r w:rsidR="00ED53C0">
        <w:t>.</w:t>
      </w:r>
    </w:p>
    <w:p w14:paraId="6D525647" w14:textId="77777777" w:rsidR="007F56A9" w:rsidRPr="00D92A1C" w:rsidRDefault="00525377" w:rsidP="00F94A13">
      <w:pPr>
        <w:pStyle w:val="Heading1"/>
        <w:ind w:right="-20"/>
      </w:pPr>
      <w:r w:rsidRPr="00D92A1C">
        <w:t>Stroke patients can be considered in a few categories:</w:t>
      </w:r>
    </w:p>
    <w:p w14:paraId="0AC4E406" w14:textId="77777777" w:rsidR="007F56A9" w:rsidRPr="00D92A1C" w:rsidRDefault="00525377" w:rsidP="00F94A13">
      <w:pPr>
        <w:pStyle w:val="ListParagraph"/>
        <w:ind w:right="-20"/>
      </w:pPr>
      <w:r w:rsidRPr="00D92A1C">
        <w:rPr>
          <w:b/>
        </w:rPr>
        <w:t>Hyper-acute admissions</w:t>
      </w:r>
      <w:r w:rsidRPr="00C30518">
        <w:rPr>
          <w:b/>
          <w:bCs/>
        </w:rPr>
        <w:t>:</w:t>
      </w:r>
      <w:r w:rsidRPr="00D92A1C">
        <w:t xml:space="preserve"> Continue to require urgent assessment for thrombolysis and thrombectomy and ongoing management. We must expedite treatment to avoid delays and expedite rehabilitation to minimise length of</w:t>
      </w:r>
      <w:r w:rsidRPr="00D92A1C">
        <w:rPr>
          <w:spacing w:val="-1"/>
        </w:rPr>
        <w:t xml:space="preserve"> </w:t>
      </w:r>
      <w:r w:rsidRPr="00D92A1C">
        <w:t>stay.</w:t>
      </w:r>
    </w:p>
    <w:p w14:paraId="3E6C61F8" w14:textId="3BFF6E6E" w:rsidR="007F56A9" w:rsidRPr="00D92A1C" w:rsidRDefault="00525377" w:rsidP="00F94A13">
      <w:pPr>
        <w:pStyle w:val="ListParagraph"/>
        <w:numPr>
          <w:ilvl w:val="1"/>
          <w:numId w:val="1"/>
        </w:numPr>
        <w:tabs>
          <w:tab w:val="clear" w:pos="993"/>
        </w:tabs>
        <w:ind w:left="1418" w:right="-20"/>
      </w:pPr>
      <w:r w:rsidRPr="00D92A1C">
        <w:t xml:space="preserve">Remote telemedicine review of all potential thrombolysis patients in </w:t>
      </w:r>
      <w:r w:rsidR="00F94A13">
        <w:t>emergency department (</w:t>
      </w:r>
      <w:r w:rsidRPr="00D92A1C">
        <w:t>ED</w:t>
      </w:r>
      <w:r w:rsidR="00F94A13">
        <w:t>)</w:t>
      </w:r>
      <w:r w:rsidRPr="00D92A1C">
        <w:t xml:space="preserve">, this </w:t>
      </w:r>
      <w:r w:rsidR="008F3710">
        <w:t>may have value</w:t>
      </w:r>
      <w:r w:rsidRPr="00D92A1C">
        <w:t xml:space="preserve"> both in and out of</w:t>
      </w:r>
      <w:r w:rsidRPr="00D92A1C">
        <w:rPr>
          <w:spacing w:val="-2"/>
        </w:rPr>
        <w:t xml:space="preserve"> </w:t>
      </w:r>
      <w:r w:rsidRPr="00D92A1C">
        <w:t>hours.</w:t>
      </w:r>
    </w:p>
    <w:p w14:paraId="5EF72BE0" w14:textId="77777777" w:rsidR="007F56A9" w:rsidRPr="00D92A1C" w:rsidRDefault="00525377" w:rsidP="00F94A13">
      <w:pPr>
        <w:pStyle w:val="ListParagraph"/>
        <w:numPr>
          <w:ilvl w:val="1"/>
          <w:numId w:val="1"/>
        </w:numPr>
        <w:tabs>
          <w:tab w:val="clear" w:pos="993"/>
        </w:tabs>
        <w:ind w:left="1418" w:right="-20"/>
      </w:pPr>
      <w:r w:rsidRPr="00D92A1C">
        <w:t xml:space="preserve">Consider first-line MRI (to avoid CT followed by MRI) in patients you think are likely to need an MRI – to release CT capacity, and avoid ‘confirmatory’ MRI scanning in </w:t>
      </w:r>
      <w:r w:rsidRPr="00D92A1C">
        <w:lastRenderedPageBreak/>
        <w:t>patients with a clinical diagnosis of</w:t>
      </w:r>
      <w:r w:rsidRPr="00D92A1C">
        <w:rPr>
          <w:spacing w:val="-38"/>
        </w:rPr>
        <w:t xml:space="preserve"> </w:t>
      </w:r>
      <w:r w:rsidRPr="00D92A1C">
        <w:t>stroke.</w:t>
      </w:r>
    </w:p>
    <w:p w14:paraId="4B5B26D6" w14:textId="0E964A22" w:rsidR="007F56A9" w:rsidRPr="00D92A1C" w:rsidRDefault="00525377" w:rsidP="00F94A13">
      <w:pPr>
        <w:pStyle w:val="ListParagraph"/>
        <w:numPr>
          <w:ilvl w:val="1"/>
          <w:numId w:val="1"/>
        </w:numPr>
        <w:tabs>
          <w:tab w:val="clear" w:pos="993"/>
        </w:tabs>
        <w:ind w:left="1418" w:right="-20"/>
      </w:pPr>
      <w:r w:rsidRPr="00D92A1C">
        <w:t xml:space="preserve">Consider </w:t>
      </w:r>
      <w:r w:rsidR="00ED53C0">
        <w:t>c</w:t>
      </w:r>
      <w:r w:rsidR="00ED53C0" w:rsidRPr="00ED53C0">
        <w:t>omputed tomography angiography (</w:t>
      </w:r>
      <w:r w:rsidRPr="00D92A1C">
        <w:t>CTA</w:t>
      </w:r>
      <w:r w:rsidR="00ED53C0">
        <w:t>)</w:t>
      </w:r>
      <w:r w:rsidRPr="00D92A1C">
        <w:t xml:space="preserve"> for all patients with carotid territory symptoms at time of presentation to avoid need for inefficient return to imaging</w:t>
      </w:r>
      <w:r w:rsidRPr="00D92A1C">
        <w:rPr>
          <w:spacing w:val="-5"/>
        </w:rPr>
        <w:t xml:space="preserve"> </w:t>
      </w:r>
      <w:r w:rsidRPr="00D92A1C">
        <w:t>department.</w:t>
      </w:r>
    </w:p>
    <w:p w14:paraId="02EDC041" w14:textId="0272C8DA" w:rsidR="007F56A9" w:rsidRPr="00D92A1C" w:rsidRDefault="00525377" w:rsidP="00F94A13">
      <w:pPr>
        <w:pStyle w:val="ListParagraph"/>
        <w:numPr>
          <w:ilvl w:val="1"/>
          <w:numId w:val="1"/>
        </w:numPr>
        <w:tabs>
          <w:tab w:val="clear" w:pos="993"/>
        </w:tabs>
        <w:ind w:left="1418" w:right="-20"/>
      </w:pPr>
      <w:r w:rsidRPr="00D92A1C">
        <w:t xml:space="preserve">Rapid introduction </w:t>
      </w:r>
      <w:r w:rsidR="00AA0053" w:rsidRPr="00D92A1C">
        <w:t xml:space="preserve">of artificial intelligence </w:t>
      </w:r>
      <w:r w:rsidRPr="00D92A1C">
        <w:t>to speed up image interpretation remotely, adoption should be coordinated across networks, rather than by individual providers, to ensure</w:t>
      </w:r>
      <w:r w:rsidRPr="00D92A1C">
        <w:rPr>
          <w:spacing w:val="-5"/>
        </w:rPr>
        <w:t xml:space="preserve"> </w:t>
      </w:r>
      <w:r w:rsidRPr="00D92A1C">
        <w:t>interoperability.</w:t>
      </w:r>
    </w:p>
    <w:p w14:paraId="75F52F4A" w14:textId="77777777" w:rsidR="007F56A9" w:rsidRPr="00D92A1C" w:rsidRDefault="00525377" w:rsidP="00F94A13">
      <w:pPr>
        <w:pStyle w:val="ListParagraph"/>
        <w:numPr>
          <w:ilvl w:val="1"/>
          <w:numId w:val="1"/>
        </w:numPr>
        <w:tabs>
          <w:tab w:val="clear" w:pos="993"/>
        </w:tabs>
        <w:ind w:left="1418" w:right="-20"/>
      </w:pPr>
      <w:r w:rsidRPr="00D92A1C">
        <w:t>Regional telemedicine rotas should be explored to enable continuity of service.</w:t>
      </w:r>
    </w:p>
    <w:p w14:paraId="35253CA3" w14:textId="5AFAEB3A" w:rsidR="007F56A9" w:rsidRPr="00D92A1C" w:rsidRDefault="00525377" w:rsidP="00F94A13">
      <w:pPr>
        <w:pStyle w:val="ListParagraph"/>
        <w:numPr>
          <w:ilvl w:val="1"/>
          <w:numId w:val="1"/>
        </w:numPr>
        <w:tabs>
          <w:tab w:val="clear" w:pos="993"/>
        </w:tabs>
        <w:ind w:left="1418" w:right="-20"/>
      </w:pPr>
      <w:r w:rsidRPr="00D92A1C">
        <w:t>Where individual stroke services have limited depth of consultant cover and therefore their sustainability vulnerable to sickness leave,</w:t>
      </w:r>
      <w:r w:rsidRPr="00D92A1C">
        <w:rPr>
          <w:spacing w:val="-6"/>
        </w:rPr>
        <w:t xml:space="preserve"> </w:t>
      </w:r>
      <w:r w:rsidR="00D92A1C" w:rsidRPr="00D92A1C">
        <w:rPr>
          <w:spacing w:val="-6"/>
        </w:rPr>
        <w:t xml:space="preserve">ensure ‘shadow rotas’ are in place and embark on rapid discussions for system optimisation with all co-dependant services and organisations, including ambulance trusts, to plan for this eventuality; clear descriptions of ‘tipping’ points to be articulated. Virtual consultant cover to facilitate these units remaining open should be considered, as should the possibility of using non-routinely admitting units to care for direct admissions. </w:t>
      </w:r>
      <w:r w:rsidRPr="00D92A1C">
        <w:t>Your regional medical directors and clinical networks should be involved in these discussions.</w:t>
      </w:r>
    </w:p>
    <w:p w14:paraId="7093FC59" w14:textId="08900434" w:rsidR="007F56A9" w:rsidRPr="00D92A1C" w:rsidRDefault="00525377" w:rsidP="00F94A13">
      <w:pPr>
        <w:pStyle w:val="ListParagraph"/>
        <w:numPr>
          <w:ilvl w:val="1"/>
          <w:numId w:val="1"/>
        </w:numPr>
        <w:tabs>
          <w:tab w:val="clear" w:pos="993"/>
        </w:tabs>
        <w:ind w:left="1418" w:right="-20"/>
      </w:pPr>
      <w:r w:rsidRPr="00D92A1C">
        <w:t xml:space="preserve">Where an organisation has several sites and </w:t>
      </w:r>
      <w:r w:rsidR="00843197">
        <w:t>1</w:t>
      </w:r>
      <w:r w:rsidR="00843197" w:rsidRPr="00D92A1C">
        <w:t xml:space="preserve"> </w:t>
      </w:r>
      <w:r w:rsidRPr="00D92A1C">
        <w:t xml:space="preserve">does not have an ED but </w:t>
      </w:r>
      <w:r w:rsidR="00843197">
        <w:t xml:space="preserve">has </w:t>
      </w:r>
      <w:r w:rsidRPr="00D92A1C">
        <w:t>imaging/ITU and overnight medical cover, consider the temporary transfer of the stroke service, with staff, to that site with direct admission – caring for the inevitable stroke mimic patient should be a local decision but reliance upon secondary conveyance by the ambulance service may not be</w:t>
      </w:r>
      <w:r w:rsidRPr="00D92A1C">
        <w:rPr>
          <w:spacing w:val="-1"/>
        </w:rPr>
        <w:t xml:space="preserve"> </w:t>
      </w:r>
      <w:r w:rsidRPr="00D92A1C">
        <w:t>realistic.</w:t>
      </w:r>
    </w:p>
    <w:p w14:paraId="04438413" w14:textId="1DA6D227" w:rsidR="007F56A9" w:rsidRPr="00D92A1C" w:rsidRDefault="00525377" w:rsidP="00F94A13">
      <w:pPr>
        <w:pStyle w:val="ListParagraph"/>
        <w:ind w:right="-20"/>
        <w:rPr>
          <w:b/>
          <w:bCs/>
        </w:rPr>
      </w:pPr>
      <w:r w:rsidRPr="00D92A1C">
        <w:rPr>
          <w:b/>
          <w:bCs/>
        </w:rPr>
        <w:t>Suspected TIA patients</w:t>
      </w:r>
      <w:r w:rsidR="00C30518">
        <w:rPr>
          <w:b/>
          <w:bCs/>
        </w:rPr>
        <w:t>:</w:t>
      </w:r>
    </w:p>
    <w:p w14:paraId="2D2E7D62" w14:textId="64624EAC" w:rsidR="007F56A9" w:rsidRPr="00D92A1C" w:rsidRDefault="00525377" w:rsidP="00F94A13">
      <w:pPr>
        <w:pStyle w:val="ListParagraph"/>
        <w:numPr>
          <w:ilvl w:val="1"/>
          <w:numId w:val="1"/>
        </w:numPr>
        <w:tabs>
          <w:tab w:val="clear" w:pos="993"/>
        </w:tabs>
        <w:ind w:left="1418" w:right="-20"/>
      </w:pPr>
      <w:r w:rsidRPr="00D92A1C">
        <w:t xml:space="preserve">Telephone triage for all TIA referrals followed by virtual TIA clinic (via telephone or video app) </w:t>
      </w:r>
      <w:r w:rsidR="0026237C">
        <w:t xml:space="preserve">or face-to-face </w:t>
      </w:r>
      <w:r w:rsidRPr="00D92A1C">
        <w:t xml:space="preserve">– TIA patients should </w:t>
      </w:r>
      <w:r w:rsidR="0026237C">
        <w:t xml:space="preserve">not </w:t>
      </w:r>
      <w:r w:rsidRPr="00D92A1C">
        <w:t>be admitted or kept in ED</w:t>
      </w:r>
      <w:r w:rsidR="00E95A35">
        <w:t xml:space="preserve"> </w:t>
      </w:r>
      <w:r w:rsidR="00E95A35" w:rsidRPr="00E95A35">
        <w:t>–</w:t>
      </w:r>
      <w:r w:rsidRPr="00D92A1C">
        <w:t xml:space="preserve"> with the opportunity to deliver</w:t>
      </w:r>
      <w:r w:rsidR="00A23DE4">
        <w:t xml:space="preserve"> </w:t>
      </w:r>
      <w:r w:rsidRPr="00D92A1C">
        <w:t>TIA assessments</w:t>
      </w:r>
      <w:r w:rsidRPr="00D92A1C">
        <w:rPr>
          <w:spacing w:val="-1"/>
        </w:rPr>
        <w:t xml:space="preserve"> </w:t>
      </w:r>
      <w:r w:rsidRPr="00D92A1C">
        <w:t>virtually</w:t>
      </w:r>
      <w:r w:rsidR="00843197">
        <w:t>.</w:t>
      </w:r>
    </w:p>
    <w:p w14:paraId="6B8CE015" w14:textId="074F47F8" w:rsidR="007F56A9" w:rsidRPr="00D92A1C" w:rsidRDefault="00525377" w:rsidP="00F94A13">
      <w:pPr>
        <w:pStyle w:val="ListParagraph"/>
        <w:numPr>
          <w:ilvl w:val="1"/>
          <w:numId w:val="1"/>
        </w:numPr>
        <w:tabs>
          <w:tab w:val="clear" w:pos="993"/>
        </w:tabs>
        <w:ind w:left="1418" w:right="-20"/>
      </w:pPr>
      <w:r w:rsidRPr="00D92A1C">
        <w:t>Access to BP recordings and an ECG are important aspects of the TIA assessment and methods to ensure patients receive this at the point of referral or within</w:t>
      </w:r>
      <w:r w:rsidR="00D92A1C">
        <w:t xml:space="preserve"> a few days </w:t>
      </w:r>
      <w:r w:rsidRPr="00D92A1C">
        <w:t>of assessment should be explored locally. The prescription of and delivery of secondary preventative medicines is a vital aspect of a TIA service: ensuring there are local prescribing/delivery options available is</w:t>
      </w:r>
      <w:r w:rsidRPr="00D92A1C">
        <w:rPr>
          <w:spacing w:val="-2"/>
        </w:rPr>
        <w:t xml:space="preserve"> </w:t>
      </w:r>
      <w:r w:rsidRPr="00D92A1C">
        <w:t>paramount.</w:t>
      </w:r>
    </w:p>
    <w:p w14:paraId="6467FD75" w14:textId="77777777" w:rsidR="007F56A9" w:rsidRPr="00D92A1C" w:rsidRDefault="00525377" w:rsidP="00F94A13">
      <w:pPr>
        <w:pStyle w:val="ListParagraph"/>
        <w:ind w:right="-20"/>
      </w:pPr>
      <w:r w:rsidRPr="00D92A1C">
        <w:rPr>
          <w:b/>
          <w:bCs/>
        </w:rPr>
        <w:t>Outpatients</w:t>
      </w:r>
      <w:r w:rsidRPr="00C30518">
        <w:rPr>
          <w:b/>
          <w:bCs/>
        </w:rPr>
        <w:t>:</w:t>
      </w:r>
    </w:p>
    <w:p w14:paraId="04735E01" w14:textId="7447BCCE" w:rsidR="007F56A9" w:rsidRPr="00D92A1C" w:rsidRDefault="00525377" w:rsidP="00F94A13">
      <w:pPr>
        <w:pStyle w:val="ListParagraph"/>
        <w:numPr>
          <w:ilvl w:val="1"/>
          <w:numId w:val="1"/>
        </w:numPr>
        <w:tabs>
          <w:tab w:val="clear" w:pos="993"/>
        </w:tabs>
        <w:ind w:left="1560" w:right="-20"/>
      </w:pPr>
      <w:r w:rsidRPr="00D92A1C">
        <w:t>Principles should be to promote social distancing and reduce travel to providers while maintaining continuity of care. Review current lists to determine who can be discharged, who can be delayed and who still requires some form of follow-up. Patients may require a variety of diagnostic tests to support their follow up, consider what is essential and cancel or postpone other</w:t>
      </w:r>
      <w:r w:rsidRPr="00D92A1C">
        <w:rPr>
          <w:spacing w:val="-1"/>
        </w:rPr>
        <w:t xml:space="preserve"> </w:t>
      </w:r>
      <w:r w:rsidRPr="00D92A1C">
        <w:t>tests.</w:t>
      </w:r>
    </w:p>
    <w:p w14:paraId="58EA0070" w14:textId="700C89C8" w:rsidR="007F56A9" w:rsidRPr="00D92A1C" w:rsidRDefault="00557FEA" w:rsidP="00F94A13">
      <w:pPr>
        <w:pStyle w:val="ListParagraph"/>
        <w:numPr>
          <w:ilvl w:val="1"/>
          <w:numId w:val="1"/>
        </w:numPr>
        <w:tabs>
          <w:tab w:val="clear" w:pos="993"/>
        </w:tabs>
        <w:ind w:left="1560" w:right="-20"/>
      </w:pPr>
      <w:r>
        <w:t>Some</w:t>
      </w:r>
      <w:r w:rsidR="00E95A35">
        <w:t xml:space="preserve"> </w:t>
      </w:r>
      <w:r w:rsidR="00525377" w:rsidRPr="00D92A1C">
        <w:t>6</w:t>
      </w:r>
      <w:r w:rsidR="00216FA9">
        <w:t>-</w:t>
      </w:r>
      <w:r w:rsidR="00525377" w:rsidRPr="00D92A1C">
        <w:t>week and 6</w:t>
      </w:r>
      <w:r w:rsidR="00216FA9">
        <w:t>-</w:t>
      </w:r>
      <w:r w:rsidR="00525377" w:rsidRPr="00D92A1C">
        <w:t>month reviews may be managed remotely from the hospital or in the community via telephone or video</w:t>
      </w:r>
      <w:r w:rsidR="00525377" w:rsidRPr="00D92A1C">
        <w:rPr>
          <w:spacing w:val="-2"/>
        </w:rPr>
        <w:t xml:space="preserve"> </w:t>
      </w:r>
      <w:r w:rsidR="00525377" w:rsidRPr="00D92A1C">
        <w:t>call.</w:t>
      </w:r>
    </w:p>
    <w:p w14:paraId="6E0C76CE" w14:textId="77777777" w:rsidR="007F56A9" w:rsidRPr="00D92A1C" w:rsidRDefault="00525377" w:rsidP="00F94A13">
      <w:pPr>
        <w:pStyle w:val="ListParagraph"/>
        <w:ind w:right="-20"/>
      </w:pPr>
      <w:r w:rsidRPr="00D92A1C">
        <w:rPr>
          <w:b/>
        </w:rPr>
        <w:t xml:space="preserve">Rehabilitation pathways: </w:t>
      </w:r>
      <w:r w:rsidRPr="00D92A1C">
        <w:t>These are essential to reduce disability through early intervention and enable rapid assessment and early discharge home if possible.</w:t>
      </w:r>
    </w:p>
    <w:p w14:paraId="6F36B46B" w14:textId="77777777" w:rsidR="007F56A9" w:rsidRPr="00D92A1C" w:rsidRDefault="00525377" w:rsidP="00F94A13">
      <w:pPr>
        <w:pStyle w:val="ListParagraph"/>
        <w:numPr>
          <w:ilvl w:val="1"/>
          <w:numId w:val="1"/>
        </w:numPr>
        <w:tabs>
          <w:tab w:val="clear" w:pos="993"/>
        </w:tabs>
        <w:ind w:left="1560" w:right="-20"/>
      </w:pPr>
      <w:r w:rsidRPr="00D92A1C">
        <w:t>Consider immediate discharge of ‘walking wounded’ patients from ED, where able, to reduce short-stay admissions using a rapid response MDT team to</w:t>
      </w:r>
      <w:r w:rsidRPr="00D92A1C">
        <w:rPr>
          <w:spacing w:val="-1"/>
        </w:rPr>
        <w:t xml:space="preserve"> </w:t>
      </w:r>
      <w:r w:rsidRPr="00D92A1C">
        <w:t>ED.</w:t>
      </w:r>
    </w:p>
    <w:p w14:paraId="20B4692E" w14:textId="3205BD21" w:rsidR="007F56A9" w:rsidRPr="00D92A1C" w:rsidRDefault="00525377" w:rsidP="00F94A13">
      <w:pPr>
        <w:pStyle w:val="ListParagraph"/>
        <w:numPr>
          <w:ilvl w:val="1"/>
          <w:numId w:val="1"/>
        </w:numPr>
        <w:tabs>
          <w:tab w:val="clear" w:pos="993"/>
        </w:tabs>
        <w:ind w:left="1560" w:right="-20"/>
      </w:pPr>
      <w:r w:rsidRPr="00D92A1C">
        <w:t xml:space="preserve">Maintaining and ideally increasing early supported discharge and community </w:t>
      </w:r>
      <w:r w:rsidRPr="00D92A1C">
        <w:lastRenderedPageBreak/>
        <w:t>rehabilitation teams should be prioritised and to consider 7/7 working (if not already in operation); risk assessment is needed to mi</w:t>
      </w:r>
      <w:r w:rsidR="007765F6">
        <w:t>t</w:t>
      </w:r>
      <w:r w:rsidRPr="00D92A1C">
        <w:t>i</w:t>
      </w:r>
      <w:r w:rsidR="007765F6">
        <w:t>g</w:t>
      </w:r>
      <w:r w:rsidRPr="00D92A1C">
        <w:t xml:space="preserve">ate harm and to support these </w:t>
      </w:r>
      <w:proofErr w:type="gramStart"/>
      <w:r w:rsidRPr="00D92A1C">
        <w:t>often small</w:t>
      </w:r>
      <w:proofErr w:type="gramEnd"/>
      <w:r w:rsidRPr="00D92A1C">
        <w:rPr>
          <w:spacing w:val="-3"/>
        </w:rPr>
        <w:t xml:space="preserve"> </w:t>
      </w:r>
      <w:r w:rsidRPr="00D92A1C">
        <w:t>teams.</w:t>
      </w:r>
    </w:p>
    <w:p w14:paraId="4433CA60" w14:textId="77777777" w:rsidR="007F56A9" w:rsidRPr="00D92A1C" w:rsidRDefault="00525377" w:rsidP="00F94A13">
      <w:pPr>
        <w:pStyle w:val="ListParagraph"/>
        <w:numPr>
          <w:ilvl w:val="1"/>
          <w:numId w:val="1"/>
        </w:numPr>
        <w:tabs>
          <w:tab w:val="clear" w:pos="993"/>
        </w:tabs>
        <w:ind w:left="1560" w:right="-20"/>
      </w:pPr>
      <w:r w:rsidRPr="00D92A1C">
        <w:t>Individual specialties are providing guidance via the royal colleges, specialist societies and the commissioning</w:t>
      </w:r>
      <w:r w:rsidRPr="00D92A1C">
        <w:rPr>
          <w:spacing w:val="-2"/>
        </w:rPr>
        <w:t xml:space="preserve"> </w:t>
      </w:r>
      <w:r w:rsidRPr="00D92A1C">
        <w:t>bodies.</w:t>
      </w:r>
    </w:p>
    <w:p w14:paraId="6C4423D4" w14:textId="663E468B" w:rsidR="007F56A9" w:rsidRPr="00D92A1C" w:rsidRDefault="00525377" w:rsidP="00F94A13">
      <w:pPr>
        <w:pStyle w:val="ListParagraph"/>
        <w:numPr>
          <w:ilvl w:val="1"/>
          <w:numId w:val="1"/>
        </w:numPr>
        <w:tabs>
          <w:tab w:val="clear" w:pos="993"/>
        </w:tabs>
        <w:ind w:left="1560" w:right="-20"/>
      </w:pPr>
      <w:r w:rsidRPr="00D92A1C">
        <w:t>Discussion with, and support for, therapy teams to redefine ‘safe discharge’ and ensure only those patients that have no potential to</w:t>
      </w:r>
      <w:r w:rsidRPr="00D92A1C">
        <w:rPr>
          <w:spacing w:val="-42"/>
        </w:rPr>
        <w:t xml:space="preserve"> </w:t>
      </w:r>
      <w:r w:rsidRPr="00D92A1C">
        <w:t>be</w:t>
      </w:r>
      <w:r w:rsidR="00B97C75" w:rsidRPr="00D92A1C">
        <w:t xml:space="preserve"> </w:t>
      </w:r>
      <w:r w:rsidR="00AD3C20" w:rsidRPr="00AD3C20">
        <w:t>cared for at home</w:t>
      </w:r>
      <w:r w:rsidR="00AD3C20" w:rsidRPr="00D92A1C">
        <w:t xml:space="preserve"> </w:t>
      </w:r>
      <w:r w:rsidRPr="00D92A1C">
        <w:t>continue with inpatient rehabilitation</w:t>
      </w:r>
      <w:r w:rsidR="00C23E7B">
        <w:t xml:space="preserve"> (see the </w:t>
      </w:r>
      <w:hyperlink r:id="rId13" w:history="1">
        <w:r w:rsidR="00C23E7B" w:rsidRPr="00C23E7B">
          <w:rPr>
            <w:rStyle w:val="Hyperlink"/>
          </w:rPr>
          <w:t xml:space="preserve">UK </w:t>
        </w:r>
        <w:r w:rsidR="009B05A9">
          <w:rPr>
            <w:rStyle w:val="Hyperlink"/>
          </w:rPr>
          <w:t>H</w:t>
        </w:r>
        <w:r w:rsidR="00C23E7B" w:rsidRPr="00C23E7B">
          <w:rPr>
            <w:rStyle w:val="Hyperlink"/>
          </w:rPr>
          <w:t xml:space="preserve">ealth </w:t>
        </w:r>
        <w:r w:rsidR="009B05A9">
          <w:rPr>
            <w:rStyle w:val="Hyperlink"/>
          </w:rPr>
          <w:t>S</w:t>
        </w:r>
        <w:r w:rsidR="00C23E7B" w:rsidRPr="00C23E7B">
          <w:rPr>
            <w:rStyle w:val="Hyperlink"/>
          </w:rPr>
          <w:t xml:space="preserve">ecurity </w:t>
        </w:r>
        <w:r w:rsidR="009B05A9">
          <w:rPr>
            <w:rStyle w:val="Hyperlink"/>
          </w:rPr>
          <w:t>A</w:t>
        </w:r>
        <w:r w:rsidR="00C23E7B" w:rsidRPr="00C23E7B">
          <w:rPr>
            <w:rStyle w:val="Hyperlink"/>
          </w:rPr>
          <w:t>gency’s COVID-19: how to work safely in domiciliary care in England</w:t>
        </w:r>
      </w:hyperlink>
      <w:r w:rsidR="00C23E7B">
        <w:t>)</w:t>
      </w:r>
      <w:r w:rsidRPr="00D92A1C">
        <w:t>. Consider development of tele-rehabilitation models (with training of volunteers/carers to support simple interventions) including tele-swallowing, communication reviews, virtual rehabilitation MDTs, video linked group rehabilitation classes.</w:t>
      </w:r>
    </w:p>
    <w:p w14:paraId="06CB9D45" w14:textId="77777777" w:rsidR="007F56A9" w:rsidRPr="00D92A1C" w:rsidRDefault="00525377" w:rsidP="00F94A13">
      <w:pPr>
        <w:pStyle w:val="ListParagraph"/>
        <w:ind w:right="-20"/>
        <w:rPr>
          <w:b/>
          <w:bCs/>
        </w:rPr>
      </w:pPr>
      <w:r w:rsidRPr="00D92A1C">
        <w:rPr>
          <w:b/>
          <w:bCs/>
        </w:rPr>
        <w:t>Leadership:</w:t>
      </w:r>
    </w:p>
    <w:p w14:paraId="4C5D248D" w14:textId="38C39A08" w:rsidR="007F56A9" w:rsidRPr="00D92A1C" w:rsidRDefault="00525377" w:rsidP="00F94A13">
      <w:pPr>
        <w:pStyle w:val="ListParagraph"/>
        <w:numPr>
          <w:ilvl w:val="1"/>
          <w:numId w:val="1"/>
        </w:numPr>
        <w:tabs>
          <w:tab w:val="clear" w:pos="993"/>
        </w:tabs>
        <w:ind w:left="1560" w:right="-20"/>
      </w:pPr>
      <w:r w:rsidRPr="00D92A1C">
        <w:t xml:space="preserve">A consultant must be designated as ‘lead consultant’. This duty can be for </w:t>
      </w:r>
      <w:r w:rsidR="00E95A35">
        <w:t>1</w:t>
      </w:r>
      <w:r w:rsidR="00E95A35" w:rsidRPr="00D92A1C">
        <w:t xml:space="preserve"> </w:t>
      </w:r>
      <w:r w:rsidRPr="00D92A1C">
        <w:t xml:space="preserve">day, a few days or even </w:t>
      </w:r>
      <w:r w:rsidR="00E95A35">
        <w:t>5</w:t>
      </w:r>
      <w:r w:rsidR="00E95A35" w:rsidRPr="00D92A1C">
        <w:t xml:space="preserve"> </w:t>
      </w:r>
      <w:r w:rsidRPr="00D92A1C">
        <w:t>days in small units. This is an essential role during crisis management. It cannot be performed by the consultant ‘on-call’ or a consultant o</w:t>
      </w:r>
      <w:r w:rsidR="008129C5">
        <w:t>f</w:t>
      </w:r>
      <w:r w:rsidRPr="00D92A1C">
        <w:t>f site. They must be free of clinical duties and the role involves coordination of the whole service from ED through to liaison with other specialties and</w:t>
      </w:r>
      <w:r w:rsidRPr="00D92A1C">
        <w:rPr>
          <w:spacing w:val="-1"/>
        </w:rPr>
        <w:t xml:space="preserve"> </w:t>
      </w:r>
      <w:r w:rsidRPr="00D92A1C">
        <w:t>managers.</w:t>
      </w:r>
    </w:p>
    <w:p w14:paraId="2C500FD0" w14:textId="77777777" w:rsidR="007F56A9" w:rsidRPr="00D92A1C" w:rsidRDefault="00525377" w:rsidP="00F94A13">
      <w:pPr>
        <w:pStyle w:val="ListParagraph"/>
        <w:numPr>
          <w:ilvl w:val="1"/>
          <w:numId w:val="1"/>
        </w:numPr>
        <w:tabs>
          <w:tab w:val="clear" w:pos="993"/>
        </w:tabs>
        <w:ind w:left="1560" w:right="-20"/>
      </w:pPr>
      <w:r w:rsidRPr="00D92A1C">
        <w:t>A leadership team should support the lead and include relevant members of the multidisciplinary</w:t>
      </w:r>
      <w:r w:rsidRPr="00D92A1C">
        <w:rPr>
          <w:spacing w:val="-1"/>
        </w:rPr>
        <w:t xml:space="preserve"> </w:t>
      </w:r>
      <w:r w:rsidRPr="00D92A1C">
        <w:t>team.</w:t>
      </w:r>
    </w:p>
    <w:p w14:paraId="167B6932" w14:textId="593E65EB" w:rsidR="007F56A9" w:rsidRPr="00D92A1C" w:rsidRDefault="00525377" w:rsidP="00F94A13">
      <w:pPr>
        <w:pStyle w:val="ListParagraph"/>
        <w:numPr>
          <w:ilvl w:val="1"/>
          <w:numId w:val="1"/>
        </w:numPr>
        <w:tabs>
          <w:tab w:val="clear" w:pos="993"/>
        </w:tabs>
        <w:ind w:left="1560" w:right="-20"/>
      </w:pPr>
      <w:r w:rsidRPr="00D92A1C">
        <w:t>Establish a daily sitrep and dashboard with critical data to share across the workforce. That should include patient flows, workforce issue, stock levels and other key messages (</w:t>
      </w:r>
      <w:r w:rsidR="001F3B23" w:rsidRPr="00D92A1C">
        <w:t>for example</w:t>
      </w:r>
      <w:r w:rsidR="00E95A35">
        <w:t>,</w:t>
      </w:r>
      <w:r w:rsidR="001F3B23" w:rsidRPr="00D92A1C">
        <w:t xml:space="preserve"> </w:t>
      </w:r>
      <w:r w:rsidRPr="00D92A1C">
        <w:t xml:space="preserve">state of </w:t>
      </w:r>
      <w:r w:rsidR="0019174B">
        <w:t>COVID-19</w:t>
      </w:r>
      <w:r w:rsidR="0019174B" w:rsidRPr="00D92A1C">
        <w:t xml:space="preserve"> </w:t>
      </w:r>
      <w:r w:rsidRPr="00D92A1C">
        <w:t xml:space="preserve">response, personal protective equipment </w:t>
      </w:r>
      <w:r w:rsidR="00076855">
        <w:t>[</w:t>
      </w:r>
      <w:r w:rsidRPr="00D92A1C">
        <w:t>PPE</w:t>
      </w:r>
      <w:r w:rsidR="00076855">
        <w:t>]</w:t>
      </w:r>
      <w:r w:rsidRPr="00D92A1C">
        <w:rPr>
          <w:spacing w:val="-3"/>
        </w:rPr>
        <w:t xml:space="preserve"> </w:t>
      </w:r>
      <w:r w:rsidRPr="00D92A1C">
        <w:t>requirements).</w:t>
      </w:r>
    </w:p>
    <w:p w14:paraId="177F5359" w14:textId="2A4DE083" w:rsidR="007F56A9" w:rsidRPr="00D92A1C" w:rsidRDefault="00525377" w:rsidP="00F94A13">
      <w:pPr>
        <w:pStyle w:val="ListParagraph"/>
        <w:numPr>
          <w:ilvl w:val="1"/>
          <w:numId w:val="1"/>
        </w:numPr>
        <w:tabs>
          <w:tab w:val="clear" w:pos="993"/>
        </w:tabs>
        <w:ind w:left="1560" w:right="-20"/>
      </w:pPr>
      <w:r w:rsidRPr="00D92A1C">
        <w:t>Leadership of safety rounds to ensure that preventable harm is reduced and that care of acutely deteriorating patients is escalated, avoiding critical care</w:t>
      </w:r>
      <w:r w:rsidRPr="00D92A1C">
        <w:rPr>
          <w:spacing w:val="-2"/>
        </w:rPr>
        <w:t xml:space="preserve"> </w:t>
      </w:r>
      <w:r w:rsidRPr="00D92A1C">
        <w:t>admission</w:t>
      </w:r>
      <w:r w:rsidR="00C74AE6">
        <w:t>.</w:t>
      </w:r>
    </w:p>
    <w:p w14:paraId="0AAD28F2" w14:textId="77777777" w:rsidR="007F56A9" w:rsidRPr="00D92A1C" w:rsidRDefault="00525377" w:rsidP="00F94A13">
      <w:pPr>
        <w:pStyle w:val="ListParagraph"/>
        <w:numPr>
          <w:ilvl w:val="1"/>
          <w:numId w:val="1"/>
        </w:numPr>
        <w:tabs>
          <w:tab w:val="clear" w:pos="993"/>
        </w:tabs>
        <w:ind w:left="1560" w:right="-20"/>
      </w:pPr>
      <w:r w:rsidRPr="00D92A1C">
        <w:t>Encourage inpatient investigations for stroke aetiology to be limited where the benefit of intervention is based upon annual recurrence rate and an outpatient investigation will</w:t>
      </w:r>
      <w:r w:rsidRPr="00D92A1C">
        <w:rPr>
          <w:spacing w:val="-1"/>
        </w:rPr>
        <w:t xml:space="preserve"> </w:t>
      </w:r>
      <w:r w:rsidRPr="00D92A1C">
        <w:t>suffice.</w:t>
      </w:r>
    </w:p>
    <w:p w14:paraId="30087474" w14:textId="77777777" w:rsidR="007F56A9" w:rsidRPr="00D92A1C" w:rsidRDefault="00525377" w:rsidP="00F94A13">
      <w:pPr>
        <w:pStyle w:val="ListParagraph"/>
        <w:numPr>
          <w:ilvl w:val="1"/>
          <w:numId w:val="1"/>
        </w:numPr>
        <w:tabs>
          <w:tab w:val="clear" w:pos="993"/>
        </w:tabs>
        <w:ind w:left="1560" w:right="-20"/>
      </w:pPr>
      <w:r w:rsidRPr="00D92A1C">
        <w:t>Discussions with the voluntary sector such as the Stroke Association to understand what support offer is available and encourage a local</w:t>
      </w:r>
      <w:r w:rsidRPr="00D92A1C">
        <w:rPr>
          <w:spacing w:val="-7"/>
        </w:rPr>
        <w:t xml:space="preserve"> </w:t>
      </w:r>
      <w:r w:rsidRPr="00D92A1C">
        <w:t>increase in volunteers, including via other routes such as trust</w:t>
      </w:r>
      <w:r w:rsidRPr="00D92A1C">
        <w:rPr>
          <w:spacing w:val="-3"/>
        </w:rPr>
        <w:t xml:space="preserve"> </w:t>
      </w:r>
      <w:r w:rsidRPr="00D92A1C">
        <w:t>charities.</w:t>
      </w:r>
    </w:p>
    <w:p w14:paraId="4F6843E2" w14:textId="43021907" w:rsidR="007F56A9" w:rsidRPr="00D92A1C" w:rsidRDefault="00525377" w:rsidP="00F94A13">
      <w:pPr>
        <w:pStyle w:val="ListParagraph"/>
        <w:numPr>
          <w:ilvl w:val="1"/>
          <w:numId w:val="1"/>
        </w:numPr>
        <w:tabs>
          <w:tab w:val="clear" w:pos="993"/>
        </w:tabs>
        <w:ind w:left="1560" w:right="-20"/>
      </w:pPr>
      <w:r w:rsidRPr="00D92A1C">
        <w:t xml:space="preserve">Provide leadership regarding secondary prevention and a helpline to support patient queries. </w:t>
      </w:r>
      <w:bookmarkStart w:id="0" w:name="_Hlk89673184"/>
      <w:r w:rsidRPr="00D92A1C">
        <w:t xml:space="preserve">This should include clear advice </w:t>
      </w:r>
      <w:r w:rsidR="003350B1">
        <w:t>about</w:t>
      </w:r>
      <w:r w:rsidR="003350B1" w:rsidRPr="00D92A1C">
        <w:t xml:space="preserve"> </w:t>
      </w:r>
      <w:r w:rsidRPr="00D92A1C">
        <w:t xml:space="preserve">up-to-date recommendations </w:t>
      </w:r>
      <w:r w:rsidR="003350B1">
        <w:t>on using</w:t>
      </w:r>
      <w:r w:rsidR="003350B1" w:rsidRPr="00D92A1C">
        <w:t xml:space="preserve"> </w:t>
      </w:r>
      <w:r w:rsidRPr="00D92A1C">
        <w:t xml:space="preserve">certain </w:t>
      </w:r>
      <w:r w:rsidR="003350B1">
        <w:t>medicines</w:t>
      </w:r>
      <w:r w:rsidR="003350B1" w:rsidRPr="00D92A1C">
        <w:t xml:space="preserve"> </w:t>
      </w:r>
      <w:r w:rsidR="003350B1">
        <w:t>in people who have</w:t>
      </w:r>
      <w:r w:rsidR="003350B1" w:rsidRPr="00D92A1C">
        <w:t xml:space="preserve"> </w:t>
      </w:r>
      <w:r w:rsidR="008510E3" w:rsidRPr="00467290">
        <w:t>COVID-19</w:t>
      </w:r>
      <w:r w:rsidR="00372C09">
        <w:t>,</w:t>
      </w:r>
      <w:r w:rsidR="008510E3">
        <w:t xml:space="preserve"> </w:t>
      </w:r>
      <w:r w:rsidR="00467290" w:rsidRPr="00467290">
        <w:t xml:space="preserve">or </w:t>
      </w:r>
      <w:r w:rsidR="003350B1">
        <w:t>using them alongside medicines</w:t>
      </w:r>
      <w:r w:rsidR="00467290" w:rsidRPr="00467290">
        <w:t xml:space="preserve"> </w:t>
      </w:r>
      <w:r w:rsidR="003350B1">
        <w:t>for</w:t>
      </w:r>
      <w:r w:rsidR="00467290" w:rsidRPr="00467290">
        <w:t xml:space="preserve"> COVID-19.</w:t>
      </w:r>
    </w:p>
    <w:bookmarkEnd w:id="0"/>
    <w:p w14:paraId="6E01025A" w14:textId="77777777" w:rsidR="007F56A9" w:rsidRPr="00D92A1C" w:rsidRDefault="00525377" w:rsidP="00F94A13">
      <w:pPr>
        <w:pStyle w:val="ListParagraph"/>
        <w:numPr>
          <w:ilvl w:val="1"/>
          <w:numId w:val="1"/>
        </w:numPr>
        <w:tabs>
          <w:tab w:val="clear" w:pos="993"/>
        </w:tabs>
        <w:ind w:left="1560" w:right="-20"/>
      </w:pPr>
      <w:r w:rsidRPr="00D92A1C">
        <w:t>Encourage administration staff within the service to take telephone calls that may have ordinarily come to stroke specialist nurses to offer basic advice for FAQ and triage other</w:t>
      </w:r>
      <w:r w:rsidRPr="00D92A1C">
        <w:rPr>
          <w:spacing w:val="-3"/>
        </w:rPr>
        <w:t xml:space="preserve"> </w:t>
      </w:r>
      <w:r w:rsidRPr="00D92A1C">
        <w:t>calls.</w:t>
      </w:r>
    </w:p>
    <w:p w14:paraId="794AB79D" w14:textId="59390771" w:rsidR="007F56A9" w:rsidRPr="00D92A1C" w:rsidRDefault="00C30C66" w:rsidP="00DC7AAC">
      <w:pPr>
        <w:pStyle w:val="ListParagraph"/>
        <w:numPr>
          <w:ilvl w:val="1"/>
          <w:numId w:val="1"/>
        </w:numPr>
        <w:ind w:left="1560" w:right="-20"/>
      </w:pPr>
      <w:r>
        <w:t>All national audits are now mandatory and should be continued</w:t>
      </w:r>
      <w:r w:rsidR="00DC7AAC" w:rsidRPr="00DC7AAC">
        <w:t xml:space="preserve">. See the </w:t>
      </w:r>
      <w:hyperlink r:id="rId14" w:history="1">
        <w:r w:rsidR="00DC7AAC" w:rsidRPr="00DC7AAC">
          <w:rPr>
            <w:rStyle w:val="Hyperlink"/>
          </w:rPr>
          <w:t>SSNAP COVID-19 Update</w:t>
        </w:r>
      </w:hyperlink>
      <w:r w:rsidR="00DC7AAC" w:rsidRPr="00DC7AAC">
        <w:t xml:space="preserve"> for more information.</w:t>
      </w:r>
    </w:p>
    <w:p w14:paraId="4272EBFC" w14:textId="77777777" w:rsidR="007F56A9" w:rsidRPr="00D92A1C" w:rsidRDefault="00525377" w:rsidP="00F94A13">
      <w:pPr>
        <w:pStyle w:val="ListParagraph"/>
        <w:numPr>
          <w:ilvl w:val="1"/>
          <w:numId w:val="1"/>
        </w:numPr>
        <w:tabs>
          <w:tab w:val="clear" w:pos="993"/>
        </w:tabs>
        <w:ind w:left="1560" w:right="-20"/>
      </w:pPr>
      <w:r w:rsidRPr="00D92A1C">
        <w:t>Where telemedicine is already in operation, consider which other specialities may avail themselves of its</w:t>
      </w:r>
      <w:r w:rsidRPr="00D92A1C">
        <w:rPr>
          <w:spacing w:val="-3"/>
        </w:rPr>
        <w:t xml:space="preserve"> </w:t>
      </w:r>
      <w:r w:rsidRPr="00D92A1C">
        <w:t>use.</w:t>
      </w:r>
    </w:p>
    <w:p w14:paraId="4DD3F664" w14:textId="7EBA09A4" w:rsidR="007F56A9" w:rsidRPr="00D92A1C" w:rsidRDefault="00525377" w:rsidP="00F94A13">
      <w:pPr>
        <w:pStyle w:val="ListParagraph"/>
        <w:numPr>
          <w:ilvl w:val="1"/>
          <w:numId w:val="1"/>
        </w:numPr>
        <w:tabs>
          <w:tab w:val="clear" w:pos="993"/>
        </w:tabs>
        <w:ind w:left="1560" w:right="-20"/>
      </w:pPr>
      <w:r w:rsidRPr="00D92A1C">
        <w:t xml:space="preserve">It can be very stressful during a crisis. Support each other and share the workload. </w:t>
      </w:r>
      <w:r w:rsidRPr="00D92A1C">
        <w:lastRenderedPageBreak/>
        <w:t>Do not expect the clinical director to do all the</w:t>
      </w:r>
      <w:r w:rsidRPr="00D92A1C">
        <w:rPr>
          <w:spacing w:val="-7"/>
        </w:rPr>
        <w:t xml:space="preserve"> </w:t>
      </w:r>
      <w:r w:rsidRPr="00D92A1C">
        <w:t>coordination!</w:t>
      </w:r>
    </w:p>
    <w:p w14:paraId="57A03DFB" w14:textId="73EAADF9" w:rsidR="007F56A9" w:rsidRPr="00D92A1C" w:rsidRDefault="00525377" w:rsidP="00F94A13">
      <w:pPr>
        <w:pStyle w:val="ListParagraph"/>
        <w:numPr>
          <w:ilvl w:val="1"/>
          <w:numId w:val="1"/>
        </w:numPr>
        <w:tabs>
          <w:tab w:val="clear" w:pos="993"/>
        </w:tabs>
        <w:ind w:left="1560" w:right="-20"/>
      </w:pPr>
      <w:r w:rsidRPr="00D92A1C">
        <w:t>Identify pathways that require actions outside normal provider pathways</w:t>
      </w:r>
      <w:r w:rsidR="00076855">
        <w:t>,</w:t>
      </w:r>
      <w:r w:rsidRPr="00D92A1C">
        <w:t xml:space="preserve"> including contingency plans for supply chain</w:t>
      </w:r>
      <w:r w:rsidRPr="00D92A1C">
        <w:rPr>
          <w:spacing w:val="-1"/>
        </w:rPr>
        <w:t xml:space="preserve"> </w:t>
      </w:r>
      <w:r w:rsidRPr="00D92A1C">
        <w:t>issues.</w:t>
      </w:r>
    </w:p>
    <w:p w14:paraId="1A3E7151" w14:textId="77777777" w:rsidR="007F56A9" w:rsidRPr="00D92A1C" w:rsidRDefault="00525377" w:rsidP="00F94A13">
      <w:pPr>
        <w:pStyle w:val="ListParagraph"/>
        <w:ind w:right="-20"/>
        <w:rPr>
          <w:b/>
          <w:bCs/>
        </w:rPr>
      </w:pPr>
      <w:r w:rsidRPr="00D92A1C">
        <w:rPr>
          <w:b/>
          <w:bCs/>
        </w:rPr>
        <w:t>Inpatients:</w:t>
      </w:r>
    </w:p>
    <w:p w14:paraId="688DE300" w14:textId="77777777" w:rsidR="007F56A9" w:rsidRPr="00D92A1C" w:rsidRDefault="00525377" w:rsidP="00F94A13">
      <w:pPr>
        <w:pStyle w:val="ListParagraph"/>
        <w:numPr>
          <w:ilvl w:val="1"/>
          <w:numId w:val="1"/>
        </w:numPr>
        <w:tabs>
          <w:tab w:val="clear" w:pos="993"/>
        </w:tabs>
        <w:ind w:left="1560" w:right="-20"/>
      </w:pPr>
      <w:r w:rsidRPr="00D92A1C">
        <w:t>Establish discharge planning at the start of an admission</w:t>
      </w:r>
      <w:r w:rsidRPr="00D92A1C">
        <w:rPr>
          <w:spacing w:val="-3"/>
        </w:rPr>
        <w:t xml:space="preserve"> </w:t>
      </w:r>
      <w:r w:rsidRPr="00D92A1C">
        <w:t>process.</w:t>
      </w:r>
    </w:p>
    <w:p w14:paraId="264A6825" w14:textId="2DD85F3A" w:rsidR="007F56A9" w:rsidRPr="00D92A1C" w:rsidRDefault="00525377" w:rsidP="00F94A13">
      <w:pPr>
        <w:pStyle w:val="ListParagraph"/>
        <w:numPr>
          <w:ilvl w:val="1"/>
          <w:numId w:val="1"/>
        </w:numPr>
        <w:tabs>
          <w:tab w:val="clear" w:pos="993"/>
        </w:tabs>
        <w:ind w:left="1560" w:right="-20"/>
      </w:pPr>
      <w:r w:rsidRPr="00D92A1C">
        <w:t xml:space="preserve">Support early family involvement and discussions at the bedside upon first review, to ensure need for rapid transfer of care is articulated early, an understanding of what assistance may be offered at discharge to the patient, </w:t>
      </w:r>
      <w:r w:rsidR="00D92A1C" w:rsidRPr="00D92A1C">
        <w:t>with ceiling of care and anticipatory care planning undertaken early.</w:t>
      </w:r>
    </w:p>
    <w:p w14:paraId="0F8A118F" w14:textId="77777777" w:rsidR="007F56A9" w:rsidRPr="00D92A1C" w:rsidRDefault="00525377" w:rsidP="00F94A13">
      <w:pPr>
        <w:pStyle w:val="ListParagraph"/>
        <w:numPr>
          <w:ilvl w:val="1"/>
          <w:numId w:val="1"/>
        </w:numPr>
        <w:tabs>
          <w:tab w:val="clear" w:pos="993"/>
        </w:tabs>
        <w:ind w:left="1560" w:right="-20"/>
      </w:pPr>
      <w:r w:rsidRPr="00D92A1C">
        <w:t>Across an organisation identify services to support rehabilitation and discharge to maintain</w:t>
      </w:r>
      <w:r w:rsidRPr="00D92A1C">
        <w:rPr>
          <w:spacing w:val="-1"/>
        </w:rPr>
        <w:t xml:space="preserve"> </w:t>
      </w:r>
      <w:r w:rsidRPr="00D92A1C">
        <w:t>capacity.</w:t>
      </w:r>
    </w:p>
    <w:p w14:paraId="3ED064AE" w14:textId="77777777" w:rsidR="007F56A9" w:rsidRPr="00D92A1C" w:rsidRDefault="00525377" w:rsidP="00F94A13">
      <w:pPr>
        <w:pStyle w:val="ListParagraph"/>
        <w:numPr>
          <w:ilvl w:val="1"/>
          <w:numId w:val="1"/>
        </w:numPr>
        <w:tabs>
          <w:tab w:val="clear" w:pos="993"/>
        </w:tabs>
        <w:ind w:left="1560" w:right="-20"/>
      </w:pPr>
      <w:r w:rsidRPr="00D92A1C">
        <w:t>Development of or sustaining of 7/7 therapy and medical reviews –virtual weekend medical ward rounds should be considered if</w:t>
      </w:r>
      <w:r w:rsidRPr="00D92A1C">
        <w:rPr>
          <w:spacing w:val="-3"/>
        </w:rPr>
        <w:t xml:space="preserve"> </w:t>
      </w:r>
      <w:r w:rsidRPr="00D92A1C">
        <w:t>appropriate.</w:t>
      </w:r>
    </w:p>
    <w:p w14:paraId="5BB336DC" w14:textId="77777777" w:rsidR="007F56A9" w:rsidRPr="00D92A1C" w:rsidRDefault="00525377" w:rsidP="00F94A13">
      <w:pPr>
        <w:pStyle w:val="Heading1"/>
        <w:spacing w:before="218"/>
        <w:ind w:right="-20"/>
      </w:pPr>
      <w:r w:rsidRPr="00D92A1C">
        <w:t>Specialist pathways</w:t>
      </w:r>
    </w:p>
    <w:p w14:paraId="054C72FD" w14:textId="77777777" w:rsidR="007F56A9" w:rsidRPr="00D92A1C" w:rsidRDefault="00525377" w:rsidP="00F94A13">
      <w:pPr>
        <w:pStyle w:val="ListParagraph"/>
        <w:ind w:right="-20"/>
      </w:pPr>
      <w:r w:rsidRPr="00D92A1C">
        <w:t>Individual departments should consider other specialist pathways that need more support to maintain activity as safely as</w:t>
      </w:r>
      <w:r w:rsidRPr="00D92A1C">
        <w:rPr>
          <w:spacing w:val="-2"/>
        </w:rPr>
        <w:t xml:space="preserve"> </w:t>
      </w:r>
      <w:r w:rsidRPr="00D92A1C">
        <w:t>possible.</w:t>
      </w:r>
    </w:p>
    <w:p w14:paraId="60E3F7F3" w14:textId="77777777" w:rsidR="007F56A9" w:rsidRPr="00D92A1C" w:rsidRDefault="00525377" w:rsidP="00F94A13">
      <w:pPr>
        <w:pStyle w:val="ListParagraph"/>
        <w:ind w:right="-20"/>
      </w:pPr>
      <w:r w:rsidRPr="00D92A1C">
        <w:t>EDs will change their system: using triage at the front door and streaming patients directly to inpatient areas before examination or diagnostics. Continue to deliver and develop your in-reach services that are consultant-led to pull patients who need to be admitted to the stroke unit or to facilitate rapid discharge to the community.</w:t>
      </w:r>
    </w:p>
    <w:p w14:paraId="77863B20" w14:textId="1A454ED2" w:rsidR="007F56A9" w:rsidRPr="00D92A1C" w:rsidRDefault="00525377" w:rsidP="00F94A13">
      <w:pPr>
        <w:pStyle w:val="ListParagraph"/>
        <w:ind w:right="-20"/>
        <w:rPr>
          <w:b/>
          <w:bCs/>
        </w:rPr>
      </w:pPr>
      <w:r w:rsidRPr="00D92A1C">
        <w:rPr>
          <w:b/>
          <w:bCs/>
        </w:rPr>
        <w:t>Pati</w:t>
      </w:r>
      <w:r w:rsidR="00D92A1C">
        <w:rPr>
          <w:b/>
          <w:bCs/>
        </w:rPr>
        <w:t>e</w:t>
      </w:r>
      <w:r w:rsidRPr="00D92A1C">
        <w:rPr>
          <w:b/>
          <w:bCs/>
        </w:rPr>
        <w:t>nts awaiting carotid endarterectomy should, if able, be</w:t>
      </w:r>
      <w:r w:rsidRPr="00D92A1C">
        <w:rPr>
          <w:b/>
          <w:bCs/>
          <w:spacing w:val="-7"/>
        </w:rPr>
        <w:t xml:space="preserve"> </w:t>
      </w:r>
      <w:r w:rsidRPr="00D92A1C">
        <w:rPr>
          <w:b/>
          <w:bCs/>
        </w:rPr>
        <w:t>discharged</w:t>
      </w:r>
      <w:r w:rsidR="00D92A1C" w:rsidRPr="00D92A1C">
        <w:rPr>
          <w:b/>
          <w:bCs/>
        </w:rPr>
        <w:t xml:space="preserve"> </w:t>
      </w:r>
      <w:r w:rsidRPr="00D92A1C">
        <w:rPr>
          <w:b/>
          <w:bCs/>
        </w:rPr>
        <w:t>upon dual antiplatelet ther</w:t>
      </w:r>
      <w:r w:rsidR="00D92A1C">
        <w:rPr>
          <w:b/>
          <w:bCs/>
        </w:rPr>
        <w:t>a</w:t>
      </w:r>
      <w:r w:rsidRPr="00D92A1C">
        <w:rPr>
          <w:b/>
          <w:bCs/>
        </w:rPr>
        <w:t>py if appropriate and await carotid intervention.</w:t>
      </w:r>
    </w:p>
    <w:p w14:paraId="746444BF" w14:textId="74EAB136" w:rsidR="007F56A9" w:rsidRPr="00D92A1C" w:rsidRDefault="00525377" w:rsidP="00F94A13">
      <w:pPr>
        <w:pStyle w:val="ListParagraph"/>
        <w:ind w:right="-20"/>
      </w:pPr>
      <w:r w:rsidRPr="00D92A1C">
        <w:t>Identify and upskill staff to support other areas to release staff</w:t>
      </w:r>
      <w:r w:rsidRPr="00D92A1C">
        <w:rPr>
          <w:spacing w:val="-5"/>
        </w:rPr>
        <w:t xml:space="preserve"> </w:t>
      </w:r>
      <w:r w:rsidRPr="00D92A1C">
        <w:t>to</w:t>
      </w:r>
      <w:r w:rsidR="00D92A1C">
        <w:t xml:space="preserve"> </w:t>
      </w:r>
      <w:r w:rsidRPr="00D92A1C">
        <w:rPr>
          <w:b/>
        </w:rPr>
        <w:t xml:space="preserve">manage </w:t>
      </w:r>
      <w:r w:rsidR="0019174B">
        <w:rPr>
          <w:b/>
        </w:rPr>
        <w:t>COVID-19</w:t>
      </w:r>
      <w:r w:rsidR="0019174B" w:rsidRPr="00D92A1C">
        <w:rPr>
          <w:b/>
        </w:rPr>
        <w:t xml:space="preserve"> </w:t>
      </w:r>
      <w:r w:rsidRPr="00D92A1C">
        <w:rPr>
          <w:b/>
        </w:rPr>
        <w:t>cases</w:t>
      </w:r>
      <w:r w:rsidRPr="00540129">
        <w:rPr>
          <w:bCs/>
        </w:rPr>
        <w:t>.</w:t>
      </w:r>
      <w:r w:rsidRPr="00540129">
        <w:t xml:space="preserve"> </w:t>
      </w:r>
      <w:r w:rsidRPr="00D92A1C">
        <w:t>While not every clinician will feel they have the skills to manage every situation, they all have important roles in supporting</w:t>
      </w:r>
      <w:r w:rsidR="00B97C75" w:rsidRPr="00D92A1C">
        <w:t xml:space="preserve"> </w:t>
      </w:r>
      <w:r w:rsidRPr="00D92A1C">
        <w:t>the system. That should be recognised and supported as clinical teams move into unfamiliar areas. Consider simple training refresher courses to reinforce skills.</w:t>
      </w:r>
    </w:p>
    <w:p w14:paraId="45AE39D0" w14:textId="77777777" w:rsidR="007F56A9" w:rsidRPr="00D92A1C" w:rsidRDefault="00525377" w:rsidP="00F94A13">
      <w:pPr>
        <w:pStyle w:val="Heading1"/>
        <w:spacing w:before="219"/>
        <w:ind w:right="-20"/>
      </w:pPr>
      <w:r w:rsidRPr="00D92A1C">
        <w:t>Principles</w:t>
      </w:r>
    </w:p>
    <w:p w14:paraId="47ECC617" w14:textId="6FED9445" w:rsidR="007F56A9" w:rsidRPr="00D92A1C" w:rsidRDefault="00525377" w:rsidP="00F94A13">
      <w:pPr>
        <w:pStyle w:val="ListParagraph"/>
        <w:ind w:right="-20"/>
      </w:pPr>
      <w:r w:rsidRPr="00D92A1C">
        <w:t>Avoid unnecessary attendances at</w:t>
      </w:r>
      <w:r w:rsidRPr="00D92A1C">
        <w:rPr>
          <w:spacing w:val="-2"/>
        </w:rPr>
        <w:t xml:space="preserve"> </w:t>
      </w:r>
      <w:r w:rsidRPr="00D92A1C">
        <w:t>hospital.</w:t>
      </w:r>
    </w:p>
    <w:p w14:paraId="61783EEA" w14:textId="77777777" w:rsidR="007F56A9" w:rsidRPr="00D92A1C" w:rsidRDefault="00525377" w:rsidP="00F94A13">
      <w:pPr>
        <w:pStyle w:val="ListParagraph"/>
        <w:ind w:right="-20"/>
      </w:pPr>
      <w:r w:rsidRPr="00D92A1C">
        <w:t>Senior decision-making at the first point of contact should reduce or even prevent the need for further</w:t>
      </w:r>
      <w:r w:rsidRPr="00D92A1C">
        <w:rPr>
          <w:spacing w:val="-2"/>
        </w:rPr>
        <w:t xml:space="preserve"> </w:t>
      </w:r>
      <w:r w:rsidRPr="00D92A1C">
        <w:t>attendances.</w:t>
      </w:r>
    </w:p>
    <w:p w14:paraId="5D1279B0" w14:textId="085E0DEF" w:rsidR="007F56A9" w:rsidRPr="00D92A1C" w:rsidRDefault="00525377" w:rsidP="00F94A13">
      <w:pPr>
        <w:pStyle w:val="ListParagraph"/>
        <w:ind w:right="-20"/>
      </w:pPr>
      <w:r w:rsidRPr="00D92A1C">
        <w:t>Clinicians may need to work in unfamiliar environments or outside their sub-specialist areas. They will need to be</w:t>
      </w:r>
      <w:r w:rsidRPr="00D92A1C">
        <w:rPr>
          <w:spacing w:val="-3"/>
        </w:rPr>
        <w:t xml:space="preserve"> </w:t>
      </w:r>
      <w:r w:rsidRPr="00D92A1C">
        <w:t>supported.</w:t>
      </w:r>
    </w:p>
    <w:p w14:paraId="28D3373F" w14:textId="77777777" w:rsidR="007F56A9" w:rsidRPr="00D92A1C" w:rsidRDefault="00525377" w:rsidP="00F94A13">
      <w:pPr>
        <w:pStyle w:val="ListParagraph"/>
        <w:ind w:right="-20"/>
      </w:pPr>
      <w:r w:rsidRPr="00D92A1C">
        <w:t>Provide simple clear communication within your teams.</w:t>
      </w:r>
    </w:p>
    <w:p w14:paraId="49FB2B5A" w14:textId="77777777" w:rsidR="007F56A9" w:rsidRPr="00D92A1C" w:rsidRDefault="00525377" w:rsidP="00F94A13">
      <w:pPr>
        <w:pStyle w:val="ListParagraph"/>
        <w:ind w:right="-20"/>
      </w:pPr>
      <w:proofErr w:type="gramStart"/>
      <w:r w:rsidRPr="00D92A1C">
        <w:t>Plan ahead</w:t>
      </w:r>
      <w:proofErr w:type="gramEnd"/>
      <w:r w:rsidRPr="00D92A1C">
        <w:t xml:space="preserve"> for the next stage and consider potential</w:t>
      </w:r>
      <w:r w:rsidRPr="00D92A1C">
        <w:rPr>
          <w:spacing w:val="-2"/>
        </w:rPr>
        <w:t xml:space="preserve"> </w:t>
      </w:r>
      <w:r w:rsidRPr="00D92A1C">
        <w:t>scenarios.</w:t>
      </w:r>
    </w:p>
    <w:p w14:paraId="43BAEFC4" w14:textId="3C25FE25" w:rsidR="007F56A9" w:rsidRPr="00D92A1C" w:rsidRDefault="00525377" w:rsidP="00F94A13">
      <w:pPr>
        <w:pStyle w:val="ListParagraph"/>
        <w:ind w:right="-20"/>
      </w:pPr>
      <w:r w:rsidRPr="00D92A1C">
        <w:t>The risk–benefit analysis of everything we do will change and evolve during this</w:t>
      </w:r>
      <w:r w:rsidRPr="00D92A1C">
        <w:rPr>
          <w:spacing w:val="-1"/>
        </w:rPr>
        <w:t xml:space="preserve"> </w:t>
      </w:r>
      <w:r w:rsidR="008129C5">
        <w:t>pan</w:t>
      </w:r>
      <w:r w:rsidR="008129C5" w:rsidRPr="00D92A1C">
        <w:t>demic</w:t>
      </w:r>
      <w:r w:rsidRPr="00D92A1C">
        <w:t>.</w:t>
      </w:r>
    </w:p>
    <w:p w14:paraId="14174BB9" w14:textId="77777777" w:rsidR="007F56A9" w:rsidRDefault="007F56A9">
      <w:pPr>
        <w:spacing w:line="283" w:lineRule="auto"/>
        <w:rPr>
          <w:sz w:val="24"/>
        </w:rPr>
      </w:pPr>
    </w:p>
    <w:p w14:paraId="758D0466" w14:textId="5B34CFDE" w:rsidR="002C58CD" w:rsidRPr="00D92A1C" w:rsidRDefault="002C58CD">
      <w:pPr>
        <w:spacing w:line="283" w:lineRule="auto"/>
        <w:rPr>
          <w:sz w:val="24"/>
        </w:rPr>
        <w:sectPr w:rsidR="002C58CD" w:rsidRPr="00D92A1C" w:rsidSect="00B97C75">
          <w:footerReference w:type="default" r:id="rId15"/>
          <w:pgSz w:w="11910" w:h="16840"/>
          <w:pgMar w:top="720" w:right="720" w:bottom="720" w:left="720" w:header="0" w:footer="756" w:gutter="0"/>
          <w:cols w:space="720"/>
          <w:docGrid w:linePitch="299"/>
        </w:sectPr>
      </w:pPr>
    </w:p>
    <w:p w14:paraId="069DEFAB" w14:textId="77777777" w:rsidR="007F56A9" w:rsidRPr="00D92A1C" w:rsidRDefault="00525377" w:rsidP="00D92A1C">
      <w:pPr>
        <w:pStyle w:val="Caption"/>
      </w:pPr>
      <w:r w:rsidRPr="00D92A1C">
        <w:lastRenderedPageBreak/>
        <w:t>Escalation</w:t>
      </w:r>
    </w:p>
    <w:tbl>
      <w:tblPr>
        <w:tblW w:w="5000" w:type="pct"/>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CellMar>
          <w:left w:w="0" w:type="dxa"/>
          <w:right w:w="0" w:type="dxa"/>
        </w:tblCellMar>
        <w:tblLook w:val="01E0" w:firstRow="1" w:lastRow="1" w:firstColumn="1" w:lastColumn="1" w:noHBand="0" w:noVBand="0"/>
        <w:tblCaption w:val="Escalation"/>
      </w:tblPr>
      <w:tblGrid>
        <w:gridCol w:w="2552"/>
        <w:gridCol w:w="3212"/>
        <w:gridCol w:w="3029"/>
        <w:gridCol w:w="2884"/>
        <w:gridCol w:w="2803"/>
      </w:tblGrid>
      <w:tr w:rsidR="00D92A1C" w:rsidRPr="00D92A1C" w14:paraId="236478A1" w14:textId="77777777" w:rsidTr="00C30518">
        <w:trPr>
          <w:trHeight w:val="444"/>
        </w:trPr>
        <w:tc>
          <w:tcPr>
            <w:tcW w:w="881" w:type="pct"/>
            <w:tcBorders>
              <w:top w:val="nil"/>
              <w:left w:val="nil"/>
              <w:bottom w:val="nil"/>
              <w:right w:val="nil"/>
            </w:tcBorders>
            <w:shd w:val="clear" w:color="auto" w:fill="005EB8"/>
          </w:tcPr>
          <w:p w14:paraId="678386CE" w14:textId="1F1AA24D" w:rsidR="007F56A9" w:rsidRPr="00D92A1C" w:rsidRDefault="00525377" w:rsidP="00D92A1C">
            <w:pPr>
              <w:pStyle w:val="Tableheading"/>
              <w:rPr>
                <w:color w:val="FFFFFF" w:themeColor="background1"/>
              </w:rPr>
            </w:pPr>
            <w:r w:rsidRPr="00D92A1C">
              <w:rPr>
                <w:color w:val="FFFFFF" w:themeColor="background1"/>
              </w:rPr>
              <w:t xml:space="preserve">Prevalence of </w:t>
            </w:r>
            <w:r w:rsidR="0019174B">
              <w:rPr>
                <w:color w:val="FFFFFF" w:themeColor="background1"/>
              </w:rPr>
              <w:t>COVID-19</w:t>
            </w:r>
          </w:p>
        </w:tc>
        <w:tc>
          <w:tcPr>
            <w:tcW w:w="1109" w:type="pct"/>
            <w:tcBorders>
              <w:top w:val="nil"/>
              <w:left w:val="nil"/>
              <w:bottom w:val="nil"/>
              <w:right w:val="nil"/>
            </w:tcBorders>
            <w:shd w:val="clear" w:color="auto" w:fill="005EB8"/>
          </w:tcPr>
          <w:p w14:paraId="3BD77570" w14:textId="77777777" w:rsidR="007F56A9" w:rsidRPr="00D92A1C" w:rsidRDefault="00525377" w:rsidP="00D92A1C">
            <w:pPr>
              <w:pStyle w:val="Tableheading"/>
              <w:rPr>
                <w:color w:val="FFFFFF" w:themeColor="background1"/>
              </w:rPr>
            </w:pPr>
            <w:r w:rsidRPr="00D92A1C">
              <w:rPr>
                <w:color w:val="FFFFFF" w:themeColor="background1"/>
              </w:rPr>
              <w:t>Low</w:t>
            </w:r>
          </w:p>
        </w:tc>
        <w:tc>
          <w:tcPr>
            <w:tcW w:w="1046" w:type="pct"/>
            <w:tcBorders>
              <w:top w:val="nil"/>
              <w:left w:val="nil"/>
              <w:bottom w:val="nil"/>
              <w:right w:val="nil"/>
            </w:tcBorders>
            <w:shd w:val="clear" w:color="auto" w:fill="005EB8"/>
          </w:tcPr>
          <w:p w14:paraId="53C1130B" w14:textId="77777777" w:rsidR="007F56A9" w:rsidRPr="00D92A1C" w:rsidRDefault="00525377" w:rsidP="00D92A1C">
            <w:pPr>
              <w:pStyle w:val="Tableheading"/>
              <w:rPr>
                <w:color w:val="FFFFFF" w:themeColor="background1"/>
              </w:rPr>
            </w:pPr>
            <w:r w:rsidRPr="00D92A1C">
              <w:rPr>
                <w:color w:val="FFFFFF" w:themeColor="background1"/>
              </w:rPr>
              <w:t>Medium</w:t>
            </w:r>
          </w:p>
        </w:tc>
        <w:tc>
          <w:tcPr>
            <w:tcW w:w="996" w:type="pct"/>
            <w:tcBorders>
              <w:top w:val="nil"/>
              <w:left w:val="nil"/>
              <w:bottom w:val="nil"/>
              <w:right w:val="nil"/>
            </w:tcBorders>
            <w:shd w:val="clear" w:color="auto" w:fill="005EB8"/>
          </w:tcPr>
          <w:p w14:paraId="3104602B" w14:textId="77777777" w:rsidR="007F56A9" w:rsidRPr="00D92A1C" w:rsidRDefault="00525377" w:rsidP="00D92A1C">
            <w:pPr>
              <w:pStyle w:val="Tableheading"/>
              <w:rPr>
                <w:color w:val="FFFFFF" w:themeColor="background1"/>
              </w:rPr>
            </w:pPr>
            <w:r w:rsidRPr="00D92A1C">
              <w:rPr>
                <w:color w:val="FFFFFF" w:themeColor="background1"/>
              </w:rPr>
              <w:t>High</w:t>
            </w:r>
          </w:p>
        </w:tc>
        <w:tc>
          <w:tcPr>
            <w:tcW w:w="968" w:type="pct"/>
            <w:tcBorders>
              <w:top w:val="nil"/>
              <w:left w:val="nil"/>
              <w:bottom w:val="nil"/>
              <w:right w:val="nil"/>
            </w:tcBorders>
            <w:shd w:val="clear" w:color="auto" w:fill="005EB8"/>
          </w:tcPr>
          <w:p w14:paraId="0FEA1CED" w14:textId="77777777" w:rsidR="007F56A9" w:rsidRPr="00D92A1C" w:rsidRDefault="00525377" w:rsidP="00D92A1C">
            <w:pPr>
              <w:pStyle w:val="Tableheading"/>
              <w:rPr>
                <w:color w:val="FFFFFF" w:themeColor="background1"/>
              </w:rPr>
            </w:pPr>
            <w:r w:rsidRPr="00D92A1C">
              <w:rPr>
                <w:color w:val="FFFFFF" w:themeColor="background1"/>
              </w:rPr>
              <w:t>Very high</w:t>
            </w:r>
          </w:p>
        </w:tc>
      </w:tr>
      <w:tr w:rsidR="007F56A9" w:rsidRPr="00D92A1C" w14:paraId="77E7D50E" w14:textId="77777777" w:rsidTr="00C30518">
        <w:tc>
          <w:tcPr>
            <w:tcW w:w="881" w:type="pct"/>
          </w:tcPr>
          <w:p w14:paraId="60748BBB" w14:textId="77777777" w:rsidR="007F56A9" w:rsidRPr="00D92A1C" w:rsidRDefault="00525377" w:rsidP="00C30518">
            <w:pPr>
              <w:pStyle w:val="TableParagraph"/>
              <w:spacing w:before="0" w:after="60"/>
              <w:ind w:left="107"/>
              <w:rPr>
                <w:b/>
              </w:rPr>
            </w:pPr>
            <w:r w:rsidRPr="00D92A1C">
              <w:rPr>
                <w:b/>
                <w:color w:val="221F1F"/>
              </w:rPr>
              <w:t>Impact on organisation</w:t>
            </w:r>
          </w:p>
        </w:tc>
        <w:tc>
          <w:tcPr>
            <w:tcW w:w="1109" w:type="pct"/>
          </w:tcPr>
          <w:p w14:paraId="21F396F0" w14:textId="77777777" w:rsidR="00C30518" w:rsidRDefault="00525377" w:rsidP="00C30518">
            <w:pPr>
              <w:pStyle w:val="TableParagraph"/>
              <w:spacing w:before="0" w:after="60"/>
              <w:ind w:left="107" w:right="314"/>
              <w:rPr>
                <w:color w:val="221F1F"/>
              </w:rPr>
            </w:pPr>
            <w:r w:rsidRPr="00D92A1C">
              <w:rPr>
                <w:color w:val="221F1F"/>
              </w:rPr>
              <w:t xml:space="preserve">Normal winter pressures </w:t>
            </w:r>
          </w:p>
          <w:p w14:paraId="72217D91" w14:textId="38F4C9EF" w:rsidR="007F56A9" w:rsidRPr="00D92A1C" w:rsidRDefault="00525377" w:rsidP="00C30518">
            <w:pPr>
              <w:pStyle w:val="TableParagraph"/>
              <w:spacing w:before="0" w:after="60"/>
              <w:ind w:left="107" w:right="314"/>
            </w:pPr>
            <w:r w:rsidRPr="00D92A1C">
              <w:rPr>
                <w:color w:val="221F1F"/>
              </w:rPr>
              <w:t>Business as normal</w:t>
            </w:r>
          </w:p>
        </w:tc>
        <w:tc>
          <w:tcPr>
            <w:tcW w:w="1046" w:type="pct"/>
          </w:tcPr>
          <w:p w14:paraId="09DB0E74" w14:textId="77777777" w:rsidR="007F56A9" w:rsidRPr="00D92A1C" w:rsidRDefault="00525377" w:rsidP="00C30518">
            <w:pPr>
              <w:pStyle w:val="TableParagraph"/>
              <w:spacing w:before="0" w:after="60"/>
            </w:pPr>
            <w:r w:rsidRPr="00D92A1C">
              <w:rPr>
                <w:color w:val="221F1F"/>
              </w:rPr>
              <w:t>Limited ITU</w:t>
            </w:r>
          </w:p>
          <w:p w14:paraId="33C62579" w14:textId="77777777" w:rsidR="007F56A9" w:rsidRPr="00D92A1C" w:rsidRDefault="00525377" w:rsidP="00C30518">
            <w:pPr>
              <w:pStyle w:val="TableParagraph"/>
              <w:spacing w:before="0" w:after="60"/>
            </w:pPr>
            <w:r w:rsidRPr="00D92A1C">
              <w:rPr>
                <w:color w:val="221F1F"/>
              </w:rPr>
              <w:t>Limited bed capacity</w:t>
            </w:r>
          </w:p>
        </w:tc>
        <w:tc>
          <w:tcPr>
            <w:tcW w:w="996" w:type="pct"/>
          </w:tcPr>
          <w:p w14:paraId="539868AD" w14:textId="77777777" w:rsidR="007F56A9" w:rsidRPr="00D92A1C" w:rsidRDefault="00525377" w:rsidP="00C30518">
            <w:pPr>
              <w:pStyle w:val="TableParagraph"/>
              <w:spacing w:before="0" w:after="60"/>
              <w:ind w:left="105" w:right="144"/>
            </w:pPr>
            <w:r w:rsidRPr="00D92A1C">
              <w:rPr>
                <w:color w:val="221F1F"/>
              </w:rPr>
              <w:t>No ITU, emergency ITU in operation</w:t>
            </w:r>
          </w:p>
        </w:tc>
        <w:tc>
          <w:tcPr>
            <w:tcW w:w="968" w:type="pct"/>
          </w:tcPr>
          <w:p w14:paraId="18F486E6" w14:textId="77777777" w:rsidR="007F56A9" w:rsidRPr="00D92A1C" w:rsidRDefault="00525377" w:rsidP="00C30518">
            <w:pPr>
              <w:pStyle w:val="TableParagraph"/>
              <w:spacing w:before="0" w:after="60"/>
              <w:ind w:right="944"/>
            </w:pPr>
            <w:r w:rsidRPr="00D92A1C">
              <w:rPr>
                <w:color w:val="221F1F"/>
              </w:rPr>
              <w:t>Escalation to ITU restricted</w:t>
            </w:r>
          </w:p>
        </w:tc>
      </w:tr>
      <w:tr w:rsidR="007F56A9" w:rsidRPr="00D92A1C" w14:paraId="6E4AC935" w14:textId="77777777" w:rsidTr="00C30518">
        <w:tc>
          <w:tcPr>
            <w:tcW w:w="881" w:type="pct"/>
            <w:shd w:val="clear" w:color="auto" w:fill="BCDEFF"/>
          </w:tcPr>
          <w:p w14:paraId="13E5806F" w14:textId="77777777" w:rsidR="007F56A9" w:rsidRPr="00D92A1C" w:rsidRDefault="00525377" w:rsidP="00C30518">
            <w:pPr>
              <w:pStyle w:val="TableParagraph"/>
              <w:spacing w:before="0" w:after="60"/>
              <w:ind w:left="107"/>
              <w:rPr>
                <w:b/>
              </w:rPr>
            </w:pPr>
            <w:r w:rsidRPr="00D92A1C">
              <w:rPr>
                <w:b/>
                <w:color w:val="221F1F"/>
              </w:rPr>
              <w:t>Phase</w:t>
            </w:r>
          </w:p>
        </w:tc>
        <w:tc>
          <w:tcPr>
            <w:tcW w:w="1109" w:type="pct"/>
            <w:shd w:val="clear" w:color="auto" w:fill="BCDEFF"/>
          </w:tcPr>
          <w:p w14:paraId="667CF006" w14:textId="77777777" w:rsidR="007F56A9" w:rsidRPr="00D92A1C" w:rsidRDefault="00525377" w:rsidP="00C30518">
            <w:pPr>
              <w:pStyle w:val="TableParagraph"/>
              <w:spacing w:before="0" w:after="60"/>
              <w:ind w:left="107"/>
            </w:pPr>
            <w:r w:rsidRPr="00D92A1C">
              <w:rPr>
                <w:color w:val="221F1F"/>
              </w:rPr>
              <w:t>Prepare to respond</w:t>
            </w:r>
          </w:p>
        </w:tc>
        <w:tc>
          <w:tcPr>
            <w:tcW w:w="1046" w:type="pct"/>
            <w:shd w:val="clear" w:color="auto" w:fill="BCDEFF"/>
          </w:tcPr>
          <w:p w14:paraId="6210FDE1" w14:textId="77777777" w:rsidR="007F56A9" w:rsidRPr="00D92A1C" w:rsidRDefault="00525377" w:rsidP="00C30518">
            <w:pPr>
              <w:pStyle w:val="TableParagraph"/>
              <w:spacing w:before="0" w:after="60"/>
            </w:pPr>
            <w:r w:rsidRPr="00D92A1C">
              <w:rPr>
                <w:color w:val="221F1F"/>
              </w:rPr>
              <w:t>Reduce/stop routine activity</w:t>
            </w:r>
          </w:p>
        </w:tc>
        <w:tc>
          <w:tcPr>
            <w:tcW w:w="996" w:type="pct"/>
            <w:shd w:val="clear" w:color="auto" w:fill="BCDEFF"/>
          </w:tcPr>
          <w:p w14:paraId="40E88990" w14:textId="77777777" w:rsidR="007F56A9" w:rsidRPr="00D92A1C" w:rsidRDefault="00525377" w:rsidP="00C30518">
            <w:pPr>
              <w:pStyle w:val="TableParagraph"/>
              <w:spacing w:before="0" w:after="60"/>
              <w:ind w:left="105" w:right="719"/>
            </w:pPr>
            <w:r w:rsidRPr="00D92A1C">
              <w:rPr>
                <w:color w:val="221F1F"/>
              </w:rPr>
              <w:t>Redirect resource to emergency activity</w:t>
            </w:r>
          </w:p>
        </w:tc>
        <w:tc>
          <w:tcPr>
            <w:tcW w:w="968" w:type="pct"/>
            <w:shd w:val="clear" w:color="auto" w:fill="BCDEFF"/>
          </w:tcPr>
          <w:p w14:paraId="33F23793" w14:textId="77777777" w:rsidR="007F56A9" w:rsidRPr="00D92A1C" w:rsidRDefault="00525377" w:rsidP="00C30518">
            <w:pPr>
              <w:pStyle w:val="TableParagraph"/>
              <w:spacing w:before="0" w:after="60"/>
            </w:pPr>
            <w:r w:rsidRPr="00D92A1C">
              <w:rPr>
                <w:color w:val="221F1F"/>
              </w:rPr>
              <w:t>Major incident</w:t>
            </w:r>
          </w:p>
        </w:tc>
      </w:tr>
      <w:tr w:rsidR="007F56A9" w:rsidRPr="00D92A1C" w14:paraId="79B44311" w14:textId="77777777" w:rsidTr="00C30518">
        <w:tc>
          <w:tcPr>
            <w:tcW w:w="881" w:type="pct"/>
          </w:tcPr>
          <w:p w14:paraId="4615E90B" w14:textId="1B494ED6" w:rsidR="007F56A9" w:rsidRPr="00D92A1C" w:rsidRDefault="00525377" w:rsidP="00C30518">
            <w:pPr>
              <w:pStyle w:val="TableParagraph"/>
              <w:spacing w:before="0" w:after="60"/>
              <w:ind w:left="107" w:right="822"/>
              <w:rPr>
                <w:b/>
              </w:rPr>
            </w:pPr>
            <w:r w:rsidRPr="00D92A1C">
              <w:rPr>
                <w:b/>
                <w:color w:val="221F1F"/>
              </w:rPr>
              <w:t>Elective inpatient activity</w:t>
            </w:r>
          </w:p>
        </w:tc>
        <w:tc>
          <w:tcPr>
            <w:tcW w:w="1109" w:type="pct"/>
          </w:tcPr>
          <w:p w14:paraId="519A2F53" w14:textId="77777777" w:rsidR="007F56A9" w:rsidRPr="00D92A1C" w:rsidRDefault="00525377" w:rsidP="00C30518">
            <w:pPr>
              <w:pStyle w:val="TableParagraph"/>
              <w:spacing w:before="0" w:after="60"/>
              <w:ind w:left="107"/>
            </w:pPr>
            <w:r w:rsidRPr="00D92A1C">
              <w:rPr>
                <w:color w:val="221F1F"/>
              </w:rPr>
              <w:t>Identify activity</w:t>
            </w:r>
          </w:p>
        </w:tc>
        <w:tc>
          <w:tcPr>
            <w:tcW w:w="1046" w:type="pct"/>
          </w:tcPr>
          <w:p w14:paraId="2316654F" w14:textId="77777777" w:rsidR="007F56A9" w:rsidRPr="00D92A1C" w:rsidRDefault="00525377" w:rsidP="00C30518">
            <w:pPr>
              <w:pStyle w:val="TableParagraph"/>
              <w:spacing w:before="0" w:after="60"/>
            </w:pPr>
            <w:r w:rsidRPr="00D92A1C">
              <w:rPr>
                <w:color w:val="221F1F"/>
              </w:rPr>
              <w:t>Reduce activity</w:t>
            </w:r>
          </w:p>
        </w:tc>
        <w:tc>
          <w:tcPr>
            <w:tcW w:w="996" w:type="pct"/>
          </w:tcPr>
          <w:p w14:paraId="2D395F97" w14:textId="77777777" w:rsidR="007F56A9" w:rsidRPr="00D92A1C" w:rsidRDefault="00525377" w:rsidP="00C30518">
            <w:pPr>
              <w:pStyle w:val="TableParagraph"/>
              <w:spacing w:before="0" w:after="60"/>
              <w:ind w:left="105"/>
            </w:pPr>
            <w:r w:rsidRPr="00D92A1C">
              <w:rPr>
                <w:color w:val="221F1F"/>
              </w:rPr>
              <w:t>Stop activity</w:t>
            </w:r>
          </w:p>
        </w:tc>
        <w:tc>
          <w:tcPr>
            <w:tcW w:w="968" w:type="pct"/>
          </w:tcPr>
          <w:p w14:paraId="0D15002C" w14:textId="77777777" w:rsidR="007F56A9" w:rsidRPr="00D92A1C" w:rsidRDefault="007F56A9" w:rsidP="00C30518">
            <w:pPr>
              <w:pStyle w:val="TableParagraph"/>
              <w:spacing w:before="0" w:after="60"/>
              <w:ind w:left="0"/>
              <w:rPr>
                <w:rFonts w:ascii="Times New Roman"/>
                <w:sz w:val="20"/>
              </w:rPr>
            </w:pPr>
          </w:p>
        </w:tc>
      </w:tr>
      <w:tr w:rsidR="007F56A9" w:rsidRPr="00D92A1C" w14:paraId="7A16EF12" w14:textId="77777777" w:rsidTr="00C30518">
        <w:tc>
          <w:tcPr>
            <w:tcW w:w="881" w:type="pct"/>
            <w:shd w:val="clear" w:color="auto" w:fill="BCDEFF"/>
          </w:tcPr>
          <w:p w14:paraId="137DCE07" w14:textId="66622661" w:rsidR="007F56A9" w:rsidRPr="00D92A1C" w:rsidRDefault="00525377" w:rsidP="00C30518">
            <w:pPr>
              <w:pStyle w:val="TableParagraph"/>
              <w:spacing w:before="0" w:after="60"/>
              <w:ind w:left="107" w:right="345"/>
              <w:rPr>
                <w:b/>
              </w:rPr>
            </w:pPr>
            <w:r w:rsidRPr="00D92A1C">
              <w:rPr>
                <w:b/>
                <w:color w:val="221F1F"/>
              </w:rPr>
              <w:t>Non-elective inpatient activity</w:t>
            </w:r>
          </w:p>
        </w:tc>
        <w:tc>
          <w:tcPr>
            <w:tcW w:w="1109" w:type="pct"/>
            <w:shd w:val="clear" w:color="auto" w:fill="BCDEFF"/>
          </w:tcPr>
          <w:p w14:paraId="5C5596EB" w14:textId="77777777" w:rsidR="007F56A9" w:rsidRPr="00D92A1C" w:rsidRDefault="00525377" w:rsidP="00C30518">
            <w:pPr>
              <w:pStyle w:val="TableParagraph"/>
              <w:spacing w:before="0" w:after="60"/>
              <w:ind w:left="107"/>
            </w:pPr>
            <w:r w:rsidRPr="00D92A1C">
              <w:rPr>
                <w:color w:val="221F1F"/>
              </w:rPr>
              <w:t>Upskill staff</w:t>
            </w:r>
          </w:p>
          <w:p w14:paraId="5A8B8DEF" w14:textId="77777777" w:rsidR="007F56A9" w:rsidRPr="00D92A1C" w:rsidRDefault="00525377" w:rsidP="00C30518">
            <w:pPr>
              <w:pStyle w:val="TableParagraph"/>
              <w:spacing w:before="0" w:after="60"/>
              <w:ind w:left="107" w:right="82"/>
            </w:pPr>
            <w:r w:rsidRPr="00D92A1C">
              <w:rPr>
                <w:color w:val="221F1F"/>
              </w:rPr>
              <w:t>Plan reallocation of staff to support emergency activity</w:t>
            </w:r>
          </w:p>
        </w:tc>
        <w:tc>
          <w:tcPr>
            <w:tcW w:w="1046" w:type="pct"/>
            <w:shd w:val="clear" w:color="auto" w:fill="BCDEFF"/>
          </w:tcPr>
          <w:p w14:paraId="36D0FE7D" w14:textId="77777777" w:rsidR="007F56A9" w:rsidRPr="00D92A1C" w:rsidRDefault="00525377" w:rsidP="00C30518">
            <w:pPr>
              <w:pStyle w:val="TableParagraph"/>
              <w:spacing w:before="0" w:after="60"/>
              <w:ind w:right="322"/>
            </w:pPr>
            <w:r w:rsidRPr="00D92A1C">
              <w:rPr>
                <w:color w:val="221F1F"/>
              </w:rPr>
              <w:t>Twice daily consultant-led ward reviews</w:t>
            </w:r>
          </w:p>
          <w:p w14:paraId="0ABFD422" w14:textId="77777777" w:rsidR="007F56A9" w:rsidRPr="00D92A1C" w:rsidRDefault="00525377" w:rsidP="00C30518">
            <w:pPr>
              <w:pStyle w:val="TableParagraph"/>
              <w:spacing w:before="0" w:after="60"/>
              <w:ind w:right="407"/>
            </w:pPr>
            <w:r w:rsidRPr="00D92A1C">
              <w:rPr>
                <w:color w:val="221F1F"/>
              </w:rPr>
              <w:t>Enhance rapid discharge planning</w:t>
            </w:r>
          </w:p>
          <w:p w14:paraId="7C39E434" w14:textId="77777777" w:rsidR="007F56A9" w:rsidRPr="00D92A1C" w:rsidRDefault="00525377" w:rsidP="00C30518">
            <w:pPr>
              <w:pStyle w:val="TableParagraph"/>
              <w:spacing w:before="0" w:after="60"/>
              <w:ind w:right="273"/>
            </w:pPr>
            <w:r w:rsidRPr="00D92A1C">
              <w:rPr>
                <w:color w:val="221F1F"/>
              </w:rPr>
              <w:t>Establish discharge clinics to facilitate</w:t>
            </w:r>
          </w:p>
        </w:tc>
        <w:tc>
          <w:tcPr>
            <w:tcW w:w="996" w:type="pct"/>
            <w:shd w:val="clear" w:color="auto" w:fill="BCDEFF"/>
          </w:tcPr>
          <w:p w14:paraId="53F4A683" w14:textId="77777777" w:rsidR="007F56A9" w:rsidRPr="00D92A1C" w:rsidRDefault="00525377" w:rsidP="00C30518">
            <w:pPr>
              <w:pStyle w:val="TableParagraph"/>
              <w:spacing w:before="0" w:after="60"/>
              <w:ind w:left="105" w:right="83"/>
            </w:pPr>
            <w:r w:rsidRPr="00D92A1C">
              <w:rPr>
                <w:color w:val="221F1F"/>
              </w:rPr>
              <w:t>In-reach to ED/MAU to pull emergency activity away from front door</w:t>
            </w:r>
          </w:p>
          <w:p w14:paraId="6BA4C0BC" w14:textId="77777777" w:rsidR="007F56A9" w:rsidRPr="00D92A1C" w:rsidRDefault="00525377" w:rsidP="00C30518">
            <w:pPr>
              <w:pStyle w:val="TableParagraph"/>
              <w:spacing w:before="0" w:after="60"/>
              <w:ind w:left="105" w:right="841"/>
            </w:pPr>
            <w:r w:rsidRPr="00D92A1C">
              <w:rPr>
                <w:color w:val="221F1F"/>
              </w:rPr>
              <w:t>Escalate discharge processed</w:t>
            </w:r>
          </w:p>
        </w:tc>
        <w:tc>
          <w:tcPr>
            <w:tcW w:w="968" w:type="pct"/>
            <w:shd w:val="clear" w:color="auto" w:fill="BCDEFF"/>
          </w:tcPr>
          <w:p w14:paraId="2A82E1A3" w14:textId="77777777" w:rsidR="007F56A9" w:rsidRPr="00D92A1C" w:rsidRDefault="00525377" w:rsidP="00C30518">
            <w:pPr>
              <w:pStyle w:val="TableParagraph"/>
              <w:spacing w:before="0" w:after="60"/>
            </w:pPr>
            <w:r w:rsidRPr="00D92A1C">
              <w:rPr>
                <w:color w:val="221F1F"/>
              </w:rPr>
              <w:t>Consider triage criteria</w:t>
            </w:r>
          </w:p>
        </w:tc>
      </w:tr>
      <w:tr w:rsidR="007F56A9" w:rsidRPr="00D92A1C" w14:paraId="16DE9E02" w14:textId="77777777" w:rsidTr="00C30518">
        <w:tc>
          <w:tcPr>
            <w:tcW w:w="881" w:type="pct"/>
          </w:tcPr>
          <w:p w14:paraId="5CDE82F8" w14:textId="77777777" w:rsidR="007F56A9" w:rsidRPr="00D92A1C" w:rsidRDefault="00525377" w:rsidP="00C30518">
            <w:pPr>
              <w:pStyle w:val="TableParagraph"/>
              <w:spacing w:before="0" w:after="60"/>
              <w:ind w:left="107"/>
              <w:rPr>
                <w:b/>
              </w:rPr>
            </w:pPr>
            <w:r w:rsidRPr="00D92A1C">
              <w:rPr>
                <w:b/>
                <w:color w:val="221F1F"/>
              </w:rPr>
              <w:t>Outpatients</w:t>
            </w:r>
          </w:p>
        </w:tc>
        <w:tc>
          <w:tcPr>
            <w:tcW w:w="1109" w:type="pct"/>
          </w:tcPr>
          <w:p w14:paraId="5F5340A1" w14:textId="77777777" w:rsidR="007F56A9" w:rsidRPr="00D92A1C" w:rsidRDefault="00525377" w:rsidP="00C30518">
            <w:pPr>
              <w:pStyle w:val="TableParagraph"/>
              <w:spacing w:before="0" w:after="60"/>
              <w:ind w:left="107"/>
            </w:pPr>
            <w:r w:rsidRPr="00D92A1C">
              <w:rPr>
                <w:color w:val="221F1F"/>
              </w:rPr>
              <w:t>Identify activity</w:t>
            </w:r>
          </w:p>
        </w:tc>
        <w:tc>
          <w:tcPr>
            <w:tcW w:w="1046" w:type="pct"/>
          </w:tcPr>
          <w:p w14:paraId="17E346D8" w14:textId="77777777" w:rsidR="007F56A9" w:rsidRPr="00D92A1C" w:rsidRDefault="00525377" w:rsidP="00C30518">
            <w:pPr>
              <w:pStyle w:val="TableParagraph"/>
              <w:spacing w:before="0" w:after="60"/>
            </w:pPr>
            <w:r w:rsidRPr="00D92A1C">
              <w:rPr>
                <w:color w:val="221F1F"/>
              </w:rPr>
              <w:t>Delay follow-ups</w:t>
            </w:r>
          </w:p>
          <w:p w14:paraId="05218498" w14:textId="77777777" w:rsidR="007F56A9" w:rsidRPr="00D92A1C" w:rsidRDefault="00525377" w:rsidP="00C30518">
            <w:pPr>
              <w:pStyle w:val="TableParagraph"/>
              <w:spacing w:before="0" w:after="60"/>
              <w:ind w:right="285"/>
            </w:pPr>
            <w:r w:rsidRPr="00D92A1C">
              <w:rPr>
                <w:color w:val="221F1F"/>
              </w:rPr>
              <w:t>Identify diagnostic support services</w:t>
            </w:r>
          </w:p>
          <w:p w14:paraId="71E87091" w14:textId="77777777" w:rsidR="007F56A9" w:rsidRPr="00D92A1C" w:rsidRDefault="00525377" w:rsidP="00C30518">
            <w:pPr>
              <w:pStyle w:val="TableParagraph"/>
              <w:spacing w:before="0" w:after="60"/>
            </w:pPr>
            <w:r w:rsidRPr="00D92A1C">
              <w:rPr>
                <w:color w:val="221F1F"/>
              </w:rPr>
              <w:t>Start remote access clinics</w:t>
            </w:r>
          </w:p>
        </w:tc>
        <w:tc>
          <w:tcPr>
            <w:tcW w:w="996" w:type="pct"/>
          </w:tcPr>
          <w:p w14:paraId="7D335119" w14:textId="77777777" w:rsidR="007F56A9" w:rsidRPr="00D92A1C" w:rsidRDefault="00525377" w:rsidP="00C30518">
            <w:pPr>
              <w:pStyle w:val="TableParagraph"/>
              <w:spacing w:before="0" w:after="60"/>
              <w:ind w:left="105" w:right="291"/>
            </w:pPr>
            <w:r w:rsidRPr="00D92A1C">
              <w:rPr>
                <w:color w:val="221F1F"/>
              </w:rPr>
              <w:t>Increase discharge clinic capacity to support discharge planning</w:t>
            </w:r>
          </w:p>
        </w:tc>
        <w:tc>
          <w:tcPr>
            <w:tcW w:w="968" w:type="pct"/>
          </w:tcPr>
          <w:p w14:paraId="34BB37F9" w14:textId="77777777" w:rsidR="007F56A9" w:rsidRPr="00D92A1C" w:rsidRDefault="00525377" w:rsidP="00C30518">
            <w:pPr>
              <w:pStyle w:val="TableParagraph"/>
              <w:spacing w:before="0" w:after="60"/>
              <w:ind w:right="161"/>
            </w:pPr>
            <w:r w:rsidRPr="00D92A1C">
              <w:rPr>
                <w:color w:val="221F1F"/>
              </w:rPr>
              <w:t>Consider staff step-down options while maintaining activity to maintain staff resilience</w:t>
            </w:r>
          </w:p>
          <w:p w14:paraId="0D5F2A18" w14:textId="77777777" w:rsidR="007F56A9" w:rsidRPr="00D92A1C" w:rsidRDefault="00525377" w:rsidP="00C30518">
            <w:pPr>
              <w:pStyle w:val="TableParagraph"/>
              <w:spacing w:before="0" w:after="60"/>
              <w:ind w:right="125"/>
            </w:pPr>
            <w:r w:rsidRPr="00D92A1C">
              <w:rPr>
                <w:color w:val="221F1F"/>
              </w:rPr>
              <w:t>Deploy medical students and physician aides to support outpatient activity</w:t>
            </w:r>
          </w:p>
        </w:tc>
      </w:tr>
    </w:tbl>
    <w:p w14:paraId="75606A8C" w14:textId="1F47FBFD" w:rsidR="00AC2078" w:rsidRPr="00D92A1C" w:rsidRDefault="00AC2078"/>
    <w:p w14:paraId="705E1D09" w14:textId="77777777" w:rsidR="001F3B23" w:rsidRPr="00D92A1C" w:rsidRDefault="001F3B23" w:rsidP="001F3B23">
      <w:pPr>
        <w:pStyle w:val="Heading1"/>
        <w:keepNext/>
        <w:ind w:left="0"/>
        <w:rPr>
          <w:rFonts w:ascii="Calibri" w:hAnsi="Calibri"/>
        </w:rPr>
      </w:pPr>
      <w:r w:rsidRPr="00D92A1C">
        <w:t>Update information</w:t>
      </w:r>
    </w:p>
    <w:p w14:paraId="5CE2A31A" w14:textId="6A4C3B10" w:rsidR="00FE354A" w:rsidRDefault="00FE354A" w:rsidP="001F3B23">
      <w:pPr>
        <w:rPr>
          <w:b/>
          <w:bCs/>
        </w:rPr>
      </w:pPr>
      <w:r>
        <w:rPr>
          <w:b/>
          <w:bCs/>
        </w:rPr>
        <w:t xml:space="preserve">December 2021: </w:t>
      </w:r>
      <w:r w:rsidRPr="00D92A1C">
        <w:t>Minor updates.</w:t>
      </w:r>
    </w:p>
    <w:p w14:paraId="658CD5A8" w14:textId="4FD942C0" w:rsidR="001F3B23" w:rsidRPr="00D92A1C" w:rsidRDefault="001F3B23" w:rsidP="001F3B23">
      <w:r w:rsidRPr="00D92A1C">
        <w:rPr>
          <w:b/>
          <w:bCs/>
        </w:rPr>
        <w:t>November 2020:</w:t>
      </w:r>
      <w:r w:rsidRPr="00D92A1C">
        <w:t xml:space="preserve"> hyperlinks in this document were updated when the suite of guidance was moved from NHS England to NICE.</w:t>
      </w:r>
    </w:p>
    <w:p w14:paraId="66ED83BE" w14:textId="35E2BFAE" w:rsidR="001F3B23" w:rsidRPr="00D92A1C" w:rsidRDefault="001F3B23" w:rsidP="001F3B23">
      <w:r w:rsidRPr="00D92A1C">
        <w:rPr>
          <w:b/>
          <w:bCs/>
        </w:rPr>
        <w:t>16 April 2020:</w:t>
      </w:r>
      <w:r w:rsidRPr="00D92A1C">
        <w:t xml:space="preserve"> Minor updates.</w:t>
      </w:r>
    </w:p>
    <w:p w14:paraId="6272FCEE" w14:textId="1EE71CFB" w:rsidR="001F3B23" w:rsidRDefault="001F3B23">
      <w:r w:rsidRPr="00D92A1C">
        <w:rPr>
          <w:b/>
          <w:bCs/>
        </w:rPr>
        <w:t>23 March 2020:</w:t>
      </w:r>
      <w:r w:rsidRPr="00D92A1C">
        <w:t xml:space="preserve"> version 1 published.</w:t>
      </w:r>
    </w:p>
    <w:sectPr w:rsidR="001F3B23">
      <w:footerReference w:type="default" r:id="rId16"/>
      <w:pgSz w:w="16840" w:h="11910" w:orient="landscape"/>
      <w:pgMar w:top="1100" w:right="1180" w:bottom="940" w:left="118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4EDA" w14:textId="77777777" w:rsidR="00B0024B" w:rsidRDefault="00B0024B">
      <w:r>
        <w:separator/>
      </w:r>
    </w:p>
  </w:endnote>
  <w:endnote w:type="continuationSeparator" w:id="0">
    <w:p w14:paraId="6E924D23" w14:textId="77777777" w:rsidR="00B0024B" w:rsidRDefault="00B0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EE57" w14:textId="0574EF24" w:rsidR="001F3B23" w:rsidRPr="00B97C75" w:rsidRDefault="001F3B23" w:rsidP="00B97C75">
    <w:pPr>
      <w:pStyle w:val="Footer"/>
      <w:jc w:val="right"/>
      <w:rPr>
        <w:b/>
        <w:bCs/>
        <w:lang w:val="en-US"/>
      </w:rPr>
    </w:pPr>
    <w:r>
      <w:rPr>
        <w:b/>
        <w:bCs/>
        <w:lang w:val="en-US"/>
      </w:rPr>
      <w:t>NHS England and NHS Improvement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4FD93" w14:textId="0D61540F" w:rsidR="007F56A9" w:rsidRDefault="0019174B" w:rsidP="00B97C75">
    <w:pPr>
      <w:pStyle w:val="BodyText"/>
      <w:rPr>
        <w:sz w:val="20"/>
      </w:rPr>
    </w:pPr>
    <w:r>
      <w:rPr>
        <w:noProof/>
      </w:rPr>
      <mc:AlternateContent>
        <mc:Choice Requires="wps">
          <w:drawing>
            <wp:anchor distT="0" distB="0" distL="114300" distR="114300" simplePos="0" relativeHeight="503308880" behindDoc="1" locked="0" layoutInCell="1" allowOverlap="1" wp14:anchorId="125DB9CA" wp14:editId="2EDFCEBF">
              <wp:simplePos x="0" y="0"/>
              <wp:positionH relativeFrom="page">
                <wp:posOffset>567252</wp:posOffset>
              </wp:positionH>
              <wp:positionV relativeFrom="page">
                <wp:posOffset>10171216</wp:posOffset>
              </wp:positionV>
              <wp:extent cx="6391687" cy="202565"/>
              <wp:effectExtent l="0" t="0" r="9525"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687"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6BBB6" w14:textId="3D154AFD" w:rsidR="007F56A9" w:rsidRDefault="00525377">
                          <w:pPr>
                            <w:spacing w:before="11"/>
                            <w:ind w:left="40"/>
                            <w:rPr>
                              <w:sz w:val="20"/>
                            </w:rPr>
                          </w:pPr>
                          <w:r>
                            <w:fldChar w:fldCharType="begin"/>
                          </w:r>
                          <w:r>
                            <w:rPr>
                              <w:color w:val="768592"/>
                              <w:sz w:val="25"/>
                            </w:rPr>
                            <w:instrText xml:space="preserve"> PAGE </w:instrText>
                          </w:r>
                          <w:r>
                            <w:fldChar w:fldCharType="separate"/>
                          </w:r>
                          <w:r>
                            <w:t>2</w:t>
                          </w:r>
                          <w:r>
                            <w:fldChar w:fldCharType="end"/>
                          </w:r>
                          <w:r>
                            <w:rPr>
                              <w:color w:val="768592"/>
                              <w:sz w:val="25"/>
                            </w:rPr>
                            <w:t xml:space="preserve"> </w:t>
                          </w:r>
                          <w:r>
                            <w:rPr>
                              <w:b/>
                              <w:color w:val="005EB8"/>
                              <w:sz w:val="25"/>
                            </w:rPr>
                            <w:t xml:space="preserve">| </w:t>
                          </w:r>
                          <w:r>
                            <w:rPr>
                              <w:color w:val="768592"/>
                              <w:sz w:val="20"/>
                            </w:rPr>
                            <w:t xml:space="preserve">Clinical guide for the management of stroke patients during the </w:t>
                          </w:r>
                          <w:r w:rsidR="0019174B">
                            <w:rPr>
                              <w:color w:val="768592"/>
                              <w:sz w:val="20"/>
                            </w:rPr>
                            <w:t xml:space="preserve">COVID-19 </w:t>
                          </w:r>
                          <w:r>
                            <w:rPr>
                              <w:color w:val="768592"/>
                              <w:sz w:val="20"/>
                            </w:rPr>
                            <w:t>pandemic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DB9CA" id="_x0000_t202" coordsize="21600,21600" o:spt="202" path="m,l,21600r21600,l21600,xe">
              <v:stroke joinstyle="miter"/>
              <v:path gradientshapeok="t" o:connecttype="rect"/>
            </v:shapetype>
            <v:shape id="Text Box 3" o:spid="_x0000_s1026" type="#_x0000_t202" style="position:absolute;left:0;text-align:left;margin-left:44.65pt;margin-top:800.9pt;width:503.3pt;height:15.95pt;z-index:-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" filled="f" stroked="f">
              <v:textbox inset="0,0,0,0">
                <w:txbxContent>
                  <w:p w14:paraId="6376BBB6" w14:textId="3D154AFD" w:rsidR="007F56A9" w:rsidRDefault="00525377">
                    <w:pPr>
                      <w:spacing w:before="11"/>
                      <w:ind w:left="40"/>
                      <w:rPr>
                        <w:sz w:val="20"/>
                      </w:rPr>
                    </w:pPr>
                    <w:r>
                      <w:fldChar w:fldCharType="begin"/>
                    </w:r>
                    <w:r>
                      <w:rPr>
                        <w:color w:val="768592"/>
                        <w:sz w:val="25"/>
                      </w:rPr>
                      <w:instrText xml:space="preserve"> PAGE </w:instrText>
                    </w:r>
                    <w:r>
                      <w:fldChar w:fldCharType="separate"/>
                    </w:r>
                    <w:r>
                      <w:t>2</w:t>
                    </w:r>
                    <w:r>
                      <w:fldChar w:fldCharType="end"/>
                    </w:r>
                    <w:r>
                      <w:rPr>
                        <w:color w:val="768592"/>
                        <w:sz w:val="25"/>
                      </w:rPr>
                      <w:t xml:space="preserve"> </w:t>
                    </w:r>
                    <w:r>
                      <w:rPr>
                        <w:b/>
                        <w:color w:val="005EB8"/>
                        <w:sz w:val="25"/>
                      </w:rPr>
                      <w:t xml:space="preserve">| </w:t>
                    </w:r>
                    <w:r>
                      <w:rPr>
                        <w:color w:val="768592"/>
                        <w:sz w:val="20"/>
                      </w:rPr>
                      <w:t xml:space="preserve">Clinical guide for the management of stroke patients during the </w:t>
                    </w:r>
                    <w:r w:rsidR="0019174B">
                      <w:rPr>
                        <w:color w:val="768592"/>
                        <w:sz w:val="20"/>
                      </w:rPr>
                      <w:t xml:space="preserve">COVID-19 </w:t>
                    </w:r>
                    <w:r>
                      <w:rPr>
                        <w:color w:val="768592"/>
                        <w:sz w:val="20"/>
                      </w:rPr>
                      <w:t>pandemic</w:t>
                    </w:r>
                  </w:p>
                </w:txbxContent>
              </v:textbox>
              <w10:wrap anchorx="page" anchory="page"/>
            </v:shape>
          </w:pict>
        </mc:Fallback>
      </mc:AlternateContent>
    </w:r>
    <w:r w:rsidR="00D23062">
      <w:rPr>
        <w:noProof/>
      </w:rPr>
      <mc:AlternateContent>
        <mc:Choice Requires="wps">
          <w:drawing>
            <wp:anchor distT="0" distB="0" distL="114300" distR="114300" simplePos="0" relativeHeight="503308856" behindDoc="1" locked="0" layoutInCell="1" allowOverlap="1" wp14:anchorId="6B6B6710" wp14:editId="0BB5774F">
              <wp:simplePos x="0" y="0"/>
              <wp:positionH relativeFrom="page">
                <wp:posOffset>590550</wp:posOffset>
              </wp:positionH>
              <wp:positionV relativeFrom="page">
                <wp:posOffset>10041890</wp:posOffset>
              </wp:positionV>
              <wp:extent cx="6259830" cy="0"/>
              <wp:effectExtent l="9525" t="12065" r="7620" b="698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line">
                        <a:avLst/>
                      </a:prstGeom>
                      <a:noFill/>
                      <a:ln w="12191">
                        <a:solidFill>
                          <a:srgbClr val="005E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FDF8E" id="Line 4" o:spid="_x0000_s1026" style="position:absolute;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790.7pt" to="539.4pt,7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" strokecolor="#005eb8" strokeweight=".33864mm">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9CEE5" w14:textId="2900D184" w:rsidR="007F56A9" w:rsidRDefault="0019174B" w:rsidP="00B97C75">
    <w:pPr>
      <w:pStyle w:val="BodyText"/>
      <w:rPr>
        <w:sz w:val="20"/>
      </w:rPr>
    </w:pPr>
    <w:r>
      <w:rPr>
        <w:noProof/>
      </w:rPr>
      <mc:AlternateContent>
        <mc:Choice Requires="wps">
          <w:drawing>
            <wp:anchor distT="0" distB="0" distL="114300" distR="114300" simplePos="0" relativeHeight="503308928" behindDoc="1" locked="0" layoutInCell="1" allowOverlap="1" wp14:anchorId="018842C9" wp14:editId="71F05CC1">
              <wp:simplePos x="0" y="0"/>
              <wp:positionH relativeFrom="page">
                <wp:posOffset>575952</wp:posOffset>
              </wp:positionH>
              <wp:positionV relativeFrom="page">
                <wp:posOffset>7036130</wp:posOffset>
              </wp:positionV>
              <wp:extent cx="6638307" cy="202565"/>
              <wp:effectExtent l="0" t="0" r="10160" b="698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307"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9438C" w14:textId="529C1701" w:rsidR="007F56A9" w:rsidRDefault="00525377">
                          <w:pPr>
                            <w:spacing w:before="11"/>
                            <w:ind w:left="20"/>
                            <w:rPr>
                              <w:sz w:val="20"/>
                            </w:rPr>
                          </w:pPr>
                          <w:r>
                            <w:rPr>
                              <w:color w:val="768592"/>
                              <w:sz w:val="25"/>
                            </w:rPr>
                            <w:t xml:space="preserve">8 </w:t>
                          </w:r>
                          <w:r>
                            <w:rPr>
                              <w:b/>
                              <w:color w:val="005EB8"/>
                              <w:sz w:val="25"/>
                            </w:rPr>
                            <w:t xml:space="preserve">| </w:t>
                          </w:r>
                          <w:r>
                            <w:rPr>
                              <w:color w:val="768592"/>
                              <w:sz w:val="20"/>
                            </w:rPr>
                            <w:t xml:space="preserve">Clinical guide for the management of stroke patients during the </w:t>
                          </w:r>
                          <w:r w:rsidR="0019174B">
                            <w:rPr>
                              <w:color w:val="768592"/>
                              <w:sz w:val="20"/>
                            </w:rPr>
                            <w:t xml:space="preserve">COVID-19 </w:t>
                          </w:r>
                          <w:r>
                            <w:rPr>
                              <w:color w:val="768592"/>
                              <w:sz w:val="20"/>
                            </w:rPr>
                            <w:t>pandemic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842C9" id="_x0000_t202" coordsize="21600,21600" o:spt="202" path="m,l,21600r21600,l21600,xe">
              <v:stroke joinstyle="miter"/>
              <v:path gradientshapeok="t" o:connecttype="rect"/>
            </v:shapetype>
            <v:shape id="Text Box 1" o:spid="_x0000_s1027" type="#_x0000_t202" style="position:absolute;left:0;text-align:left;margin-left:45.35pt;margin-top:554.05pt;width:522.7pt;height:15.95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" filled="f" stroked="f">
              <v:textbox inset="0,0,0,0">
                <w:txbxContent>
                  <w:p w14:paraId="3339438C" w14:textId="529C1701" w:rsidR="007F56A9" w:rsidRDefault="00525377">
                    <w:pPr>
                      <w:spacing w:before="11"/>
                      <w:ind w:left="20"/>
                      <w:rPr>
                        <w:sz w:val="20"/>
                      </w:rPr>
                    </w:pPr>
                    <w:r>
                      <w:rPr>
                        <w:color w:val="768592"/>
                        <w:sz w:val="25"/>
                      </w:rPr>
                      <w:t xml:space="preserve">8 </w:t>
                    </w:r>
                    <w:r>
                      <w:rPr>
                        <w:b/>
                        <w:color w:val="005EB8"/>
                        <w:sz w:val="25"/>
                      </w:rPr>
                      <w:t xml:space="preserve">| </w:t>
                    </w:r>
                    <w:r>
                      <w:rPr>
                        <w:color w:val="768592"/>
                        <w:sz w:val="20"/>
                      </w:rPr>
                      <w:t xml:space="preserve">Clinical guide for the management of stroke patients during the </w:t>
                    </w:r>
                    <w:r w:rsidR="0019174B">
                      <w:rPr>
                        <w:color w:val="768592"/>
                        <w:sz w:val="20"/>
                      </w:rPr>
                      <w:t xml:space="preserve">COVID-19 </w:t>
                    </w:r>
                    <w:r>
                      <w:rPr>
                        <w:color w:val="768592"/>
                        <w:sz w:val="20"/>
                      </w:rPr>
                      <w:t>pandemic</w:t>
                    </w:r>
                  </w:p>
                </w:txbxContent>
              </v:textbox>
              <w10:wrap anchorx="page" anchory="page"/>
            </v:shape>
          </w:pict>
        </mc:Fallback>
      </mc:AlternateContent>
    </w:r>
    <w:r w:rsidR="00D23062">
      <w:rPr>
        <w:noProof/>
      </w:rPr>
      <mc:AlternateContent>
        <mc:Choice Requires="wps">
          <w:drawing>
            <wp:anchor distT="0" distB="0" distL="114300" distR="114300" simplePos="0" relativeHeight="503308904" behindDoc="1" locked="0" layoutInCell="1" allowOverlap="1" wp14:anchorId="30AD404B" wp14:editId="4B661428">
              <wp:simplePos x="0" y="0"/>
              <wp:positionH relativeFrom="page">
                <wp:posOffset>590550</wp:posOffset>
              </wp:positionH>
              <wp:positionV relativeFrom="page">
                <wp:posOffset>6908800</wp:posOffset>
              </wp:positionV>
              <wp:extent cx="6259830" cy="0"/>
              <wp:effectExtent l="9525" t="12700" r="7620"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line">
                        <a:avLst/>
                      </a:prstGeom>
                      <a:noFill/>
                      <a:ln w="12192">
                        <a:solidFill>
                          <a:srgbClr val="005EB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0DC99" id="Line 2" o:spid="_x0000_s1026" style="position:absolute;z-index:-7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pt,544pt" to="539.4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" strokecolor="#005eb8" strokeweight=".9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9891" w14:textId="77777777" w:rsidR="00B0024B" w:rsidRDefault="00B0024B">
      <w:r>
        <w:separator/>
      </w:r>
    </w:p>
  </w:footnote>
  <w:footnote w:type="continuationSeparator" w:id="0">
    <w:p w14:paraId="7F3E918A" w14:textId="77777777" w:rsidR="00B0024B" w:rsidRDefault="00B00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A479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8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D5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2ED6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4ED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6C0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80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027A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8446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FADB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933A84"/>
    <w:multiLevelType w:val="hybridMultilevel"/>
    <w:tmpl w:val="6D6EB446"/>
    <w:lvl w:ilvl="0" w:tplc="6E12135C">
      <w:numFmt w:val="bullet"/>
      <w:pStyle w:val="ListParagraph"/>
      <w:lvlText w:val="•"/>
      <w:lvlJc w:val="left"/>
      <w:pPr>
        <w:ind w:left="2290" w:hanging="284"/>
      </w:pPr>
      <w:rPr>
        <w:rFonts w:ascii="Arial" w:eastAsia="Arial" w:hAnsi="Arial" w:cs="Arial" w:hint="default"/>
        <w:color w:val="005EB8"/>
        <w:w w:val="100"/>
        <w:sz w:val="32"/>
        <w:szCs w:val="32"/>
        <w:lang w:val="en-GB" w:eastAsia="en-GB" w:bidi="en-GB"/>
      </w:rPr>
    </w:lvl>
    <w:lvl w:ilvl="1" w:tplc="81FAEEE2">
      <w:numFmt w:val="bullet"/>
      <w:lvlText w:val="–"/>
      <w:lvlJc w:val="left"/>
      <w:pPr>
        <w:ind w:left="2574" w:hanging="351"/>
      </w:pPr>
      <w:rPr>
        <w:rFonts w:ascii="Arial" w:eastAsia="Arial" w:hAnsi="Arial" w:cs="Arial" w:hint="default"/>
        <w:color w:val="005EB8"/>
        <w:spacing w:val="-2"/>
        <w:w w:val="99"/>
        <w:sz w:val="24"/>
        <w:szCs w:val="24"/>
        <w:lang w:val="en-GB" w:eastAsia="en-GB" w:bidi="en-GB"/>
      </w:rPr>
    </w:lvl>
    <w:lvl w:ilvl="2" w:tplc="E2986AB4">
      <w:numFmt w:val="bullet"/>
      <w:lvlText w:val="•"/>
      <w:lvlJc w:val="left"/>
      <w:pPr>
        <w:ind w:left="3616" w:hanging="351"/>
      </w:pPr>
      <w:rPr>
        <w:rFonts w:hint="default"/>
        <w:lang w:val="en-GB" w:eastAsia="en-GB" w:bidi="en-GB"/>
      </w:rPr>
    </w:lvl>
    <w:lvl w:ilvl="3" w:tplc="FA7E5708">
      <w:numFmt w:val="bullet"/>
      <w:lvlText w:val="•"/>
      <w:lvlJc w:val="left"/>
      <w:pPr>
        <w:ind w:left="4652" w:hanging="351"/>
      </w:pPr>
      <w:rPr>
        <w:rFonts w:hint="default"/>
        <w:lang w:val="en-GB" w:eastAsia="en-GB" w:bidi="en-GB"/>
      </w:rPr>
    </w:lvl>
    <w:lvl w:ilvl="4" w:tplc="4D6ECFE6">
      <w:numFmt w:val="bullet"/>
      <w:lvlText w:val="•"/>
      <w:lvlJc w:val="left"/>
      <w:pPr>
        <w:ind w:left="5689" w:hanging="351"/>
      </w:pPr>
      <w:rPr>
        <w:rFonts w:hint="default"/>
        <w:lang w:val="en-GB" w:eastAsia="en-GB" w:bidi="en-GB"/>
      </w:rPr>
    </w:lvl>
    <w:lvl w:ilvl="5" w:tplc="242E60C0">
      <w:numFmt w:val="bullet"/>
      <w:lvlText w:val="•"/>
      <w:lvlJc w:val="left"/>
      <w:pPr>
        <w:ind w:left="6725" w:hanging="351"/>
      </w:pPr>
      <w:rPr>
        <w:rFonts w:hint="default"/>
        <w:lang w:val="en-GB" w:eastAsia="en-GB" w:bidi="en-GB"/>
      </w:rPr>
    </w:lvl>
    <w:lvl w:ilvl="6" w:tplc="FF482034">
      <w:numFmt w:val="bullet"/>
      <w:lvlText w:val="•"/>
      <w:lvlJc w:val="left"/>
      <w:pPr>
        <w:ind w:left="7762" w:hanging="351"/>
      </w:pPr>
      <w:rPr>
        <w:rFonts w:hint="default"/>
        <w:lang w:val="en-GB" w:eastAsia="en-GB" w:bidi="en-GB"/>
      </w:rPr>
    </w:lvl>
    <w:lvl w:ilvl="7" w:tplc="E70E9F62">
      <w:numFmt w:val="bullet"/>
      <w:lvlText w:val="•"/>
      <w:lvlJc w:val="left"/>
      <w:pPr>
        <w:ind w:left="8798" w:hanging="351"/>
      </w:pPr>
      <w:rPr>
        <w:rFonts w:hint="default"/>
        <w:lang w:val="en-GB" w:eastAsia="en-GB" w:bidi="en-GB"/>
      </w:rPr>
    </w:lvl>
    <w:lvl w:ilvl="8" w:tplc="243EC5E0">
      <w:numFmt w:val="bullet"/>
      <w:lvlText w:val="•"/>
      <w:lvlJc w:val="left"/>
      <w:pPr>
        <w:ind w:left="9834" w:hanging="351"/>
      </w:pPr>
      <w:rPr>
        <w:rFonts w:hint="default"/>
        <w:lang w:val="en-GB" w:eastAsia="en-GB" w:bidi="en-GB"/>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A9"/>
    <w:rsid w:val="00076855"/>
    <w:rsid w:val="000E3B22"/>
    <w:rsid w:val="00104BBB"/>
    <w:rsid w:val="0013524F"/>
    <w:rsid w:val="00163F9B"/>
    <w:rsid w:val="0019174B"/>
    <w:rsid w:val="001E0303"/>
    <w:rsid w:val="001F3B23"/>
    <w:rsid w:val="00216FA9"/>
    <w:rsid w:val="0026237C"/>
    <w:rsid w:val="002C58CD"/>
    <w:rsid w:val="003350B1"/>
    <w:rsid w:val="00372C09"/>
    <w:rsid w:val="003B2F79"/>
    <w:rsid w:val="003F2154"/>
    <w:rsid w:val="00401011"/>
    <w:rsid w:val="004319D7"/>
    <w:rsid w:val="00467290"/>
    <w:rsid w:val="00515A93"/>
    <w:rsid w:val="00525377"/>
    <w:rsid w:val="0053277F"/>
    <w:rsid w:val="0053381D"/>
    <w:rsid w:val="00540129"/>
    <w:rsid w:val="00557FEA"/>
    <w:rsid w:val="00623681"/>
    <w:rsid w:val="006709ED"/>
    <w:rsid w:val="006F64B7"/>
    <w:rsid w:val="007765F6"/>
    <w:rsid w:val="007C59E8"/>
    <w:rsid w:val="007F56A9"/>
    <w:rsid w:val="008129C5"/>
    <w:rsid w:val="00843197"/>
    <w:rsid w:val="00847CD8"/>
    <w:rsid w:val="008510E3"/>
    <w:rsid w:val="008B0D9E"/>
    <w:rsid w:val="008F3710"/>
    <w:rsid w:val="009B05A9"/>
    <w:rsid w:val="009D1AF4"/>
    <w:rsid w:val="00A23DE4"/>
    <w:rsid w:val="00A67723"/>
    <w:rsid w:val="00A95125"/>
    <w:rsid w:val="00A969D9"/>
    <w:rsid w:val="00AA0053"/>
    <w:rsid w:val="00AC2078"/>
    <w:rsid w:val="00AD1825"/>
    <w:rsid w:val="00AD22AB"/>
    <w:rsid w:val="00AD3C20"/>
    <w:rsid w:val="00B0024B"/>
    <w:rsid w:val="00B61C17"/>
    <w:rsid w:val="00B80858"/>
    <w:rsid w:val="00B97C75"/>
    <w:rsid w:val="00C23E7B"/>
    <w:rsid w:val="00C30518"/>
    <w:rsid w:val="00C30C66"/>
    <w:rsid w:val="00C70FEC"/>
    <w:rsid w:val="00C74AE6"/>
    <w:rsid w:val="00C825CD"/>
    <w:rsid w:val="00C94007"/>
    <w:rsid w:val="00D00A2F"/>
    <w:rsid w:val="00D23062"/>
    <w:rsid w:val="00D31CBB"/>
    <w:rsid w:val="00D65DD6"/>
    <w:rsid w:val="00D92A1C"/>
    <w:rsid w:val="00DC7AAC"/>
    <w:rsid w:val="00DE15AD"/>
    <w:rsid w:val="00E33643"/>
    <w:rsid w:val="00E54E27"/>
    <w:rsid w:val="00E85C35"/>
    <w:rsid w:val="00E95A35"/>
    <w:rsid w:val="00ED53C0"/>
    <w:rsid w:val="00F51CEB"/>
    <w:rsid w:val="00F94A13"/>
    <w:rsid w:val="00FA50BD"/>
    <w:rsid w:val="00FE354A"/>
    <w:rsid w:val="00FF1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7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A1C"/>
    <w:rPr>
      <w:rFonts w:ascii="Arial" w:eastAsia="Arial" w:hAnsi="Arial" w:cs="Arial"/>
      <w:lang w:val="en-GB" w:eastAsia="en-GB" w:bidi="en-GB"/>
    </w:rPr>
  </w:style>
  <w:style w:type="paragraph" w:styleId="Heading1">
    <w:name w:val="heading 1"/>
    <w:basedOn w:val="Normal"/>
    <w:uiPriority w:val="9"/>
    <w:qFormat/>
    <w:rsid w:val="00B97C75"/>
    <w:pPr>
      <w:ind w:left="567"/>
      <w:outlineLvl w:val="0"/>
    </w:pPr>
    <w:rPr>
      <w:b/>
      <w:bCs/>
      <w:sz w:val="28"/>
      <w:szCs w:val="28"/>
    </w:rPr>
  </w:style>
  <w:style w:type="paragraph" w:styleId="Heading2">
    <w:name w:val="heading 2"/>
    <w:basedOn w:val="Normal"/>
    <w:uiPriority w:val="9"/>
    <w:unhideWhenUsed/>
    <w:qFormat/>
    <w:pPr>
      <w:spacing w:before="91"/>
      <w:ind w:left="1440"/>
      <w:outlineLvl w:val="1"/>
    </w:pPr>
    <w:rPr>
      <w:sz w:val="28"/>
      <w:szCs w:val="28"/>
    </w:rPr>
  </w:style>
  <w:style w:type="paragraph" w:styleId="Heading3">
    <w:name w:val="heading 3"/>
    <w:basedOn w:val="Normal"/>
    <w:uiPriority w:val="9"/>
    <w:unhideWhenUsed/>
    <w:qFormat/>
    <w:pPr>
      <w:ind w:left="2290" w:hanging="28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0129"/>
    <w:pPr>
      <w:spacing w:after="240" w:line="312" w:lineRule="auto"/>
      <w:ind w:left="567" w:right="1554"/>
    </w:pPr>
    <w:rPr>
      <w:color w:val="221F1F"/>
      <w:sz w:val="24"/>
      <w:szCs w:val="24"/>
    </w:rPr>
  </w:style>
  <w:style w:type="paragraph" w:styleId="ListParagraph">
    <w:name w:val="List Paragraph"/>
    <w:basedOn w:val="Normal"/>
    <w:uiPriority w:val="1"/>
    <w:qFormat/>
    <w:rsid w:val="00C30518"/>
    <w:pPr>
      <w:numPr>
        <w:numId w:val="1"/>
      </w:numPr>
      <w:tabs>
        <w:tab w:val="left" w:pos="993"/>
      </w:tabs>
      <w:spacing w:before="9" w:line="288" w:lineRule="auto"/>
      <w:ind w:left="993" w:right="1571"/>
    </w:pPr>
    <w:rPr>
      <w:color w:val="221F1F"/>
      <w:sz w:val="24"/>
    </w:rPr>
  </w:style>
  <w:style w:type="paragraph" w:customStyle="1" w:styleId="TableParagraph">
    <w:name w:val="Table Paragraph"/>
    <w:basedOn w:val="Normal"/>
    <w:uiPriority w:val="1"/>
    <w:qFormat/>
    <w:pPr>
      <w:spacing w:before="114"/>
      <w:ind w:left="106"/>
    </w:pPr>
  </w:style>
  <w:style w:type="paragraph" w:styleId="BalloonText">
    <w:name w:val="Balloon Text"/>
    <w:basedOn w:val="Normal"/>
    <w:link w:val="BalloonTextChar"/>
    <w:uiPriority w:val="99"/>
    <w:semiHidden/>
    <w:unhideWhenUsed/>
    <w:rsid w:val="00D23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062"/>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1F3B23"/>
    <w:pPr>
      <w:tabs>
        <w:tab w:val="center" w:pos="4513"/>
        <w:tab w:val="right" w:pos="9026"/>
      </w:tabs>
    </w:pPr>
  </w:style>
  <w:style w:type="character" w:customStyle="1" w:styleId="HeaderChar">
    <w:name w:val="Header Char"/>
    <w:basedOn w:val="DefaultParagraphFont"/>
    <w:link w:val="Header"/>
    <w:uiPriority w:val="99"/>
    <w:rsid w:val="001F3B23"/>
    <w:rPr>
      <w:rFonts w:ascii="Arial" w:eastAsia="Arial" w:hAnsi="Arial" w:cs="Arial"/>
      <w:lang w:val="en-GB" w:eastAsia="en-GB" w:bidi="en-GB"/>
    </w:rPr>
  </w:style>
  <w:style w:type="paragraph" w:styleId="Footer">
    <w:name w:val="footer"/>
    <w:basedOn w:val="Normal"/>
    <w:link w:val="FooterChar"/>
    <w:uiPriority w:val="99"/>
    <w:unhideWhenUsed/>
    <w:rsid w:val="001F3B23"/>
    <w:pPr>
      <w:tabs>
        <w:tab w:val="center" w:pos="4513"/>
        <w:tab w:val="right" w:pos="9026"/>
      </w:tabs>
    </w:pPr>
  </w:style>
  <w:style w:type="character" w:customStyle="1" w:styleId="FooterChar">
    <w:name w:val="Footer Char"/>
    <w:basedOn w:val="DefaultParagraphFont"/>
    <w:link w:val="Footer"/>
    <w:uiPriority w:val="99"/>
    <w:rsid w:val="001F3B23"/>
    <w:rPr>
      <w:rFonts w:ascii="Arial" w:eastAsia="Arial" w:hAnsi="Arial" w:cs="Arial"/>
      <w:lang w:val="en-GB" w:eastAsia="en-GB" w:bidi="en-GB"/>
    </w:rPr>
  </w:style>
  <w:style w:type="paragraph" w:styleId="Caption">
    <w:name w:val="caption"/>
    <w:basedOn w:val="Normal"/>
    <w:next w:val="Normal"/>
    <w:unhideWhenUsed/>
    <w:qFormat/>
    <w:rsid w:val="00D92A1C"/>
    <w:pPr>
      <w:keepNext/>
      <w:widowControl/>
      <w:autoSpaceDE/>
      <w:autoSpaceDN/>
      <w:spacing w:after="200" w:line="360" w:lineRule="auto"/>
    </w:pPr>
    <w:rPr>
      <w:rFonts w:eastAsia="Times New Roman" w:cs="Times New Roman"/>
      <w:b/>
      <w:iCs/>
      <w:sz w:val="24"/>
      <w:szCs w:val="18"/>
      <w:lang w:eastAsia="en-US" w:bidi="ar-SA"/>
    </w:rPr>
  </w:style>
  <w:style w:type="paragraph" w:customStyle="1" w:styleId="Tableheading">
    <w:name w:val="Table heading"/>
    <w:basedOn w:val="Normal"/>
    <w:qFormat/>
    <w:rsid w:val="00D92A1C"/>
    <w:pPr>
      <w:keepNext/>
      <w:widowControl/>
      <w:autoSpaceDE/>
      <w:autoSpaceDN/>
      <w:spacing w:after="60"/>
    </w:pPr>
    <w:rPr>
      <w:rFonts w:eastAsia="Times New Roman" w:cs="Times New Roman"/>
      <w:b/>
      <w:szCs w:val="24"/>
      <w:lang w:eastAsia="en-US" w:bidi="ar-SA"/>
    </w:rPr>
  </w:style>
  <w:style w:type="character" w:styleId="Hyperlink">
    <w:name w:val="Hyperlink"/>
    <w:basedOn w:val="DefaultParagraphFont"/>
    <w:uiPriority w:val="99"/>
    <w:unhideWhenUsed/>
    <w:rsid w:val="00D92A1C"/>
    <w:rPr>
      <w:color w:val="0000FF" w:themeColor="hyperlink"/>
      <w:u w:val="single"/>
    </w:rPr>
  </w:style>
  <w:style w:type="character" w:customStyle="1" w:styleId="BodyTextChar">
    <w:name w:val="Body Text Char"/>
    <w:basedOn w:val="DefaultParagraphFont"/>
    <w:link w:val="BodyText"/>
    <w:uiPriority w:val="1"/>
    <w:rsid w:val="00540129"/>
    <w:rPr>
      <w:rFonts w:ascii="Arial" w:eastAsia="Arial" w:hAnsi="Arial" w:cs="Arial"/>
      <w:color w:val="221F1F"/>
      <w:sz w:val="24"/>
      <w:szCs w:val="24"/>
      <w:lang w:val="en-GB" w:eastAsia="en-GB" w:bidi="en-GB"/>
    </w:rPr>
  </w:style>
  <w:style w:type="character" w:styleId="CommentReference">
    <w:name w:val="annotation reference"/>
    <w:basedOn w:val="DefaultParagraphFont"/>
    <w:uiPriority w:val="99"/>
    <w:semiHidden/>
    <w:unhideWhenUsed/>
    <w:rsid w:val="00525377"/>
    <w:rPr>
      <w:sz w:val="16"/>
      <w:szCs w:val="16"/>
    </w:rPr>
  </w:style>
  <w:style w:type="paragraph" w:styleId="CommentText">
    <w:name w:val="annotation text"/>
    <w:basedOn w:val="Normal"/>
    <w:link w:val="CommentTextChar"/>
    <w:uiPriority w:val="99"/>
    <w:unhideWhenUsed/>
    <w:rsid w:val="00525377"/>
    <w:rPr>
      <w:sz w:val="20"/>
      <w:szCs w:val="20"/>
    </w:rPr>
  </w:style>
  <w:style w:type="character" w:customStyle="1" w:styleId="CommentTextChar">
    <w:name w:val="Comment Text Char"/>
    <w:basedOn w:val="DefaultParagraphFont"/>
    <w:link w:val="CommentText"/>
    <w:uiPriority w:val="99"/>
    <w:rsid w:val="0052537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525377"/>
    <w:rPr>
      <w:b/>
      <w:bCs/>
    </w:rPr>
  </w:style>
  <w:style w:type="character" w:customStyle="1" w:styleId="CommentSubjectChar">
    <w:name w:val="Comment Subject Char"/>
    <w:basedOn w:val="CommentTextChar"/>
    <w:link w:val="CommentSubject"/>
    <w:uiPriority w:val="99"/>
    <w:semiHidden/>
    <w:rsid w:val="00525377"/>
    <w:rPr>
      <w:rFonts w:ascii="Arial" w:eastAsia="Arial" w:hAnsi="Arial" w:cs="Arial"/>
      <w:b/>
      <w:bCs/>
      <w:sz w:val="20"/>
      <w:szCs w:val="20"/>
      <w:lang w:val="en-GB" w:eastAsia="en-GB" w:bidi="en-GB"/>
    </w:rPr>
  </w:style>
  <w:style w:type="character" w:styleId="UnresolvedMention">
    <w:name w:val="Unresolved Mention"/>
    <w:basedOn w:val="DefaultParagraphFont"/>
    <w:uiPriority w:val="99"/>
    <w:semiHidden/>
    <w:unhideWhenUsed/>
    <w:rsid w:val="00076855"/>
    <w:rPr>
      <w:color w:val="605E5C"/>
      <w:shd w:val="clear" w:color="auto" w:fill="E1DFDD"/>
    </w:rPr>
  </w:style>
  <w:style w:type="character" w:styleId="FollowedHyperlink">
    <w:name w:val="FollowedHyperlink"/>
    <w:basedOn w:val="DefaultParagraphFont"/>
    <w:uiPriority w:val="99"/>
    <w:semiHidden/>
    <w:unhideWhenUsed/>
    <w:rsid w:val="00E33643"/>
    <w:rPr>
      <w:color w:val="800080" w:themeColor="followedHyperlink"/>
      <w:u w:val="single"/>
    </w:rPr>
  </w:style>
  <w:style w:type="paragraph" w:styleId="Revision">
    <w:name w:val="Revision"/>
    <w:hidden/>
    <w:uiPriority w:val="99"/>
    <w:semiHidden/>
    <w:rsid w:val="00C94007"/>
    <w:pPr>
      <w:widowControl/>
      <w:autoSpaceDE/>
      <w:autoSpaceDN/>
    </w:pPr>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850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v.uk/government/publications/covid-19-how-to-work-safely-in-domiciliary-ca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pb.europa.eu/news/news/2020/statement-edpb-chair-processing-personal-data-context-covid-19-outbreak_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mc-uk.org/news/news-archive/how-we-will-continue-to-regulate-in-light-of-novel-coronavirus" TargetMode="External"/><Relationship Id="rId14" Type="http://schemas.openxmlformats.org/officeDocument/2006/relationships/hyperlink" Target="https://www.strokeaudit.org/COVID-19_updat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12369</Characters>
  <Application>Microsoft Office Word</Application>
  <DocSecurity>0</DocSecurity>
  <Lines>103</Lines>
  <Paragraphs>29</Paragraphs>
  <ScaleCrop>false</ScaleCrop>
  <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2021-12-16T09:42:00Z</dcterms:created>
  <dcterms:modified xsi:type="dcterms:W3CDTF">2021-12-16T09:42:00Z</dcterms:modified>
</cp:coreProperties>
</file>