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E8" w:rsidRPr="0005735F" w:rsidRDefault="006A1BF2" w:rsidP="0005735F">
      <w:pPr>
        <w:rPr>
          <w:rFonts w:asciiTheme="majorHAnsi" w:hAnsiTheme="majorHAnsi"/>
          <w:b/>
          <w:sz w:val="22"/>
          <w:szCs w:val="22"/>
        </w:rPr>
      </w:pPr>
      <w:r w:rsidRPr="0005735F">
        <w:rPr>
          <w:rFonts w:asciiTheme="majorHAnsi" w:hAnsiTheme="majorHAnsi"/>
          <w:b/>
          <w:sz w:val="22"/>
          <w:szCs w:val="22"/>
        </w:rPr>
        <w:t>Context text from more</w:t>
      </w:r>
    </w:p>
    <w:p w:rsidR="006A1BF2" w:rsidRPr="0005735F" w:rsidRDefault="006A1BF2" w:rsidP="0005735F">
      <w:pPr>
        <w:rPr>
          <w:b/>
          <w:sz w:val="22"/>
          <w:szCs w:val="22"/>
        </w:rPr>
      </w:pPr>
    </w:p>
    <w:p w:rsidR="006A1BF2" w:rsidRPr="0005735F" w:rsidRDefault="006A1BF2">
      <w:pPr>
        <w:rPr>
          <w:rFonts w:asciiTheme="majorHAnsi" w:hAnsiTheme="majorHAnsi"/>
          <w:sz w:val="22"/>
          <w:szCs w:val="22"/>
        </w:rPr>
      </w:pPr>
    </w:p>
    <w:p w:rsidR="0008321B" w:rsidRPr="0008321B" w:rsidRDefault="0008321B" w:rsidP="0008321B">
      <w:pPr>
        <w:spacing w:after="240" w:line="360" w:lineRule="auto"/>
        <w:rPr>
          <w:rFonts w:asciiTheme="majorHAnsi" w:hAnsiTheme="majorHAnsi"/>
          <w:sz w:val="22"/>
          <w:szCs w:val="22"/>
        </w:rPr>
      </w:pPr>
      <w:r w:rsidRPr="0008321B">
        <w:rPr>
          <w:rFonts w:asciiTheme="majorHAnsi" w:hAnsiTheme="majorHAnsi"/>
          <w:sz w:val="22"/>
          <w:szCs w:val="22"/>
        </w:rPr>
        <w:t xml:space="preserve">In addition, the Royal Liverpool and </w:t>
      </w:r>
      <w:proofErr w:type="spellStart"/>
      <w:r w:rsidRPr="0008321B">
        <w:rPr>
          <w:rFonts w:asciiTheme="majorHAnsi" w:hAnsiTheme="majorHAnsi"/>
          <w:sz w:val="22"/>
          <w:szCs w:val="22"/>
        </w:rPr>
        <w:t>Broadgreen</w:t>
      </w:r>
      <w:proofErr w:type="spellEnd"/>
      <w:r w:rsidRPr="0008321B">
        <w:rPr>
          <w:rFonts w:asciiTheme="majorHAnsi" w:hAnsiTheme="majorHAnsi"/>
          <w:sz w:val="22"/>
          <w:szCs w:val="22"/>
        </w:rPr>
        <w:t xml:space="preserve"> University Hospitals NHS Trust hosts one of the three national endoscopy training </w:t>
      </w:r>
      <w:proofErr w:type="spellStart"/>
      <w:r w:rsidRPr="0008321B">
        <w:rPr>
          <w:rFonts w:asciiTheme="majorHAnsi" w:hAnsiTheme="majorHAnsi"/>
          <w:sz w:val="22"/>
          <w:szCs w:val="22"/>
        </w:rPr>
        <w:t>centres</w:t>
      </w:r>
      <w:proofErr w:type="spellEnd"/>
      <w:r w:rsidRPr="0008321B">
        <w:rPr>
          <w:rFonts w:asciiTheme="majorHAnsi" w:hAnsiTheme="majorHAnsi"/>
          <w:sz w:val="22"/>
          <w:szCs w:val="22"/>
        </w:rPr>
        <w:t xml:space="preserve"> in England, following designation in 2003</w:t>
      </w:r>
    </w:p>
    <w:p w:rsidR="006A1BF2" w:rsidRPr="0005735F" w:rsidRDefault="0008321B" w:rsidP="0008321B">
      <w:pPr>
        <w:spacing w:after="240" w:line="360" w:lineRule="auto"/>
        <w:rPr>
          <w:rFonts w:asciiTheme="majorHAnsi" w:hAnsiTheme="majorHAnsi" w:cs="Arial"/>
          <w:sz w:val="22"/>
          <w:szCs w:val="22"/>
        </w:rPr>
      </w:pPr>
      <w:r w:rsidRPr="0008321B">
        <w:rPr>
          <w:rFonts w:asciiTheme="majorHAnsi" w:hAnsiTheme="majorHAnsi"/>
          <w:sz w:val="22"/>
          <w:szCs w:val="22"/>
        </w:rPr>
        <w:t>The role of endoscopy is central to the success of the MDT as</w:t>
      </w:r>
      <w:r w:rsidR="006A1BF2" w:rsidRPr="0005735F">
        <w:rPr>
          <w:rFonts w:asciiTheme="majorHAnsi" w:hAnsiTheme="majorHAnsi" w:cs="Arial"/>
          <w:sz w:val="22"/>
          <w:szCs w:val="22"/>
        </w:rPr>
        <w:t xml:space="preserve"> there are complementary skills such as endoscopic ultrasound and endoscopic mucosal resection (EMR) as well as ‘competing’ skills such as EMR and TEMS. These interests need to be reconciled through close working agreements between </w:t>
      </w:r>
      <w:proofErr w:type="spellStart"/>
      <w:r w:rsidR="006A1BF2" w:rsidRPr="0005735F">
        <w:rPr>
          <w:rFonts w:asciiTheme="majorHAnsi" w:hAnsiTheme="majorHAnsi" w:cs="Arial"/>
          <w:sz w:val="22"/>
          <w:szCs w:val="22"/>
        </w:rPr>
        <w:t>endoscopists</w:t>
      </w:r>
      <w:proofErr w:type="spellEnd"/>
      <w:r w:rsidR="006A1BF2" w:rsidRPr="0005735F">
        <w:rPr>
          <w:rFonts w:asciiTheme="majorHAnsi" w:hAnsiTheme="majorHAnsi" w:cs="Arial"/>
          <w:sz w:val="22"/>
          <w:szCs w:val="22"/>
        </w:rPr>
        <w:t xml:space="preserve"> and surgeons. This is easier to do if both parties work in the same hospital and share endoscopy resources.</w:t>
      </w:r>
    </w:p>
    <w:p w:rsidR="006A1BF2" w:rsidRPr="0005735F" w:rsidRDefault="006A1BF2" w:rsidP="006A1BF2">
      <w:pPr>
        <w:spacing w:after="240" w:line="360" w:lineRule="auto"/>
        <w:rPr>
          <w:rFonts w:asciiTheme="majorHAnsi" w:hAnsiTheme="majorHAnsi" w:cs="Arial"/>
          <w:sz w:val="22"/>
          <w:szCs w:val="22"/>
        </w:rPr>
      </w:pPr>
      <w:r w:rsidRPr="0005735F">
        <w:rPr>
          <w:rFonts w:asciiTheme="majorHAnsi" w:hAnsiTheme="majorHAnsi" w:cs="Arial"/>
          <w:sz w:val="22"/>
          <w:szCs w:val="22"/>
        </w:rPr>
        <w:t>The increase in endoscopy, resulting from screening, has lead to an increase in referrals to the MDT from across the network and an increase in malignant lesions and difficult non-malignant lesions. Management decisions for such lesions can be complex and lengthy.</w:t>
      </w:r>
    </w:p>
    <w:p w:rsidR="006A1BF2" w:rsidRPr="0005735F" w:rsidRDefault="006A1BF2" w:rsidP="0005735F">
      <w:pPr>
        <w:rPr>
          <w:rFonts w:asciiTheme="majorHAnsi" w:hAnsiTheme="majorHAnsi"/>
          <w:b/>
          <w:sz w:val="22"/>
          <w:szCs w:val="22"/>
        </w:rPr>
      </w:pPr>
      <w:r w:rsidRPr="0005735F">
        <w:rPr>
          <w:rFonts w:asciiTheme="majorHAnsi" w:hAnsiTheme="majorHAnsi"/>
          <w:b/>
          <w:sz w:val="22"/>
          <w:szCs w:val="22"/>
        </w:rPr>
        <w:t>Metho</w:t>
      </w:r>
      <w:bookmarkStart w:id="0" w:name="_GoBack"/>
      <w:bookmarkEnd w:id="0"/>
      <w:r w:rsidRPr="0005735F">
        <w:rPr>
          <w:rFonts w:asciiTheme="majorHAnsi" w:hAnsiTheme="majorHAnsi"/>
          <w:b/>
          <w:sz w:val="22"/>
          <w:szCs w:val="22"/>
        </w:rPr>
        <w:t>ds additional text</w:t>
      </w:r>
    </w:p>
    <w:p w:rsidR="006A1BF2" w:rsidRPr="0005735F" w:rsidRDefault="006A1BF2">
      <w:pPr>
        <w:rPr>
          <w:sz w:val="22"/>
          <w:szCs w:val="22"/>
        </w:rPr>
      </w:pPr>
    </w:p>
    <w:p w:rsidR="006A1BF2" w:rsidRPr="0005735F" w:rsidRDefault="006A1BF2" w:rsidP="006A1BF2">
      <w:pPr>
        <w:pStyle w:val="Bulletleft1"/>
        <w:numPr>
          <w:ilvl w:val="0"/>
          <w:numId w:val="2"/>
        </w:numPr>
        <w:tabs>
          <w:tab w:val="num" w:pos="284"/>
        </w:tabs>
        <w:ind w:left="284" w:hanging="284"/>
        <w:rPr>
          <w:rFonts w:asciiTheme="majorHAnsi" w:hAnsiTheme="majorHAnsi"/>
          <w:sz w:val="22"/>
          <w:szCs w:val="22"/>
        </w:rPr>
      </w:pPr>
      <w:r w:rsidRPr="0005735F">
        <w:rPr>
          <w:rFonts w:asciiTheme="majorHAnsi" w:hAnsiTheme="majorHAnsi"/>
          <w:sz w:val="22"/>
          <w:szCs w:val="22"/>
        </w:rPr>
        <w:t xml:space="preserve">Local MDTs would be responsible for ensuring appropriate work prior to referral, and initial investigation and staging would include rectal </w:t>
      </w:r>
      <w:proofErr w:type="spellStart"/>
      <w:r w:rsidRPr="0005735F">
        <w:rPr>
          <w:rFonts w:asciiTheme="majorHAnsi" w:hAnsiTheme="majorHAnsi"/>
          <w:sz w:val="22"/>
          <w:szCs w:val="22"/>
        </w:rPr>
        <w:t>endosonography</w:t>
      </w:r>
      <w:proofErr w:type="spellEnd"/>
      <w:r w:rsidRPr="0005735F">
        <w:rPr>
          <w:rFonts w:asciiTheme="majorHAnsi" w:hAnsiTheme="majorHAnsi"/>
          <w:sz w:val="22"/>
          <w:szCs w:val="22"/>
        </w:rPr>
        <w:t>, computed tomography (CT) and MRI.</w:t>
      </w:r>
    </w:p>
    <w:p w:rsidR="006A1BF2" w:rsidRPr="0005735F" w:rsidRDefault="006A1BF2" w:rsidP="006A1BF2">
      <w:pPr>
        <w:pStyle w:val="Bulletleft1"/>
        <w:numPr>
          <w:ilvl w:val="0"/>
          <w:numId w:val="2"/>
        </w:numPr>
        <w:tabs>
          <w:tab w:val="num" w:pos="284"/>
        </w:tabs>
        <w:ind w:left="284" w:hanging="284"/>
        <w:rPr>
          <w:rFonts w:asciiTheme="majorHAnsi" w:hAnsiTheme="majorHAnsi"/>
          <w:sz w:val="22"/>
          <w:szCs w:val="22"/>
        </w:rPr>
      </w:pPr>
      <w:r w:rsidRPr="0005735F">
        <w:rPr>
          <w:rFonts w:asciiTheme="majorHAnsi" w:hAnsiTheme="majorHAnsi"/>
          <w:sz w:val="22"/>
          <w:szCs w:val="22"/>
        </w:rPr>
        <w:t xml:space="preserve">Clinicians from both the local and proposed early rectal cancer MDT agreed that good communication between teams was essential in order to facilitate clear pathways of care, maintain clarity regarding clinical responsibility and to ensure that patients were kept informed as their care passed between teams. </w:t>
      </w:r>
    </w:p>
    <w:p w:rsidR="006A1BF2" w:rsidRPr="0005735F" w:rsidRDefault="006A1BF2" w:rsidP="006A1BF2">
      <w:pPr>
        <w:pStyle w:val="Bulletleft1"/>
        <w:numPr>
          <w:ilvl w:val="0"/>
          <w:numId w:val="2"/>
        </w:numPr>
        <w:tabs>
          <w:tab w:val="num" w:pos="284"/>
        </w:tabs>
        <w:ind w:left="284" w:hanging="284"/>
        <w:rPr>
          <w:rFonts w:asciiTheme="majorHAnsi" w:hAnsiTheme="majorHAnsi"/>
          <w:sz w:val="22"/>
          <w:szCs w:val="22"/>
        </w:rPr>
      </w:pPr>
      <w:r w:rsidRPr="0005735F">
        <w:rPr>
          <w:rFonts w:asciiTheme="majorHAnsi" w:hAnsiTheme="majorHAnsi"/>
          <w:sz w:val="22"/>
          <w:szCs w:val="22"/>
        </w:rPr>
        <w:t xml:space="preserve">These discussions prompted a further piece of work within MCCN regarding working arrangements between local and specialist MDTs. This policy, ‘Network guidelines for good governance and communication between local and specialist MDTs’ was endorsed by the network board in 2009 as good practice for all MDTs within MCCN. </w:t>
      </w:r>
    </w:p>
    <w:p w:rsidR="006A1BF2" w:rsidRPr="0005735F" w:rsidRDefault="000F2C8B" w:rsidP="006A1BF2">
      <w:pPr>
        <w:ind w:left="284"/>
        <w:rPr>
          <w:rFonts w:asciiTheme="majorHAnsi" w:hAnsiTheme="majorHAnsi" w:cs="Arial"/>
          <w:sz w:val="22"/>
          <w:szCs w:val="22"/>
        </w:rPr>
      </w:pPr>
      <w:hyperlink r:id="rId5" w:history="1">
        <w:r w:rsidR="006A1BF2" w:rsidRPr="0005735F">
          <w:rPr>
            <w:rStyle w:val="Hyperlink"/>
            <w:rFonts w:asciiTheme="majorHAnsi" w:hAnsiTheme="majorHAnsi" w:cs="Arial"/>
            <w:sz w:val="22"/>
            <w:szCs w:val="22"/>
          </w:rPr>
          <w:t>www.mccn.nhs.uk/userfiles/documents/Guidelines%20governance%20and%20communication%20local%20SMDT%20V7.pdf</w:t>
        </w:r>
      </w:hyperlink>
      <w:r w:rsidR="006A1BF2" w:rsidRPr="0005735F">
        <w:rPr>
          <w:rFonts w:asciiTheme="majorHAnsi" w:hAnsiTheme="majorHAnsi" w:cs="Arial"/>
          <w:sz w:val="22"/>
          <w:szCs w:val="22"/>
        </w:rPr>
        <w:t xml:space="preserve">  - see attachment</w:t>
      </w:r>
    </w:p>
    <w:p w:rsidR="006A1BF2" w:rsidRPr="0005735F" w:rsidRDefault="006A1BF2">
      <w:pPr>
        <w:rPr>
          <w:rFonts w:asciiTheme="majorHAnsi" w:hAnsiTheme="majorHAnsi"/>
          <w:sz w:val="22"/>
          <w:szCs w:val="22"/>
        </w:rPr>
      </w:pPr>
    </w:p>
    <w:sectPr w:rsidR="006A1BF2" w:rsidRPr="0005735F" w:rsidSect="006739C9">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
    <w:nsid w:val="35037439"/>
    <w:multiLevelType w:val="hybridMultilevel"/>
    <w:tmpl w:val="F2BCBD56"/>
    <w:lvl w:ilvl="0" w:tplc="0C1041C4">
      <w:start w:val="1"/>
      <w:numFmt w:val="bullet"/>
      <w:lvlText w:val=""/>
      <w:lvlJc w:val="left"/>
      <w:pPr>
        <w:ind w:left="720" w:hanging="360"/>
      </w:pPr>
      <w:rPr>
        <w:rFonts w:ascii="Symbol" w:hAnsi="Symbol" w:hint="default"/>
      </w:rPr>
    </w:lvl>
    <w:lvl w:ilvl="1" w:tplc="48FEB2EE">
      <w:start w:val="1"/>
      <w:numFmt w:val="bullet"/>
      <w:lvlText w:val="o"/>
      <w:lvlJc w:val="left"/>
      <w:pPr>
        <w:ind w:left="1440" w:hanging="360"/>
      </w:pPr>
      <w:rPr>
        <w:rFonts w:ascii="Courier New" w:hAnsi="Courier New" w:cs="Symbol" w:hint="default"/>
      </w:rPr>
    </w:lvl>
    <w:lvl w:ilvl="2" w:tplc="FFF2A25E" w:tentative="1">
      <w:start w:val="1"/>
      <w:numFmt w:val="bullet"/>
      <w:lvlText w:val=""/>
      <w:lvlJc w:val="left"/>
      <w:pPr>
        <w:ind w:left="2160" w:hanging="360"/>
      </w:pPr>
      <w:rPr>
        <w:rFonts w:ascii="Wingdings" w:hAnsi="Wingdings" w:hint="default"/>
      </w:rPr>
    </w:lvl>
    <w:lvl w:ilvl="3" w:tplc="758613FA" w:tentative="1">
      <w:start w:val="1"/>
      <w:numFmt w:val="bullet"/>
      <w:lvlText w:val=""/>
      <w:lvlJc w:val="left"/>
      <w:pPr>
        <w:ind w:left="2880" w:hanging="360"/>
      </w:pPr>
      <w:rPr>
        <w:rFonts w:ascii="Symbol" w:hAnsi="Symbol" w:hint="default"/>
      </w:rPr>
    </w:lvl>
    <w:lvl w:ilvl="4" w:tplc="AC08204A" w:tentative="1">
      <w:start w:val="1"/>
      <w:numFmt w:val="bullet"/>
      <w:lvlText w:val="o"/>
      <w:lvlJc w:val="left"/>
      <w:pPr>
        <w:ind w:left="3600" w:hanging="360"/>
      </w:pPr>
      <w:rPr>
        <w:rFonts w:ascii="Courier New" w:hAnsi="Courier New" w:cs="Symbol" w:hint="default"/>
      </w:rPr>
    </w:lvl>
    <w:lvl w:ilvl="5" w:tplc="1B9A6C68" w:tentative="1">
      <w:start w:val="1"/>
      <w:numFmt w:val="bullet"/>
      <w:lvlText w:val=""/>
      <w:lvlJc w:val="left"/>
      <w:pPr>
        <w:ind w:left="4320" w:hanging="360"/>
      </w:pPr>
      <w:rPr>
        <w:rFonts w:ascii="Wingdings" w:hAnsi="Wingdings" w:hint="default"/>
      </w:rPr>
    </w:lvl>
    <w:lvl w:ilvl="6" w:tplc="65BEC080" w:tentative="1">
      <w:start w:val="1"/>
      <w:numFmt w:val="bullet"/>
      <w:lvlText w:val=""/>
      <w:lvlJc w:val="left"/>
      <w:pPr>
        <w:ind w:left="5040" w:hanging="360"/>
      </w:pPr>
      <w:rPr>
        <w:rFonts w:ascii="Symbol" w:hAnsi="Symbol" w:hint="default"/>
      </w:rPr>
    </w:lvl>
    <w:lvl w:ilvl="7" w:tplc="9E5A5B98" w:tentative="1">
      <w:start w:val="1"/>
      <w:numFmt w:val="bullet"/>
      <w:lvlText w:val="o"/>
      <w:lvlJc w:val="left"/>
      <w:pPr>
        <w:ind w:left="5760" w:hanging="360"/>
      </w:pPr>
      <w:rPr>
        <w:rFonts w:ascii="Courier New" w:hAnsi="Courier New" w:cs="Symbol" w:hint="default"/>
      </w:rPr>
    </w:lvl>
    <w:lvl w:ilvl="8" w:tplc="685040DA" w:tentative="1">
      <w:start w:val="1"/>
      <w:numFmt w:val="bullet"/>
      <w:lvlText w:val=""/>
      <w:lvlJc w:val="left"/>
      <w:pPr>
        <w:ind w:left="6480" w:hanging="360"/>
      </w:pPr>
      <w:rPr>
        <w:rFonts w:ascii="Wingdings" w:hAnsi="Wingdings" w:hint="default"/>
      </w:rPr>
    </w:lvl>
  </w:abstractNum>
  <w:abstractNum w:abstractNumId="2">
    <w:nsid w:val="36291164"/>
    <w:multiLevelType w:val="hybridMultilevel"/>
    <w:tmpl w:val="67C4419A"/>
    <w:lvl w:ilvl="0" w:tplc="51F22A6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savePreviewPicture/>
  <w:compat>
    <w:useFELayout/>
  </w:compat>
  <w:rsids>
    <w:rsidRoot w:val="006A1BF2"/>
    <w:rsid w:val="0005735F"/>
    <w:rsid w:val="0008321B"/>
    <w:rsid w:val="000F2C8B"/>
    <w:rsid w:val="001F0D2F"/>
    <w:rsid w:val="00253070"/>
    <w:rsid w:val="002629E8"/>
    <w:rsid w:val="003953A0"/>
    <w:rsid w:val="00472491"/>
    <w:rsid w:val="006739C9"/>
    <w:rsid w:val="006A1B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491"/>
  </w:style>
  <w:style w:type="paragraph" w:styleId="Heading1">
    <w:name w:val="heading 1"/>
    <w:basedOn w:val="Normal"/>
    <w:next w:val="Normal"/>
    <w:link w:val="Heading1Char"/>
    <w:uiPriority w:val="9"/>
    <w:qFormat/>
    <w:rsid w:val="000573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573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5735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ft1">
    <w:name w:val="Bullet left 1"/>
    <w:basedOn w:val="Normal"/>
    <w:link w:val="Bulletleft1Char"/>
    <w:rsid w:val="006A1BF2"/>
    <w:pPr>
      <w:numPr>
        <w:numId w:val="1"/>
      </w:numPr>
      <w:spacing w:line="360" w:lineRule="auto"/>
    </w:pPr>
    <w:rPr>
      <w:rFonts w:ascii="Arial" w:eastAsia="Times New Roman" w:hAnsi="Arial" w:cs="Times New Roman"/>
    </w:rPr>
  </w:style>
  <w:style w:type="character" w:customStyle="1" w:styleId="Bulletleft1Char">
    <w:name w:val="Bullet left 1 Char"/>
    <w:basedOn w:val="DefaultParagraphFont"/>
    <w:link w:val="Bulletleft1"/>
    <w:rsid w:val="006A1BF2"/>
    <w:rPr>
      <w:rFonts w:ascii="Arial" w:eastAsia="Times New Roman" w:hAnsi="Arial" w:cs="Times New Roman"/>
    </w:rPr>
  </w:style>
  <w:style w:type="character" w:styleId="Hyperlink">
    <w:name w:val="Hyperlink"/>
    <w:basedOn w:val="DefaultParagraphFont"/>
    <w:uiPriority w:val="99"/>
    <w:rsid w:val="006A1BF2"/>
    <w:rPr>
      <w:color w:val="0000FF"/>
      <w:u w:val="single"/>
    </w:rPr>
  </w:style>
  <w:style w:type="character" w:customStyle="1" w:styleId="Heading1Char">
    <w:name w:val="Heading 1 Char"/>
    <w:basedOn w:val="DefaultParagraphFont"/>
    <w:link w:val="Heading1"/>
    <w:uiPriority w:val="9"/>
    <w:rsid w:val="0005735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5735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5735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ft1">
    <w:name w:val="Bullet left 1"/>
    <w:basedOn w:val="Normal"/>
    <w:link w:val="Bulletleft1Char"/>
    <w:rsid w:val="006A1BF2"/>
    <w:pPr>
      <w:numPr>
        <w:numId w:val="1"/>
      </w:numPr>
      <w:spacing w:line="360" w:lineRule="auto"/>
    </w:pPr>
    <w:rPr>
      <w:rFonts w:ascii="Arial" w:eastAsia="Times New Roman" w:hAnsi="Arial" w:cs="Times New Roman"/>
    </w:rPr>
  </w:style>
  <w:style w:type="character" w:customStyle="1" w:styleId="Bulletleft1Char">
    <w:name w:val="Bullet left 1 Char"/>
    <w:basedOn w:val="DefaultParagraphFont"/>
    <w:link w:val="Bulletleft1"/>
    <w:rsid w:val="006A1BF2"/>
    <w:rPr>
      <w:rFonts w:ascii="Arial" w:eastAsia="Times New Roman" w:hAnsi="Arial" w:cs="Times New Roman"/>
    </w:rPr>
  </w:style>
  <w:style w:type="character" w:styleId="Hyperlink">
    <w:name w:val="Hyperlink"/>
    <w:basedOn w:val="DefaultParagraphFont"/>
    <w:uiPriority w:val="99"/>
    <w:rsid w:val="006A1BF2"/>
    <w:rPr>
      <w:color w:val="0000FF"/>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ccn.nhs.uk/userfiles/documents/Guidelines%20governance%20and%20communication%20local%20SMDT%20V7.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perrymanford</dc:creator>
  <cp:keywords/>
  <dc:description/>
  <cp:lastModifiedBy>cbird</cp:lastModifiedBy>
  <cp:revision>4</cp:revision>
  <dcterms:created xsi:type="dcterms:W3CDTF">2012-02-08T13:43:00Z</dcterms:created>
  <dcterms:modified xsi:type="dcterms:W3CDTF">2012-02-08T14:45:00Z</dcterms:modified>
</cp:coreProperties>
</file>