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26D" w:rsidRPr="00845BD2" w:rsidRDefault="0050126D" w:rsidP="0050126D">
      <w:pPr>
        <w:jc w:val="center"/>
        <w:rPr>
          <w:rFonts w:asciiTheme="minorHAnsi" w:hAnsiTheme="minorHAnsi"/>
          <w:sz w:val="44"/>
          <w:szCs w:val="44"/>
        </w:rPr>
      </w:pPr>
      <w:r w:rsidRPr="00845BD2">
        <w:rPr>
          <w:rFonts w:asciiTheme="minorHAnsi" w:hAnsiTheme="minorHAnsi"/>
          <w:sz w:val="44"/>
          <w:szCs w:val="44"/>
        </w:rPr>
        <w:t>An audit of antibiotic prescribing</w:t>
      </w:r>
      <w:r w:rsidR="0007590A" w:rsidRPr="00845BD2">
        <w:rPr>
          <w:rFonts w:asciiTheme="minorHAnsi" w:hAnsiTheme="minorHAnsi"/>
          <w:sz w:val="44"/>
          <w:szCs w:val="44"/>
        </w:rPr>
        <w:t>:</w:t>
      </w:r>
    </w:p>
    <w:p w:rsidR="0050126D" w:rsidRPr="00845BD2" w:rsidRDefault="0007590A" w:rsidP="0050126D">
      <w:pPr>
        <w:jc w:val="center"/>
        <w:rPr>
          <w:rFonts w:asciiTheme="minorHAnsi" w:hAnsiTheme="minorHAnsi"/>
          <w:sz w:val="44"/>
          <w:szCs w:val="44"/>
        </w:rPr>
      </w:pPr>
      <w:r w:rsidRPr="00845BD2">
        <w:rPr>
          <w:rFonts w:asciiTheme="minorHAnsi" w:hAnsiTheme="minorHAnsi"/>
          <w:sz w:val="44"/>
          <w:szCs w:val="44"/>
        </w:rPr>
        <w:t>Fylde and Wyre CCG, 20 GP practices</w:t>
      </w:r>
      <w:r w:rsidR="0050126D" w:rsidRPr="00845BD2">
        <w:rPr>
          <w:rFonts w:asciiTheme="minorHAnsi" w:hAnsiTheme="minorHAnsi"/>
          <w:sz w:val="44"/>
          <w:szCs w:val="44"/>
        </w:rPr>
        <w:t xml:space="preserve"> </w:t>
      </w:r>
    </w:p>
    <w:p w:rsidR="0050126D" w:rsidRPr="00845BD2" w:rsidRDefault="0050126D" w:rsidP="0050126D">
      <w:pPr>
        <w:jc w:val="center"/>
        <w:rPr>
          <w:rFonts w:asciiTheme="minorHAnsi" w:hAnsiTheme="minorHAnsi"/>
          <w:sz w:val="44"/>
          <w:szCs w:val="44"/>
        </w:rPr>
      </w:pPr>
    </w:p>
    <w:p w:rsidR="0050126D" w:rsidRPr="00845BD2" w:rsidRDefault="0050126D" w:rsidP="0050126D">
      <w:pPr>
        <w:jc w:val="center"/>
        <w:rPr>
          <w:rFonts w:asciiTheme="minorHAnsi" w:hAnsiTheme="minorHAnsi"/>
          <w:sz w:val="32"/>
          <w:szCs w:val="32"/>
        </w:rPr>
      </w:pPr>
      <w:r w:rsidRPr="00845BD2">
        <w:rPr>
          <w:rFonts w:asciiTheme="minorHAnsi" w:hAnsiTheme="minorHAnsi"/>
          <w:sz w:val="32"/>
          <w:szCs w:val="32"/>
        </w:rPr>
        <w:t>November 2014</w:t>
      </w:r>
      <w:r w:rsidR="008547AB" w:rsidRPr="00845BD2">
        <w:rPr>
          <w:rFonts w:asciiTheme="minorHAnsi" w:hAnsiTheme="minorHAnsi"/>
          <w:sz w:val="32"/>
          <w:szCs w:val="32"/>
        </w:rPr>
        <w:t xml:space="preserve"> – January 2015</w:t>
      </w:r>
    </w:p>
    <w:p w:rsidR="0050126D" w:rsidRPr="00845BD2" w:rsidRDefault="0050126D" w:rsidP="006A7B7F">
      <w:pPr>
        <w:rPr>
          <w:rFonts w:asciiTheme="minorHAnsi" w:hAnsiTheme="minorHAnsi"/>
          <w:sz w:val="22"/>
          <w:szCs w:val="22"/>
        </w:rPr>
      </w:pPr>
    </w:p>
    <w:p w:rsidR="006A7B7F" w:rsidRPr="00845BD2" w:rsidRDefault="0050126D" w:rsidP="006A7B7F">
      <w:pPr>
        <w:rPr>
          <w:rFonts w:asciiTheme="minorHAnsi" w:hAnsiTheme="minorHAnsi"/>
          <w:b/>
          <w:sz w:val="40"/>
          <w:szCs w:val="40"/>
        </w:rPr>
      </w:pPr>
      <w:r w:rsidRPr="00845BD2">
        <w:rPr>
          <w:rFonts w:asciiTheme="minorHAnsi" w:hAnsiTheme="minorHAnsi"/>
          <w:b/>
          <w:sz w:val="40"/>
          <w:szCs w:val="40"/>
        </w:rPr>
        <w:t>Audit aims</w:t>
      </w:r>
    </w:p>
    <w:p w:rsidR="00DF2272" w:rsidRPr="00845BD2" w:rsidRDefault="00DF2272" w:rsidP="006A7B7F">
      <w:pPr>
        <w:rPr>
          <w:rFonts w:asciiTheme="minorHAnsi" w:hAnsiTheme="minorHAnsi"/>
          <w:b/>
          <w:sz w:val="40"/>
          <w:szCs w:val="40"/>
        </w:rPr>
      </w:pPr>
    </w:p>
    <w:p w:rsidR="008547AB" w:rsidRPr="00845BD2" w:rsidRDefault="008547AB" w:rsidP="00BC667B">
      <w:pPr>
        <w:pStyle w:val="ListParagraph"/>
        <w:numPr>
          <w:ilvl w:val="0"/>
          <w:numId w:val="1"/>
        </w:numPr>
        <w:spacing w:line="360" w:lineRule="auto"/>
        <w:rPr>
          <w:rFonts w:asciiTheme="minorHAnsi" w:hAnsiTheme="minorHAnsi"/>
        </w:rPr>
      </w:pPr>
      <w:r w:rsidRPr="00845BD2">
        <w:rPr>
          <w:rFonts w:asciiTheme="minorHAnsi" w:hAnsiTheme="minorHAnsi"/>
        </w:rPr>
        <w:t>To identify and audit high risk antibiotic prescribing over the past twelve months across 20 GP practices in Fylde and Wyre CCG</w:t>
      </w:r>
    </w:p>
    <w:p w:rsidR="00BC667B" w:rsidRPr="00845BD2" w:rsidRDefault="00BC667B" w:rsidP="00BC667B">
      <w:pPr>
        <w:pStyle w:val="ListParagraph"/>
        <w:numPr>
          <w:ilvl w:val="0"/>
          <w:numId w:val="1"/>
        </w:numPr>
        <w:spacing w:line="360" w:lineRule="auto"/>
        <w:rPr>
          <w:rFonts w:asciiTheme="minorHAnsi" w:hAnsiTheme="minorHAnsi"/>
        </w:rPr>
      </w:pPr>
      <w:r w:rsidRPr="00845BD2">
        <w:rPr>
          <w:rFonts w:asciiTheme="minorHAnsi" w:hAnsiTheme="minorHAnsi"/>
        </w:rPr>
        <w:t>To reduce the prescribing of high risk antibiotics linked with C Difficile Infection (CDI)</w:t>
      </w:r>
    </w:p>
    <w:p w:rsidR="006A7B7F" w:rsidRPr="00845BD2" w:rsidRDefault="006A7B7F" w:rsidP="009D567F">
      <w:pPr>
        <w:pStyle w:val="ListParagraph"/>
        <w:numPr>
          <w:ilvl w:val="0"/>
          <w:numId w:val="1"/>
        </w:numPr>
        <w:spacing w:line="360" w:lineRule="auto"/>
        <w:rPr>
          <w:rFonts w:asciiTheme="minorHAnsi" w:hAnsiTheme="minorHAnsi"/>
        </w:rPr>
      </w:pPr>
      <w:r w:rsidRPr="00845BD2">
        <w:rPr>
          <w:rFonts w:asciiTheme="minorHAnsi" w:hAnsiTheme="minorHAnsi"/>
        </w:rPr>
        <w:t xml:space="preserve">To promote </w:t>
      </w:r>
      <w:r w:rsidR="00CC74A4" w:rsidRPr="00845BD2">
        <w:rPr>
          <w:rFonts w:asciiTheme="minorHAnsi" w:hAnsiTheme="minorHAnsi"/>
        </w:rPr>
        <w:t xml:space="preserve">and improve </w:t>
      </w:r>
      <w:r w:rsidRPr="00845BD2">
        <w:rPr>
          <w:rFonts w:asciiTheme="minorHAnsi" w:hAnsiTheme="minorHAnsi"/>
        </w:rPr>
        <w:t>antibiotic prescribing in acco</w:t>
      </w:r>
      <w:r w:rsidR="008C42A6" w:rsidRPr="00845BD2">
        <w:rPr>
          <w:rFonts w:asciiTheme="minorHAnsi" w:hAnsiTheme="minorHAnsi"/>
        </w:rPr>
        <w:t>rdance with local</w:t>
      </w:r>
      <w:r w:rsidR="009D567F" w:rsidRPr="00845BD2">
        <w:rPr>
          <w:rFonts w:asciiTheme="minorHAnsi" w:hAnsiTheme="minorHAnsi"/>
        </w:rPr>
        <w:t xml:space="preserve"> guidelines</w:t>
      </w:r>
    </w:p>
    <w:p w:rsidR="00DF2272" w:rsidRPr="00845BD2" w:rsidRDefault="00DF2272" w:rsidP="006A7B7F">
      <w:pPr>
        <w:rPr>
          <w:rFonts w:asciiTheme="minorHAnsi" w:hAnsiTheme="minorHAnsi"/>
          <w:b/>
          <w:sz w:val="40"/>
          <w:szCs w:val="40"/>
        </w:rPr>
      </w:pPr>
    </w:p>
    <w:p w:rsidR="006A7B7F" w:rsidRPr="00845BD2" w:rsidRDefault="0050126D" w:rsidP="006A7B7F">
      <w:pPr>
        <w:rPr>
          <w:rFonts w:asciiTheme="minorHAnsi" w:hAnsiTheme="minorHAnsi"/>
          <w:b/>
          <w:sz w:val="40"/>
          <w:szCs w:val="40"/>
        </w:rPr>
      </w:pPr>
      <w:r w:rsidRPr="00845BD2">
        <w:rPr>
          <w:rFonts w:asciiTheme="minorHAnsi" w:hAnsiTheme="minorHAnsi"/>
          <w:b/>
          <w:sz w:val="40"/>
          <w:szCs w:val="40"/>
        </w:rPr>
        <w:t>Background</w:t>
      </w:r>
    </w:p>
    <w:p w:rsidR="00DF2272" w:rsidRPr="00845BD2" w:rsidRDefault="00DF2272" w:rsidP="006A7B7F">
      <w:pPr>
        <w:rPr>
          <w:rFonts w:asciiTheme="minorHAnsi" w:hAnsiTheme="minorHAnsi"/>
          <w:b/>
          <w:sz w:val="40"/>
          <w:szCs w:val="40"/>
        </w:rPr>
      </w:pPr>
    </w:p>
    <w:p w:rsidR="009D567F" w:rsidRPr="00845BD2" w:rsidRDefault="0050126D" w:rsidP="009D567F">
      <w:pPr>
        <w:spacing w:line="276" w:lineRule="auto"/>
        <w:jc w:val="both"/>
        <w:rPr>
          <w:rFonts w:asciiTheme="minorHAnsi" w:hAnsiTheme="minorHAnsi"/>
        </w:rPr>
      </w:pPr>
      <w:r w:rsidRPr="00845BD2">
        <w:rPr>
          <w:rFonts w:asciiTheme="minorHAnsi" w:hAnsiTheme="minorHAnsi"/>
        </w:rPr>
        <w:t>The WHO estimates that the aver</w:t>
      </w:r>
      <w:r w:rsidR="009D567F" w:rsidRPr="00845BD2">
        <w:rPr>
          <w:rFonts w:asciiTheme="minorHAnsi" w:hAnsiTheme="minorHAnsi"/>
        </w:rPr>
        <w:t>a</w:t>
      </w:r>
      <w:r w:rsidRPr="00845BD2">
        <w:rPr>
          <w:rFonts w:asciiTheme="minorHAnsi" w:hAnsiTheme="minorHAnsi"/>
        </w:rPr>
        <w:t>ge human lifespan is extended by 20 years through the use of antimicrobials</w:t>
      </w:r>
      <w:r w:rsidR="007A552A" w:rsidRPr="00845BD2">
        <w:rPr>
          <w:rFonts w:asciiTheme="minorHAnsi" w:hAnsiTheme="minorHAnsi"/>
        </w:rPr>
        <w:t>₁</w:t>
      </w:r>
      <w:r w:rsidRPr="00845BD2">
        <w:rPr>
          <w:rFonts w:asciiTheme="minorHAnsi" w:hAnsiTheme="minorHAnsi"/>
        </w:rPr>
        <w:t>. However, this is being threaten</w:t>
      </w:r>
      <w:r w:rsidR="009D567F" w:rsidRPr="00845BD2">
        <w:rPr>
          <w:rFonts w:asciiTheme="minorHAnsi" w:hAnsiTheme="minorHAnsi"/>
        </w:rPr>
        <w:t>ed by increasing levels of anti</w:t>
      </w:r>
      <w:r w:rsidRPr="00845BD2">
        <w:rPr>
          <w:rFonts w:asciiTheme="minorHAnsi" w:hAnsiTheme="minorHAnsi"/>
        </w:rPr>
        <w:t xml:space="preserve">microbial </w:t>
      </w:r>
      <w:r w:rsidR="009D567F" w:rsidRPr="00845BD2">
        <w:rPr>
          <w:rFonts w:asciiTheme="minorHAnsi" w:hAnsiTheme="minorHAnsi"/>
        </w:rPr>
        <w:t>resistance</w:t>
      </w:r>
      <w:r w:rsidRPr="00845BD2">
        <w:rPr>
          <w:rFonts w:asciiTheme="minorHAnsi" w:hAnsiTheme="minorHAnsi"/>
        </w:rPr>
        <w:t>. A recent study analysed UK primary care data for almost 11 million prescriptions for antimicrobials</w:t>
      </w:r>
      <w:r w:rsidR="009D567F" w:rsidRPr="00845BD2">
        <w:rPr>
          <w:rFonts w:asciiTheme="minorHAnsi" w:hAnsiTheme="minorHAnsi"/>
        </w:rPr>
        <w:t>, used as monotherapy t</w:t>
      </w:r>
      <w:r w:rsidRPr="00845BD2">
        <w:rPr>
          <w:rFonts w:asciiTheme="minorHAnsi" w:hAnsiTheme="minorHAnsi"/>
        </w:rPr>
        <w:t>o</w:t>
      </w:r>
      <w:r w:rsidR="009D567F" w:rsidRPr="00845BD2">
        <w:rPr>
          <w:rFonts w:asciiTheme="minorHAnsi" w:hAnsiTheme="minorHAnsi"/>
        </w:rPr>
        <w:t xml:space="preserve"> </w:t>
      </w:r>
      <w:r w:rsidRPr="00845BD2">
        <w:rPr>
          <w:rFonts w:asciiTheme="minorHAnsi" w:hAnsiTheme="minorHAnsi"/>
        </w:rPr>
        <w:t>treat</w:t>
      </w:r>
      <w:r w:rsidR="009D567F" w:rsidRPr="00845BD2">
        <w:rPr>
          <w:rFonts w:asciiTheme="minorHAnsi" w:hAnsiTheme="minorHAnsi"/>
        </w:rPr>
        <w:t xml:space="preserve"> </w:t>
      </w:r>
      <w:r w:rsidRPr="00845BD2">
        <w:rPr>
          <w:rFonts w:asciiTheme="minorHAnsi" w:hAnsiTheme="minorHAnsi"/>
        </w:rPr>
        <w:t>upper and lower respiratory tract, o</w:t>
      </w:r>
      <w:r w:rsidR="009D567F" w:rsidRPr="00845BD2">
        <w:rPr>
          <w:rFonts w:asciiTheme="minorHAnsi" w:hAnsiTheme="minorHAnsi"/>
        </w:rPr>
        <w:t>titis</w:t>
      </w:r>
      <w:r w:rsidRPr="00845BD2">
        <w:rPr>
          <w:rFonts w:asciiTheme="minorHAnsi" w:hAnsiTheme="minorHAnsi"/>
        </w:rPr>
        <w:t xml:space="preserve"> media</w:t>
      </w:r>
      <w:r w:rsidR="009D567F" w:rsidRPr="00845BD2">
        <w:rPr>
          <w:rFonts w:asciiTheme="minorHAnsi" w:hAnsiTheme="minorHAnsi"/>
        </w:rPr>
        <w:t xml:space="preserve"> and skin and soft tissues inf</w:t>
      </w:r>
      <w:r w:rsidRPr="00845BD2">
        <w:rPr>
          <w:rFonts w:asciiTheme="minorHAnsi" w:hAnsiTheme="minorHAnsi"/>
        </w:rPr>
        <w:t>ections</w:t>
      </w:r>
      <w:r w:rsidR="00DE337A" w:rsidRPr="00845BD2">
        <w:rPr>
          <w:rFonts w:asciiTheme="minorHAnsi" w:hAnsiTheme="minorHAnsi"/>
        </w:rPr>
        <w:t>₂</w:t>
      </w:r>
      <w:r w:rsidRPr="00845BD2">
        <w:rPr>
          <w:rFonts w:asciiTheme="minorHAnsi" w:hAnsiTheme="minorHAnsi"/>
        </w:rPr>
        <w:t>. It found that more than 1 in 10 tre</w:t>
      </w:r>
      <w:r w:rsidR="009D567F" w:rsidRPr="00845BD2">
        <w:rPr>
          <w:rFonts w:asciiTheme="minorHAnsi" w:hAnsiTheme="minorHAnsi"/>
        </w:rPr>
        <w:t>a</w:t>
      </w:r>
      <w:r w:rsidRPr="00845BD2">
        <w:rPr>
          <w:rFonts w:asciiTheme="minorHAnsi" w:hAnsiTheme="minorHAnsi"/>
        </w:rPr>
        <w:t xml:space="preserve">tments were ineffective (indicated by a second prescription for antimicrobials within 30 days) and overall treatment failure rates increased by 12% between 1991 and 2012. </w:t>
      </w:r>
    </w:p>
    <w:p w:rsidR="009D567F" w:rsidRPr="00845BD2" w:rsidRDefault="009D567F" w:rsidP="009D567F">
      <w:pPr>
        <w:spacing w:line="276" w:lineRule="auto"/>
        <w:jc w:val="both"/>
        <w:rPr>
          <w:rFonts w:asciiTheme="minorHAnsi" w:hAnsiTheme="minorHAnsi"/>
        </w:rPr>
      </w:pPr>
    </w:p>
    <w:p w:rsidR="008C42A6" w:rsidRPr="00845BD2" w:rsidRDefault="006A7B7F" w:rsidP="009D567F">
      <w:pPr>
        <w:spacing w:line="276" w:lineRule="auto"/>
        <w:jc w:val="both"/>
        <w:rPr>
          <w:rFonts w:asciiTheme="minorHAnsi" w:hAnsiTheme="minorHAnsi"/>
        </w:rPr>
      </w:pPr>
      <w:r w:rsidRPr="00845BD2">
        <w:rPr>
          <w:rFonts w:asciiTheme="minorHAnsi" w:hAnsiTheme="minorHAnsi"/>
        </w:rPr>
        <w:t xml:space="preserve">Where an antibiotic is needed, the choice of agent and its use needs to be </w:t>
      </w:r>
      <w:r w:rsidR="0050126D" w:rsidRPr="00845BD2">
        <w:rPr>
          <w:rFonts w:asciiTheme="minorHAnsi" w:hAnsiTheme="minorHAnsi"/>
        </w:rPr>
        <w:t xml:space="preserve">carefully </w:t>
      </w:r>
      <w:r w:rsidRPr="00845BD2">
        <w:rPr>
          <w:rFonts w:asciiTheme="minorHAnsi" w:hAnsiTheme="minorHAnsi"/>
        </w:rPr>
        <w:t>considered</w:t>
      </w:r>
      <w:r w:rsidR="0050126D" w:rsidRPr="00845BD2">
        <w:rPr>
          <w:rFonts w:asciiTheme="minorHAnsi" w:hAnsiTheme="minorHAnsi"/>
        </w:rPr>
        <w:t xml:space="preserve"> </w:t>
      </w:r>
      <w:r w:rsidRPr="00845BD2">
        <w:rPr>
          <w:rFonts w:asciiTheme="minorHAnsi" w:hAnsiTheme="minorHAnsi"/>
        </w:rPr>
        <w:t>in order to ensure that infections are treated effectively. This</w:t>
      </w:r>
      <w:r w:rsidR="0007590A" w:rsidRPr="00845BD2">
        <w:rPr>
          <w:rFonts w:asciiTheme="minorHAnsi" w:hAnsiTheme="minorHAnsi"/>
        </w:rPr>
        <w:t xml:space="preserve"> audit is underpinned by the </w:t>
      </w:r>
      <w:r w:rsidRPr="00845BD2">
        <w:rPr>
          <w:rFonts w:asciiTheme="minorHAnsi" w:hAnsiTheme="minorHAnsi"/>
        </w:rPr>
        <w:t xml:space="preserve">Health Protection Agency (HPA) </w:t>
      </w:r>
      <w:r w:rsidR="009D567F" w:rsidRPr="00845BD2">
        <w:rPr>
          <w:rFonts w:asciiTheme="minorHAnsi" w:hAnsiTheme="minorHAnsi"/>
        </w:rPr>
        <w:t xml:space="preserve">management of infection in primary care </w:t>
      </w:r>
      <w:r w:rsidRPr="00845BD2">
        <w:rPr>
          <w:rFonts w:asciiTheme="minorHAnsi" w:hAnsiTheme="minorHAnsi"/>
        </w:rPr>
        <w:t>guidelines</w:t>
      </w:r>
      <w:r w:rsidR="0050126D" w:rsidRPr="00845BD2">
        <w:rPr>
          <w:rFonts w:asciiTheme="minorHAnsi" w:hAnsiTheme="minorHAnsi"/>
        </w:rPr>
        <w:t>, adapted and agreed locally</w:t>
      </w:r>
      <w:r w:rsidR="009D567F" w:rsidRPr="00845BD2">
        <w:rPr>
          <w:rFonts w:asciiTheme="minorHAnsi" w:hAnsiTheme="minorHAnsi"/>
        </w:rPr>
        <w:t>.</w:t>
      </w:r>
      <w:r w:rsidRPr="00845BD2">
        <w:rPr>
          <w:rFonts w:asciiTheme="minorHAnsi" w:hAnsiTheme="minorHAnsi"/>
        </w:rPr>
        <w:t xml:space="preserve"> </w:t>
      </w:r>
    </w:p>
    <w:p w:rsidR="008C42A6" w:rsidRPr="00845BD2" w:rsidRDefault="008C42A6" w:rsidP="009D567F">
      <w:pPr>
        <w:spacing w:line="276" w:lineRule="auto"/>
        <w:jc w:val="both"/>
        <w:rPr>
          <w:rFonts w:asciiTheme="minorHAnsi" w:hAnsiTheme="minorHAnsi"/>
        </w:rPr>
      </w:pPr>
    </w:p>
    <w:p w:rsidR="00DE337A" w:rsidRPr="00845BD2" w:rsidRDefault="00DE337A" w:rsidP="009D567F">
      <w:pPr>
        <w:spacing w:line="276" w:lineRule="auto"/>
        <w:jc w:val="both"/>
        <w:rPr>
          <w:rFonts w:asciiTheme="minorHAnsi" w:hAnsiTheme="minorHAnsi"/>
        </w:rPr>
      </w:pPr>
      <w:r w:rsidRPr="00845BD2">
        <w:rPr>
          <w:rFonts w:asciiTheme="minorHAnsi" w:hAnsiTheme="minorHAnsi"/>
        </w:rPr>
        <w:t>The</w:t>
      </w:r>
      <w:r w:rsidR="008C42A6" w:rsidRPr="00845BD2">
        <w:rPr>
          <w:rFonts w:asciiTheme="minorHAnsi" w:hAnsiTheme="minorHAnsi"/>
        </w:rPr>
        <w:t xml:space="preserve">se can be found at: </w:t>
      </w:r>
      <w:r w:rsidRPr="00845BD2">
        <w:rPr>
          <w:rFonts w:asciiTheme="minorHAnsi" w:hAnsiTheme="minorHAnsi"/>
        </w:rPr>
        <w:t xml:space="preserve"> </w:t>
      </w:r>
      <w:hyperlink r:id="rId8" w:history="1">
        <w:r w:rsidRPr="00845BD2">
          <w:rPr>
            <w:rStyle w:val="Hyperlink"/>
            <w:rFonts w:asciiTheme="minorHAnsi" w:hAnsiTheme="minorHAnsi"/>
          </w:rPr>
          <w:t>http://www.fyldeandwyreccg.nhs.uk/about-us/medicines-optimisation/</w:t>
        </w:r>
      </w:hyperlink>
    </w:p>
    <w:p w:rsidR="00DE337A" w:rsidRPr="00845BD2" w:rsidRDefault="00DE337A" w:rsidP="009D567F">
      <w:pPr>
        <w:spacing w:line="276" w:lineRule="auto"/>
        <w:jc w:val="both"/>
        <w:rPr>
          <w:rFonts w:asciiTheme="minorHAnsi" w:hAnsiTheme="minorHAnsi"/>
        </w:rPr>
      </w:pPr>
    </w:p>
    <w:p w:rsidR="006A7B7F" w:rsidRPr="00845BD2" w:rsidRDefault="009D567F" w:rsidP="009D567F">
      <w:pPr>
        <w:spacing w:line="276" w:lineRule="auto"/>
        <w:jc w:val="both"/>
        <w:rPr>
          <w:rFonts w:asciiTheme="minorHAnsi" w:hAnsiTheme="minorHAnsi"/>
        </w:rPr>
      </w:pPr>
      <w:r w:rsidRPr="00845BD2">
        <w:rPr>
          <w:rFonts w:asciiTheme="minorHAnsi" w:hAnsiTheme="minorHAnsi"/>
        </w:rPr>
        <w:t xml:space="preserve">In addition </w:t>
      </w:r>
      <w:r w:rsidR="00DF2272" w:rsidRPr="00845BD2">
        <w:rPr>
          <w:rFonts w:asciiTheme="minorHAnsi" w:hAnsiTheme="minorHAnsi"/>
        </w:rPr>
        <w:t xml:space="preserve">it is recommended that </w:t>
      </w:r>
      <w:r w:rsidRPr="00845BD2">
        <w:rPr>
          <w:rFonts w:asciiTheme="minorHAnsi" w:hAnsiTheme="minorHAnsi"/>
        </w:rPr>
        <w:t xml:space="preserve">the </w:t>
      </w:r>
      <w:r w:rsidR="00DF2272" w:rsidRPr="00845BD2">
        <w:rPr>
          <w:rFonts w:asciiTheme="minorHAnsi" w:hAnsiTheme="minorHAnsi"/>
        </w:rPr>
        <w:t>use of high risk antibiotics (broad-spectrum antibiotics such as qui</w:t>
      </w:r>
      <w:r w:rsidR="00BC667B" w:rsidRPr="00845BD2">
        <w:rPr>
          <w:rFonts w:asciiTheme="minorHAnsi" w:hAnsiTheme="minorHAnsi"/>
        </w:rPr>
        <w:t xml:space="preserve">nolones, </w:t>
      </w:r>
      <w:proofErr w:type="spellStart"/>
      <w:r w:rsidR="00BC667B" w:rsidRPr="00845BD2">
        <w:rPr>
          <w:rFonts w:asciiTheme="minorHAnsi" w:hAnsiTheme="minorHAnsi"/>
        </w:rPr>
        <w:t>cef</w:t>
      </w:r>
      <w:r w:rsidR="00DF2272" w:rsidRPr="00845BD2">
        <w:rPr>
          <w:rFonts w:asciiTheme="minorHAnsi" w:hAnsiTheme="minorHAnsi"/>
        </w:rPr>
        <w:t>alosporins</w:t>
      </w:r>
      <w:proofErr w:type="spellEnd"/>
      <w:r w:rsidR="00DF2272" w:rsidRPr="00845BD2">
        <w:rPr>
          <w:rFonts w:asciiTheme="minorHAnsi" w:hAnsiTheme="minorHAnsi"/>
        </w:rPr>
        <w:t xml:space="preserve"> and co-amoxiclav) should be reserved for the treatment of resistant disease only.</w:t>
      </w:r>
      <w:r w:rsidRPr="00845BD2">
        <w:rPr>
          <w:rFonts w:asciiTheme="minorHAnsi" w:hAnsiTheme="minorHAnsi"/>
        </w:rPr>
        <w:t xml:space="preserve"> </w:t>
      </w:r>
    </w:p>
    <w:p w:rsidR="006A7B7F" w:rsidRPr="00845BD2" w:rsidRDefault="006A7B7F" w:rsidP="009D567F">
      <w:pPr>
        <w:spacing w:line="276" w:lineRule="auto"/>
        <w:jc w:val="both"/>
        <w:rPr>
          <w:rFonts w:asciiTheme="minorHAnsi" w:hAnsiTheme="minorHAnsi"/>
        </w:rPr>
      </w:pPr>
    </w:p>
    <w:p w:rsidR="00D93218" w:rsidRPr="00845BD2" w:rsidRDefault="006A7B7F" w:rsidP="009D567F">
      <w:pPr>
        <w:spacing w:line="276" w:lineRule="auto"/>
        <w:jc w:val="both"/>
        <w:rPr>
          <w:rFonts w:asciiTheme="minorHAnsi" w:hAnsiTheme="minorHAnsi"/>
        </w:rPr>
      </w:pPr>
      <w:r w:rsidRPr="00845BD2">
        <w:rPr>
          <w:rFonts w:asciiTheme="minorHAnsi" w:hAnsiTheme="minorHAnsi"/>
        </w:rPr>
        <w:t>The use of antibiotic agents is mon</w:t>
      </w:r>
      <w:r w:rsidR="0050126D" w:rsidRPr="00845BD2">
        <w:rPr>
          <w:rFonts w:asciiTheme="minorHAnsi" w:hAnsiTheme="minorHAnsi"/>
        </w:rPr>
        <w:t>itored by two QIPP</w:t>
      </w:r>
      <w:r w:rsidRPr="00845BD2">
        <w:rPr>
          <w:rFonts w:asciiTheme="minorHAnsi" w:hAnsiTheme="minorHAnsi"/>
        </w:rPr>
        <w:t xml:space="preserve"> Indicator</w:t>
      </w:r>
      <w:r w:rsidR="0050126D" w:rsidRPr="00845BD2">
        <w:rPr>
          <w:rFonts w:asciiTheme="minorHAnsi" w:hAnsiTheme="minorHAnsi"/>
        </w:rPr>
        <w:t xml:space="preserve">s: </w:t>
      </w:r>
      <w:r w:rsidRPr="00845BD2">
        <w:rPr>
          <w:rFonts w:asciiTheme="minorHAnsi" w:hAnsiTheme="minorHAnsi"/>
        </w:rPr>
        <w:t>antibacterial items per 1,000 STAR-PU</w:t>
      </w:r>
      <w:r w:rsidR="00BC667B" w:rsidRPr="00845BD2">
        <w:rPr>
          <w:rFonts w:asciiTheme="minorHAnsi" w:hAnsiTheme="minorHAnsi"/>
        </w:rPr>
        <w:t xml:space="preserve"> and % of </w:t>
      </w:r>
      <w:proofErr w:type="spellStart"/>
      <w:r w:rsidR="00BC667B" w:rsidRPr="00845BD2">
        <w:rPr>
          <w:rFonts w:asciiTheme="minorHAnsi" w:hAnsiTheme="minorHAnsi"/>
        </w:rPr>
        <w:t>cef</w:t>
      </w:r>
      <w:r w:rsidR="0050126D" w:rsidRPr="00845BD2">
        <w:rPr>
          <w:rFonts w:asciiTheme="minorHAnsi" w:hAnsiTheme="minorHAnsi"/>
        </w:rPr>
        <w:t>alosporins</w:t>
      </w:r>
      <w:proofErr w:type="spellEnd"/>
      <w:r w:rsidR="0050126D" w:rsidRPr="00845BD2">
        <w:rPr>
          <w:rFonts w:asciiTheme="minorHAnsi" w:hAnsiTheme="minorHAnsi"/>
        </w:rPr>
        <w:t xml:space="preserve"> and quinolones of all antibiotic prescribing</w:t>
      </w:r>
      <w:r w:rsidR="00DE337A" w:rsidRPr="00845BD2">
        <w:rPr>
          <w:rFonts w:asciiTheme="minorHAnsi" w:hAnsiTheme="minorHAnsi"/>
        </w:rPr>
        <w:t>. There are currently 9 practices whose number of items is in the bottom 25% of national prescribing and 1 practice in the bottom 25% for cephalosporin and quinolone prescribing and 5 in the 25-50% band. Whilst this has shown significant improvement since 2010, there is still more to achieve.</w:t>
      </w:r>
    </w:p>
    <w:p w:rsidR="002D147F" w:rsidRPr="00845BD2" w:rsidRDefault="002D147F" w:rsidP="009D567F">
      <w:pPr>
        <w:spacing w:line="276" w:lineRule="auto"/>
        <w:jc w:val="both"/>
        <w:rPr>
          <w:rFonts w:asciiTheme="minorHAnsi" w:hAnsiTheme="minorHAnsi"/>
        </w:rPr>
      </w:pPr>
    </w:p>
    <w:p w:rsidR="002D147F" w:rsidRPr="00C23A55" w:rsidRDefault="00845BD2" w:rsidP="00C23A55">
      <w:pPr>
        <w:rPr>
          <w:rFonts w:asciiTheme="minorHAnsi" w:hAnsiTheme="minorHAnsi"/>
          <w:b/>
        </w:rPr>
      </w:pPr>
      <w:r>
        <w:rPr>
          <w:rFonts w:asciiTheme="minorHAnsi" w:hAnsiTheme="minorHAnsi"/>
          <w:b/>
        </w:rPr>
        <w:br w:type="page"/>
      </w:r>
      <w:r w:rsidR="002D147F" w:rsidRPr="00845BD2">
        <w:rPr>
          <w:rFonts w:asciiTheme="minorHAnsi" w:hAnsiTheme="minorHAnsi"/>
          <w:b/>
          <w:sz w:val="40"/>
          <w:szCs w:val="40"/>
        </w:rPr>
        <w:lastRenderedPageBreak/>
        <w:t>National Examples</w:t>
      </w:r>
    </w:p>
    <w:p w:rsidR="00845BD2" w:rsidRPr="00845BD2" w:rsidRDefault="00845BD2" w:rsidP="009D567F">
      <w:pPr>
        <w:spacing w:line="276" w:lineRule="auto"/>
        <w:jc w:val="both"/>
        <w:rPr>
          <w:rFonts w:asciiTheme="minorHAnsi" w:hAnsiTheme="minorHAnsi"/>
          <w:b/>
          <w:sz w:val="40"/>
          <w:szCs w:val="40"/>
        </w:rPr>
      </w:pPr>
    </w:p>
    <w:p w:rsidR="00E82389" w:rsidRPr="00845BD2" w:rsidRDefault="00BC667B" w:rsidP="009D567F">
      <w:pPr>
        <w:spacing w:line="276" w:lineRule="auto"/>
        <w:jc w:val="both"/>
        <w:rPr>
          <w:rFonts w:asciiTheme="minorHAnsi" w:hAnsiTheme="minorHAnsi"/>
        </w:rPr>
      </w:pPr>
      <w:r w:rsidRPr="00845BD2">
        <w:rPr>
          <w:rFonts w:asciiTheme="minorHAnsi" w:hAnsiTheme="minorHAnsi"/>
        </w:rPr>
        <w:t xml:space="preserve">There is much </w:t>
      </w:r>
      <w:r w:rsidR="00E82389" w:rsidRPr="00845BD2">
        <w:rPr>
          <w:rFonts w:asciiTheme="minorHAnsi" w:hAnsiTheme="minorHAnsi"/>
        </w:rPr>
        <w:t xml:space="preserve">evidence to show that improvements in prescribing </w:t>
      </w:r>
      <w:r w:rsidRPr="00845BD2">
        <w:rPr>
          <w:rFonts w:asciiTheme="minorHAnsi" w:hAnsiTheme="minorHAnsi"/>
        </w:rPr>
        <w:t xml:space="preserve">are still needed, and where addressed, </w:t>
      </w:r>
      <w:r w:rsidR="00E82389" w:rsidRPr="00845BD2">
        <w:rPr>
          <w:rFonts w:asciiTheme="minorHAnsi" w:hAnsiTheme="minorHAnsi"/>
        </w:rPr>
        <w:t>can lead to the re</w:t>
      </w:r>
      <w:r w:rsidRPr="00845BD2">
        <w:rPr>
          <w:rFonts w:asciiTheme="minorHAnsi" w:hAnsiTheme="minorHAnsi"/>
        </w:rPr>
        <w:t xml:space="preserve">duced incidence of CDI and </w:t>
      </w:r>
      <w:r w:rsidR="00E82389" w:rsidRPr="00845BD2">
        <w:rPr>
          <w:rFonts w:asciiTheme="minorHAnsi" w:hAnsiTheme="minorHAnsi"/>
        </w:rPr>
        <w:t xml:space="preserve">the development of </w:t>
      </w:r>
      <w:r w:rsidRPr="00845BD2">
        <w:rPr>
          <w:rFonts w:asciiTheme="minorHAnsi" w:hAnsiTheme="minorHAnsi"/>
        </w:rPr>
        <w:t>resistance</w:t>
      </w:r>
      <w:r w:rsidR="00E82389" w:rsidRPr="00845BD2">
        <w:rPr>
          <w:rFonts w:asciiTheme="minorHAnsi" w:hAnsiTheme="minorHAnsi"/>
        </w:rPr>
        <w:t>:</w:t>
      </w:r>
    </w:p>
    <w:p w:rsidR="00DF2272" w:rsidRPr="00845BD2" w:rsidRDefault="00DF2272" w:rsidP="00DF2272">
      <w:pPr>
        <w:pStyle w:val="NormalWeb"/>
        <w:spacing w:before="0" w:beforeAutospacing="0" w:after="0" w:afterAutospacing="0"/>
        <w:rPr>
          <w:rFonts w:asciiTheme="minorHAnsi" w:eastAsiaTheme="minorEastAsia" w:hAnsiTheme="minorHAnsi" w:cs="Arial"/>
          <w:kern w:val="24"/>
          <w:lang w:val="en-US"/>
        </w:rPr>
      </w:pPr>
    </w:p>
    <w:p w:rsidR="00DF2272" w:rsidRPr="00845BD2" w:rsidRDefault="00DF2272" w:rsidP="00E82389">
      <w:pPr>
        <w:pStyle w:val="Title"/>
        <w:numPr>
          <w:ilvl w:val="0"/>
          <w:numId w:val="14"/>
        </w:numPr>
        <w:spacing w:before="120" w:after="120" w:line="300" w:lineRule="atLeast"/>
        <w:rPr>
          <w:rFonts w:asciiTheme="minorHAnsi" w:hAnsiTheme="minorHAnsi" w:cs="Arial"/>
          <w:color w:val="4A4A4A"/>
        </w:rPr>
      </w:pPr>
      <w:r w:rsidRPr="00845BD2">
        <w:rPr>
          <w:rStyle w:val="Strong"/>
          <w:rFonts w:asciiTheme="minorHAnsi" w:hAnsiTheme="minorHAnsi" w:cs="Arial"/>
          <w:color w:val="000000"/>
        </w:rPr>
        <w:t xml:space="preserve">National trends in antibiotic prescribing: study suggests there is scope for improvements </w:t>
      </w:r>
    </w:p>
    <w:p w:rsidR="00DF2272" w:rsidRPr="00845BD2" w:rsidRDefault="00DF2272" w:rsidP="00593E55">
      <w:pPr>
        <w:pStyle w:val="mecsummary"/>
        <w:spacing w:line="276" w:lineRule="auto"/>
        <w:jc w:val="both"/>
        <w:rPr>
          <w:rStyle w:val="Strong"/>
          <w:rFonts w:asciiTheme="minorHAnsi" w:hAnsiTheme="minorHAnsi" w:cs="Arial"/>
          <w:b w:val="0"/>
          <w:color w:val="000000"/>
          <w:lang w:val="en"/>
        </w:rPr>
      </w:pPr>
      <w:r w:rsidRPr="00845BD2">
        <w:rPr>
          <w:rStyle w:val="Strong"/>
          <w:rFonts w:asciiTheme="minorHAnsi" w:hAnsiTheme="minorHAnsi" w:cs="Arial"/>
          <w:b w:val="0"/>
          <w:color w:val="000000"/>
          <w:lang w:val="en"/>
        </w:rPr>
        <w:t>A study looking at trends in antibiotic prescribing in UK primary care found improvement in some aspects of antibiotic prescribing between 1999 and 2011, but there remain some areas of concern and significant variation between GP practices. For uncomplicated urinary tract infection in women aged 16−74 years, use of 3-day courses of trimethoprim in line with guidance increased from 8% of cases in 1995 to 49% of cases in 2011 (with the range for GP practices 16% to 71%). The</w:t>
      </w:r>
      <w:r w:rsidRPr="00845BD2">
        <w:rPr>
          <w:rStyle w:val="Strong"/>
          <w:rFonts w:asciiTheme="minorHAnsi" w:hAnsiTheme="minorHAnsi" w:cs="Arial"/>
          <w:b w:val="0"/>
          <w:color w:val="000000"/>
        </w:rPr>
        <w:t xml:space="preserve"> proportion of prescriptions that were for a recommended antibiotic rose from 77% to 85% for otitis media and from 64% to 69% for sore throat. </w:t>
      </w:r>
      <w:r w:rsidRPr="00845BD2">
        <w:rPr>
          <w:rStyle w:val="Strong"/>
          <w:rFonts w:asciiTheme="minorHAnsi" w:hAnsiTheme="minorHAnsi" w:cs="Arial"/>
          <w:b w:val="0"/>
          <w:color w:val="000000"/>
          <w:lang w:val="en"/>
        </w:rPr>
        <w:t>However, antibiotic prescribing for coughs and colds increased from 36% in 1999 to 51% in 2011 (range 32% to 65%</w:t>
      </w:r>
      <w:proofErr w:type="gramStart"/>
      <w:r w:rsidRPr="00845BD2">
        <w:rPr>
          <w:rStyle w:val="Strong"/>
          <w:rFonts w:asciiTheme="minorHAnsi" w:hAnsiTheme="minorHAnsi" w:cs="Arial"/>
          <w:b w:val="0"/>
          <w:color w:val="000000"/>
          <w:lang w:val="en"/>
        </w:rPr>
        <w:t>)</w:t>
      </w:r>
      <w:r w:rsidR="008C42A6" w:rsidRPr="00845BD2">
        <w:rPr>
          <w:rStyle w:val="Strong"/>
          <w:rFonts w:asciiTheme="minorHAnsi" w:hAnsiTheme="minorHAnsi" w:cs="Arial"/>
          <w:b w:val="0"/>
          <w:color w:val="000000"/>
          <w:lang w:val="en"/>
        </w:rPr>
        <w:t>₃</w:t>
      </w:r>
      <w:proofErr w:type="gramEnd"/>
      <w:r w:rsidRPr="00845BD2">
        <w:rPr>
          <w:rStyle w:val="Strong"/>
          <w:rFonts w:asciiTheme="minorHAnsi" w:hAnsiTheme="minorHAnsi" w:cs="Arial"/>
          <w:b w:val="0"/>
          <w:color w:val="000000"/>
          <w:lang w:val="en"/>
        </w:rPr>
        <w:t xml:space="preserve">. </w:t>
      </w:r>
    </w:p>
    <w:p w:rsidR="004B31D7" w:rsidRPr="00845BD2" w:rsidRDefault="004B31D7" w:rsidP="00593E55">
      <w:pPr>
        <w:pStyle w:val="mecsummary"/>
        <w:spacing w:line="276" w:lineRule="auto"/>
        <w:jc w:val="both"/>
        <w:rPr>
          <w:rStyle w:val="Strong"/>
          <w:rFonts w:asciiTheme="minorHAnsi" w:hAnsiTheme="minorHAnsi" w:cs="Arial"/>
          <w:b w:val="0"/>
          <w:color w:val="000000"/>
          <w:lang w:val="en"/>
        </w:rPr>
      </w:pPr>
    </w:p>
    <w:p w:rsidR="004B31D7" w:rsidRPr="00845BD2" w:rsidRDefault="004B31D7" w:rsidP="004B31D7">
      <w:pPr>
        <w:pStyle w:val="mecsummary"/>
        <w:numPr>
          <w:ilvl w:val="0"/>
          <w:numId w:val="14"/>
        </w:numPr>
        <w:spacing w:line="276" w:lineRule="auto"/>
        <w:jc w:val="both"/>
        <w:rPr>
          <w:rFonts w:asciiTheme="minorHAnsi" w:hAnsiTheme="minorHAnsi" w:cs="Arial"/>
          <w:b/>
        </w:rPr>
      </w:pPr>
      <w:r w:rsidRPr="00845BD2">
        <w:rPr>
          <w:rFonts w:asciiTheme="minorHAnsi" w:hAnsiTheme="minorHAnsi" w:cs="Arial"/>
          <w:b/>
        </w:rPr>
        <w:t>Improving antimicrobial stewardship</w:t>
      </w:r>
    </w:p>
    <w:p w:rsidR="002D147F" w:rsidRPr="002D147F" w:rsidRDefault="002D147F" w:rsidP="002D147F">
      <w:pPr>
        <w:shd w:val="clear" w:color="auto" w:fill="F6F6F6"/>
        <w:spacing w:before="180" w:after="180" w:line="360" w:lineRule="atLeast"/>
        <w:jc w:val="both"/>
        <w:outlineLvl w:val="2"/>
        <w:rPr>
          <w:rFonts w:asciiTheme="minorHAnsi" w:hAnsiTheme="minorHAnsi" w:cs="Arial"/>
          <w:b/>
        </w:rPr>
      </w:pPr>
      <w:r w:rsidRPr="00845BD2">
        <w:rPr>
          <w:rFonts w:asciiTheme="minorHAnsi" w:hAnsiTheme="minorHAnsi" w:cs="Arial"/>
          <w:b/>
        </w:rPr>
        <w:t xml:space="preserve">NICE </w:t>
      </w:r>
      <w:r w:rsidRPr="002D147F">
        <w:rPr>
          <w:rFonts w:asciiTheme="minorHAnsi" w:hAnsiTheme="minorHAnsi" w:cs="Arial"/>
          <w:b/>
        </w:rPr>
        <w:t>Quality statement</w:t>
      </w:r>
    </w:p>
    <w:p w:rsidR="002D147F" w:rsidRPr="002D147F" w:rsidRDefault="002D147F" w:rsidP="002D147F">
      <w:pPr>
        <w:shd w:val="clear" w:color="auto" w:fill="F6F6F6"/>
        <w:spacing w:after="180" w:line="360" w:lineRule="atLeast"/>
        <w:jc w:val="both"/>
        <w:rPr>
          <w:rFonts w:asciiTheme="minorHAnsi" w:hAnsiTheme="minorHAnsi" w:cs="Arial"/>
        </w:rPr>
      </w:pPr>
      <w:r w:rsidRPr="002D147F">
        <w:rPr>
          <w:rFonts w:asciiTheme="minorHAnsi" w:hAnsiTheme="minorHAnsi" w:cs="Arial"/>
        </w:rPr>
        <w:t>People are prescribed antibiotics in accordance with local antibiotic formularies as part of antimicrobial stewardship.</w:t>
      </w:r>
    </w:p>
    <w:p w:rsidR="00DF2272" w:rsidRPr="00845BD2" w:rsidRDefault="002D147F" w:rsidP="00845BD2">
      <w:pPr>
        <w:shd w:val="clear" w:color="auto" w:fill="F6F6F6"/>
        <w:spacing w:before="180" w:after="180" w:line="360" w:lineRule="atLeast"/>
        <w:jc w:val="both"/>
        <w:outlineLvl w:val="2"/>
        <w:rPr>
          <w:rFonts w:asciiTheme="minorHAnsi" w:hAnsiTheme="minorHAnsi" w:cs="Arial"/>
          <w:b/>
        </w:rPr>
      </w:pPr>
      <w:r w:rsidRPr="002D147F">
        <w:rPr>
          <w:rFonts w:asciiTheme="minorHAnsi" w:hAnsiTheme="minorHAnsi" w:cs="Arial"/>
          <w:b/>
        </w:rPr>
        <w:t>Rationale</w:t>
      </w:r>
      <w:r w:rsidR="00845BD2" w:rsidRPr="00845BD2">
        <w:rPr>
          <w:rFonts w:asciiTheme="minorHAnsi" w:hAnsiTheme="minorHAnsi" w:cs="Arial"/>
          <w:b/>
        </w:rPr>
        <w:t xml:space="preserve">: </w:t>
      </w:r>
      <w:r w:rsidR="00845BD2" w:rsidRPr="00845BD2">
        <w:rPr>
          <w:rFonts w:asciiTheme="minorHAnsi" w:hAnsiTheme="minorHAnsi" w:cs="Arial"/>
        </w:rPr>
        <w:t>a</w:t>
      </w:r>
      <w:r w:rsidRPr="002D147F">
        <w:rPr>
          <w:rFonts w:asciiTheme="minorHAnsi" w:hAnsiTheme="minorHAnsi" w:cs="Arial"/>
        </w:rPr>
        <w:t xml:space="preserve">ntibiotic resistance poses a significant threat to public health, particularly because antibiotics underpin routine medical practice in both primary and secondary care. To help prevent the development of current and future bacterial resistance, it is important to prescribe antibiotics according to the principles of antimicrobial stewardship, such as prescribing antibiotics only when they are needed (and not for self-limiting mild infections such as colds and most coughs, sinusitis, earache and sore throats) and reviewing the continued need for them. These principles should be set out within local antibiotic guidelines and pathways and be consistent with the local antibiotic formulary. Local antibiotic formularies should indicate a range of antibiotics for managing common infections, and permit use of other antibiotics only on the advice of the microbiologist or physician responsible for the control of infectious diseases. </w:t>
      </w:r>
    </w:p>
    <w:p w:rsidR="00DF2272" w:rsidRPr="00845BD2" w:rsidRDefault="00DF2272" w:rsidP="00845BD2">
      <w:pPr>
        <w:pStyle w:val="ListParagraph"/>
        <w:numPr>
          <w:ilvl w:val="0"/>
          <w:numId w:val="14"/>
        </w:numPr>
        <w:spacing w:before="100" w:beforeAutospacing="1" w:after="180" w:line="332" w:lineRule="atLeast"/>
        <w:outlineLvl w:val="1"/>
        <w:rPr>
          <w:rFonts w:asciiTheme="minorHAnsi" w:hAnsiTheme="minorHAnsi" w:cs="Arial"/>
          <w:b/>
          <w:bCs/>
          <w:color w:val="111111"/>
          <w:lang w:val="en"/>
        </w:rPr>
      </w:pPr>
      <w:r w:rsidRPr="00845BD2">
        <w:rPr>
          <w:rFonts w:asciiTheme="minorHAnsi" w:hAnsiTheme="minorHAnsi" w:cs="Arial"/>
          <w:b/>
          <w:bCs/>
          <w:color w:val="111111"/>
          <w:lang w:val="en"/>
        </w:rPr>
        <w:t>Vale of Leven Enquiry</w:t>
      </w:r>
    </w:p>
    <w:p w:rsidR="00E82389" w:rsidRPr="00845BD2" w:rsidRDefault="00DF2272" w:rsidP="00845BD2">
      <w:pPr>
        <w:spacing w:line="276" w:lineRule="auto"/>
        <w:jc w:val="both"/>
        <w:rPr>
          <w:rFonts w:asciiTheme="minorHAnsi" w:hAnsiTheme="minorHAnsi"/>
          <w:lang w:val="en"/>
        </w:rPr>
      </w:pPr>
      <w:r w:rsidRPr="00845BD2">
        <w:rPr>
          <w:rFonts w:asciiTheme="minorHAnsi" w:hAnsiTheme="minorHAnsi"/>
          <w:lang w:val="en"/>
        </w:rPr>
        <w:t>‘’An inquiry was set up in 2009 to investigate the treatment of 63 patients at Vale of Leven Hospital b</w:t>
      </w:r>
      <w:r w:rsidR="00E82389" w:rsidRPr="00845BD2">
        <w:rPr>
          <w:rFonts w:asciiTheme="minorHAnsi" w:hAnsiTheme="minorHAnsi"/>
          <w:lang w:val="en"/>
        </w:rPr>
        <w:t>etween 2007 and 2008 in which CDI</w:t>
      </w:r>
      <w:r w:rsidRPr="00845BD2">
        <w:rPr>
          <w:rFonts w:asciiTheme="minorHAnsi" w:hAnsiTheme="minorHAnsi"/>
          <w:lang w:val="en"/>
        </w:rPr>
        <w:t xml:space="preserve"> was identified as a contributory factor in 28 deaths. </w:t>
      </w:r>
      <w:r w:rsidRPr="00845BD2">
        <w:rPr>
          <w:rFonts w:asciiTheme="minorHAnsi" w:hAnsiTheme="minorHAnsi"/>
        </w:rPr>
        <w:t>The outbreak of clostridium difficile at the Vale of Leven hospital was one of several across the UK at the time.</w:t>
      </w:r>
      <w:r w:rsidRPr="00845BD2">
        <w:rPr>
          <w:rFonts w:asciiTheme="minorHAnsi" w:hAnsiTheme="minorHAnsi"/>
          <w:lang w:val="en"/>
        </w:rPr>
        <w:t xml:space="preserve"> </w:t>
      </w:r>
      <w:r w:rsidRPr="00845BD2">
        <w:rPr>
          <w:rFonts w:asciiTheme="minorHAnsi" w:hAnsiTheme="minorHAnsi"/>
        </w:rPr>
        <w:t>Authorities often say that much has changed, but this time it really has. Levels of C. difficile are 75% lower than they previously were. This has been achieved through better hygiene and infection control, but by far the biggest impact in Greater Glasgow was made through a change in the kind of antibiotics prescribed.’’</w:t>
      </w:r>
      <w:r w:rsidR="008C42A6" w:rsidRPr="00845BD2">
        <w:rPr>
          <w:rFonts w:asciiTheme="minorHAnsi" w:hAnsiTheme="minorHAnsi" w:cs="Cambria Math"/>
          <w:lang w:val="en"/>
        </w:rPr>
        <w:t>₄</w:t>
      </w:r>
    </w:p>
    <w:p w:rsidR="00C23A55" w:rsidRDefault="00C23A55" w:rsidP="00C23A55">
      <w:pPr>
        <w:pStyle w:val="ListParagraph"/>
        <w:spacing w:before="100" w:beforeAutospacing="1" w:after="180" w:line="276" w:lineRule="auto"/>
        <w:jc w:val="both"/>
        <w:outlineLvl w:val="1"/>
        <w:rPr>
          <w:rFonts w:asciiTheme="minorHAnsi" w:hAnsiTheme="minorHAnsi" w:cs="Arial"/>
          <w:b/>
          <w:bCs/>
          <w:lang w:val="en"/>
        </w:rPr>
      </w:pPr>
    </w:p>
    <w:p w:rsidR="002533AE" w:rsidRPr="00845BD2" w:rsidRDefault="00E82389" w:rsidP="00845BD2">
      <w:pPr>
        <w:pStyle w:val="ListParagraph"/>
        <w:numPr>
          <w:ilvl w:val="0"/>
          <w:numId w:val="14"/>
        </w:numPr>
        <w:spacing w:before="100" w:beforeAutospacing="1" w:after="180" w:line="276" w:lineRule="auto"/>
        <w:jc w:val="both"/>
        <w:outlineLvl w:val="1"/>
        <w:rPr>
          <w:rFonts w:asciiTheme="minorHAnsi" w:hAnsiTheme="minorHAnsi" w:cs="Arial"/>
          <w:b/>
          <w:bCs/>
          <w:lang w:val="en"/>
        </w:rPr>
      </w:pPr>
      <w:r w:rsidRPr="00845BD2">
        <w:rPr>
          <w:rFonts w:asciiTheme="minorHAnsi" w:hAnsiTheme="minorHAnsi" w:cs="Arial"/>
          <w:b/>
          <w:bCs/>
          <w:lang w:val="en"/>
        </w:rPr>
        <w:lastRenderedPageBreak/>
        <w:t xml:space="preserve">CDI outbreak </w:t>
      </w:r>
      <w:r w:rsidR="002533AE" w:rsidRPr="00845BD2">
        <w:rPr>
          <w:rFonts w:asciiTheme="minorHAnsi" w:hAnsiTheme="minorHAnsi" w:cs="Arial"/>
          <w:b/>
          <w:bCs/>
          <w:lang w:val="en"/>
        </w:rPr>
        <w:t>Edinburgh D</w:t>
      </w:r>
      <w:r w:rsidRPr="00845BD2">
        <w:rPr>
          <w:rFonts w:asciiTheme="minorHAnsi" w:hAnsiTheme="minorHAnsi" w:cs="Arial"/>
          <w:b/>
          <w:bCs/>
          <w:lang w:val="en"/>
        </w:rPr>
        <w:t>ecember 2014</w:t>
      </w:r>
    </w:p>
    <w:p w:rsidR="002D147F" w:rsidRPr="00845BD2" w:rsidRDefault="002533AE" w:rsidP="002D147F">
      <w:pPr>
        <w:pStyle w:val="ListParagraph"/>
        <w:spacing w:before="100" w:beforeAutospacing="1" w:after="180" w:line="332" w:lineRule="atLeast"/>
        <w:ind w:left="0"/>
        <w:jc w:val="both"/>
        <w:outlineLvl w:val="1"/>
        <w:rPr>
          <w:rFonts w:asciiTheme="minorHAnsi" w:hAnsiTheme="minorHAnsi" w:cs="Arial"/>
          <w:bCs/>
          <w:color w:val="111111"/>
          <w:lang w:val="en"/>
        </w:rPr>
      </w:pPr>
      <w:r w:rsidRPr="00845BD2">
        <w:rPr>
          <w:rFonts w:asciiTheme="minorHAnsi" w:hAnsiTheme="minorHAnsi" w:cs="Arial"/>
          <w:bCs/>
          <w:color w:val="111111"/>
          <w:lang w:val="en"/>
        </w:rPr>
        <w:t>There is a current CDI outbreak at an Edinburgh hospital₅</w:t>
      </w:r>
      <w:r w:rsidR="002D147F" w:rsidRPr="00845BD2">
        <w:rPr>
          <w:rFonts w:asciiTheme="minorHAnsi" w:hAnsiTheme="minorHAnsi" w:cs="Arial"/>
          <w:bCs/>
          <w:color w:val="111111"/>
          <w:lang w:val="en"/>
        </w:rPr>
        <w:t>.</w:t>
      </w:r>
    </w:p>
    <w:p w:rsidR="00BC667B" w:rsidRPr="00845BD2" w:rsidRDefault="002D147F" w:rsidP="00845BD2">
      <w:pPr>
        <w:pStyle w:val="ListParagraph"/>
        <w:spacing w:before="100" w:beforeAutospacing="1" w:after="180" w:line="332" w:lineRule="atLeast"/>
        <w:ind w:left="142" w:right="270"/>
        <w:jc w:val="both"/>
        <w:outlineLvl w:val="1"/>
        <w:rPr>
          <w:rFonts w:asciiTheme="minorHAnsi" w:hAnsiTheme="minorHAnsi" w:cs="Arial"/>
          <w:bCs/>
          <w:color w:val="111111"/>
          <w:lang w:val="en"/>
        </w:rPr>
      </w:pPr>
      <w:r w:rsidRPr="00845BD2">
        <w:rPr>
          <w:rFonts w:asciiTheme="minorHAnsi" w:hAnsiTheme="minorHAnsi"/>
          <w:bCs/>
          <w:lang w:val="en"/>
        </w:rPr>
        <w:t>‘’Investigations are continuing into a cluster of cases of Clostridium difficile infection in wards at the Royal Infirmary of Edinburgh.</w:t>
      </w:r>
      <w:r w:rsidRPr="00845BD2">
        <w:rPr>
          <w:rFonts w:asciiTheme="minorHAnsi" w:hAnsiTheme="minorHAnsi"/>
          <w:b/>
          <w:bCs/>
          <w:lang w:val="en"/>
        </w:rPr>
        <w:t xml:space="preserve"> </w:t>
      </w:r>
      <w:r w:rsidRPr="00845BD2">
        <w:rPr>
          <w:rFonts w:asciiTheme="minorHAnsi" w:hAnsiTheme="minorHAnsi"/>
          <w:lang w:val="en"/>
        </w:rPr>
        <w:t xml:space="preserve">The NHS said no new cases had been identified in the last 24 </w:t>
      </w:r>
      <w:proofErr w:type="spellStart"/>
      <w:r w:rsidRPr="00845BD2">
        <w:rPr>
          <w:rFonts w:asciiTheme="minorHAnsi" w:hAnsiTheme="minorHAnsi"/>
          <w:lang w:val="en"/>
        </w:rPr>
        <w:t>hours.Fourteen</w:t>
      </w:r>
      <w:proofErr w:type="spellEnd"/>
      <w:r w:rsidRPr="00845BD2">
        <w:rPr>
          <w:rFonts w:asciiTheme="minorHAnsi" w:hAnsiTheme="minorHAnsi"/>
          <w:lang w:val="en"/>
        </w:rPr>
        <w:t xml:space="preserve"> patients were affected by the infection, commonly known as C-diff, and two patients died from underlying conditions after also testing positive for the infection in the days before their death.</w:t>
      </w:r>
      <w:r w:rsidRPr="00845BD2">
        <w:rPr>
          <w:rFonts w:asciiTheme="minorHAnsi" w:hAnsiTheme="minorHAnsi"/>
          <w:b/>
          <w:bCs/>
          <w:lang w:val="en"/>
        </w:rPr>
        <w:t xml:space="preserve"> </w:t>
      </w:r>
      <w:r w:rsidRPr="00845BD2">
        <w:rPr>
          <w:rFonts w:asciiTheme="minorHAnsi" w:hAnsiTheme="minorHAnsi"/>
          <w:lang w:val="en"/>
        </w:rPr>
        <w:t xml:space="preserve">Since the cluster was identified in early November, four patients have recovered and been discharged </w:t>
      </w:r>
      <w:proofErr w:type="spellStart"/>
      <w:r w:rsidRPr="00845BD2">
        <w:rPr>
          <w:rFonts w:asciiTheme="minorHAnsi" w:hAnsiTheme="minorHAnsi"/>
          <w:lang w:val="en"/>
        </w:rPr>
        <w:t>home.The</w:t>
      </w:r>
      <w:proofErr w:type="spellEnd"/>
      <w:r w:rsidRPr="00845BD2">
        <w:rPr>
          <w:rFonts w:asciiTheme="minorHAnsi" w:hAnsiTheme="minorHAnsi"/>
          <w:lang w:val="en"/>
        </w:rPr>
        <w:t xml:space="preserve"> eight patients who remain in hospital are being cared for in isolation, and NHS Lothian said two very seriously ill, but stressed while they had tested positive for the </w:t>
      </w:r>
      <w:proofErr w:type="spellStart"/>
      <w:r w:rsidRPr="00845BD2">
        <w:rPr>
          <w:rFonts w:asciiTheme="minorHAnsi" w:hAnsiTheme="minorHAnsi"/>
          <w:lang w:val="en"/>
        </w:rPr>
        <w:t>infection,C</w:t>
      </w:r>
      <w:proofErr w:type="spellEnd"/>
      <w:r w:rsidRPr="00845BD2">
        <w:rPr>
          <w:rFonts w:asciiTheme="minorHAnsi" w:hAnsiTheme="minorHAnsi"/>
          <w:lang w:val="en"/>
        </w:rPr>
        <w:t>-diff was not the cause of their condition’’</w:t>
      </w:r>
    </w:p>
    <w:p w:rsidR="00E82389" w:rsidRPr="00845BD2" w:rsidRDefault="00E82389" w:rsidP="00E82389">
      <w:pPr>
        <w:pStyle w:val="NormalWeb"/>
        <w:numPr>
          <w:ilvl w:val="0"/>
          <w:numId w:val="14"/>
        </w:numPr>
        <w:spacing w:before="0" w:beforeAutospacing="0" w:after="0" w:afterAutospacing="0"/>
        <w:jc w:val="both"/>
        <w:rPr>
          <w:rFonts w:asciiTheme="minorHAnsi" w:hAnsiTheme="minorHAnsi"/>
          <w:b/>
        </w:rPr>
      </w:pPr>
      <w:r w:rsidRPr="00845BD2">
        <w:rPr>
          <w:rFonts w:asciiTheme="minorHAnsi" w:eastAsiaTheme="minorEastAsia" w:hAnsiTheme="minorHAnsi" w:cs="Arial"/>
          <w:b/>
          <w:kern w:val="24"/>
          <w:lang w:val="en-US"/>
        </w:rPr>
        <w:t>Local targets</w:t>
      </w:r>
    </w:p>
    <w:p w:rsidR="00E82389" w:rsidRPr="00845BD2" w:rsidRDefault="00E82389" w:rsidP="00E82389">
      <w:pPr>
        <w:pStyle w:val="NormalWeb"/>
        <w:spacing w:before="0" w:beforeAutospacing="0" w:after="0" w:afterAutospacing="0"/>
        <w:ind w:left="720"/>
        <w:jc w:val="both"/>
        <w:rPr>
          <w:rFonts w:asciiTheme="minorHAnsi" w:hAnsiTheme="minorHAnsi"/>
        </w:rPr>
      </w:pPr>
    </w:p>
    <w:p w:rsidR="00DF2272" w:rsidRPr="00845BD2" w:rsidRDefault="00DF2272" w:rsidP="00E82389">
      <w:pPr>
        <w:pStyle w:val="NormalWeb"/>
        <w:spacing w:before="0" w:beforeAutospacing="0" w:after="0" w:afterAutospacing="0"/>
        <w:jc w:val="both"/>
        <w:rPr>
          <w:rFonts w:asciiTheme="minorHAnsi" w:hAnsiTheme="minorHAnsi"/>
        </w:rPr>
      </w:pPr>
      <w:r w:rsidRPr="00845BD2">
        <w:rPr>
          <w:rFonts w:asciiTheme="minorHAnsi" w:eastAsiaTheme="minorEastAsia" w:hAnsiTheme="minorHAnsi" w:cs="Arial"/>
          <w:kern w:val="24"/>
          <w:lang w:val="en-US"/>
        </w:rPr>
        <w:t>In r</w:t>
      </w:r>
      <w:r w:rsidR="008C42A6" w:rsidRPr="00845BD2">
        <w:rPr>
          <w:rFonts w:asciiTheme="minorHAnsi" w:eastAsiaTheme="minorEastAsia" w:hAnsiTheme="minorHAnsi" w:cs="Arial"/>
          <w:kern w:val="24"/>
          <w:lang w:val="en-US"/>
        </w:rPr>
        <w:t xml:space="preserve">elation to CDI, Fylde and </w:t>
      </w:r>
      <w:proofErr w:type="spellStart"/>
      <w:r w:rsidR="008C42A6" w:rsidRPr="00845BD2">
        <w:rPr>
          <w:rFonts w:asciiTheme="minorHAnsi" w:eastAsiaTheme="minorEastAsia" w:hAnsiTheme="minorHAnsi" w:cs="Arial"/>
          <w:kern w:val="24"/>
          <w:lang w:val="en-US"/>
        </w:rPr>
        <w:t>Wyre</w:t>
      </w:r>
      <w:proofErr w:type="spellEnd"/>
      <w:r w:rsidR="008C42A6" w:rsidRPr="00845BD2">
        <w:rPr>
          <w:rFonts w:asciiTheme="minorHAnsi" w:eastAsiaTheme="minorEastAsia" w:hAnsiTheme="minorHAnsi" w:cs="Arial"/>
          <w:kern w:val="24"/>
          <w:lang w:val="en-US"/>
        </w:rPr>
        <w:t xml:space="preserve"> </w:t>
      </w:r>
      <w:r w:rsidRPr="00845BD2">
        <w:rPr>
          <w:rFonts w:asciiTheme="minorHAnsi" w:eastAsiaTheme="minorEastAsia" w:hAnsiTheme="minorHAnsi" w:cs="Arial"/>
          <w:kern w:val="24"/>
          <w:lang w:val="en-US"/>
        </w:rPr>
        <w:t xml:space="preserve">CCG and </w:t>
      </w:r>
      <w:proofErr w:type="spellStart"/>
      <w:r w:rsidRPr="00845BD2">
        <w:rPr>
          <w:rFonts w:asciiTheme="minorHAnsi" w:eastAsiaTheme="minorEastAsia" w:hAnsiTheme="minorHAnsi" w:cs="Arial"/>
          <w:kern w:val="24"/>
          <w:lang w:val="en-US"/>
        </w:rPr>
        <w:t>Blackpool</w:t>
      </w:r>
      <w:proofErr w:type="spellEnd"/>
      <w:r w:rsidRPr="00845BD2">
        <w:rPr>
          <w:rFonts w:asciiTheme="minorHAnsi" w:eastAsiaTheme="minorEastAsia" w:hAnsiTheme="minorHAnsi" w:cs="Arial"/>
          <w:kern w:val="24"/>
          <w:lang w:val="en-US"/>
        </w:rPr>
        <w:t xml:space="preserve"> Teaching Hospitals</w:t>
      </w:r>
      <w:r w:rsidR="00593E55" w:rsidRPr="00845BD2">
        <w:rPr>
          <w:rFonts w:asciiTheme="minorHAnsi" w:eastAsiaTheme="minorEastAsia" w:hAnsiTheme="minorHAnsi" w:cs="Arial"/>
          <w:kern w:val="24"/>
          <w:lang w:val="en-US"/>
        </w:rPr>
        <w:t xml:space="preserve"> have breached their </w:t>
      </w:r>
      <w:r w:rsidRPr="00845BD2">
        <w:rPr>
          <w:rFonts w:asciiTheme="minorHAnsi" w:eastAsiaTheme="minorEastAsia" w:hAnsiTheme="minorHAnsi" w:cs="Arial"/>
          <w:kern w:val="24"/>
          <w:lang w:val="en-US"/>
        </w:rPr>
        <w:t>annual trajectory of 31 cases</w:t>
      </w:r>
      <w:r w:rsidRPr="00845BD2">
        <w:rPr>
          <w:rFonts w:asciiTheme="minorHAnsi" w:hAnsiTheme="minorHAnsi"/>
        </w:rPr>
        <w:t xml:space="preserve"> - </w:t>
      </w:r>
      <w:r w:rsidRPr="00845BD2">
        <w:rPr>
          <w:rFonts w:asciiTheme="minorHAnsi" w:eastAsiaTheme="minorEastAsia" w:hAnsiTheme="minorHAnsi" w:cs="Arial"/>
          <w:kern w:val="24"/>
          <w:lang w:val="en-US"/>
        </w:rPr>
        <w:t xml:space="preserve">14 cases in acute trusts and 18 in non-acute settings </w:t>
      </w:r>
    </w:p>
    <w:p w:rsidR="00DF2272" w:rsidRPr="00845BD2" w:rsidRDefault="00DF2272" w:rsidP="00593E55">
      <w:pPr>
        <w:spacing w:after="180"/>
        <w:jc w:val="both"/>
        <w:rPr>
          <w:rFonts w:asciiTheme="minorHAnsi" w:hAnsiTheme="minorHAnsi" w:cs="Arial"/>
          <w:color w:val="000000"/>
          <w:lang w:eastAsia="en-US"/>
        </w:rPr>
      </w:pPr>
    </w:p>
    <w:p w:rsidR="00DF2272" w:rsidRPr="00845BD2" w:rsidRDefault="00DF2272">
      <w:pPr>
        <w:rPr>
          <w:rFonts w:asciiTheme="minorHAnsi" w:hAnsiTheme="minorHAnsi"/>
          <w:b/>
          <w:sz w:val="22"/>
          <w:szCs w:val="22"/>
        </w:rPr>
      </w:pPr>
      <w:r w:rsidRPr="00845BD2">
        <w:rPr>
          <w:rFonts w:asciiTheme="minorHAnsi" w:hAnsiTheme="minorHAnsi"/>
          <w:noProof/>
        </w:rPr>
        <w:drawing>
          <wp:inline distT="0" distB="0" distL="0" distR="0" wp14:anchorId="02B64DC2" wp14:editId="26D1ADB8">
            <wp:extent cx="5943600" cy="26955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4"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695575"/>
                    </a:xfrm>
                    <a:prstGeom prst="rect">
                      <a:avLst/>
                    </a:prstGeom>
                    <a:noFill/>
                    <a:ln>
                      <a:noFill/>
                    </a:ln>
                    <a:effectLst/>
                    <a:extLst/>
                  </pic:spPr>
                </pic:pic>
              </a:graphicData>
            </a:graphic>
          </wp:inline>
        </w:drawing>
      </w:r>
      <w:r w:rsidRPr="00845BD2">
        <w:rPr>
          <w:rFonts w:asciiTheme="minorHAnsi" w:hAnsiTheme="minorHAnsi"/>
          <w:b/>
          <w:sz w:val="22"/>
          <w:szCs w:val="22"/>
        </w:rPr>
        <w:br w:type="page"/>
      </w:r>
    </w:p>
    <w:p w:rsidR="001A19DD" w:rsidRPr="00845BD2" w:rsidRDefault="001A19DD" w:rsidP="001A19DD">
      <w:pPr>
        <w:pStyle w:val="NormalWeb"/>
        <w:spacing w:before="0" w:beforeAutospacing="0" w:after="0" w:afterAutospacing="0"/>
        <w:rPr>
          <w:rFonts w:asciiTheme="minorHAnsi" w:eastAsiaTheme="minorEastAsia" w:hAnsiTheme="minorHAnsi" w:cs="Arial"/>
          <w:b/>
          <w:kern w:val="24"/>
          <w:sz w:val="40"/>
          <w:szCs w:val="40"/>
          <w:lang w:val="en-US"/>
        </w:rPr>
      </w:pPr>
      <w:r w:rsidRPr="00845BD2">
        <w:rPr>
          <w:rFonts w:asciiTheme="minorHAnsi" w:eastAsiaTheme="minorEastAsia" w:hAnsiTheme="minorHAnsi" w:cs="Arial"/>
          <w:b/>
          <w:kern w:val="24"/>
          <w:sz w:val="40"/>
          <w:szCs w:val="40"/>
          <w:lang w:val="en-US"/>
        </w:rPr>
        <w:lastRenderedPageBreak/>
        <w:t>Current performance in antibiotic prescribing</w:t>
      </w:r>
    </w:p>
    <w:p w:rsidR="001A19DD" w:rsidRPr="00845BD2" w:rsidRDefault="001A19DD" w:rsidP="001A19DD">
      <w:pPr>
        <w:pStyle w:val="NormalWeb"/>
        <w:spacing w:before="0" w:beforeAutospacing="0" w:after="0" w:afterAutospacing="0"/>
        <w:rPr>
          <w:rFonts w:asciiTheme="minorHAnsi" w:eastAsiaTheme="minorEastAsia" w:hAnsiTheme="minorHAnsi" w:cs="Arial"/>
          <w:kern w:val="24"/>
          <w:sz w:val="36"/>
          <w:szCs w:val="36"/>
          <w:lang w:val="en-US"/>
        </w:rPr>
      </w:pPr>
    </w:p>
    <w:p w:rsidR="001A19DD" w:rsidRPr="00845BD2" w:rsidRDefault="001A19DD" w:rsidP="001A19DD">
      <w:pPr>
        <w:pStyle w:val="NormalWeb"/>
        <w:spacing w:before="0" w:beforeAutospacing="0" w:after="0" w:afterAutospacing="0"/>
        <w:rPr>
          <w:rFonts w:asciiTheme="minorHAnsi" w:eastAsiaTheme="minorEastAsia" w:hAnsiTheme="minorHAnsi" w:cs="Arial"/>
          <w:b/>
          <w:kern w:val="24"/>
          <w:lang w:val="en-US"/>
        </w:rPr>
      </w:pPr>
      <w:r w:rsidRPr="00845BD2">
        <w:rPr>
          <w:rFonts w:asciiTheme="minorHAnsi" w:eastAsiaTheme="minorEastAsia" w:hAnsiTheme="minorHAnsi" w:cs="Arial"/>
          <w:b/>
          <w:kern w:val="24"/>
          <w:lang w:val="en-US"/>
        </w:rPr>
        <w:t>Volume of prescribing – items</w:t>
      </w:r>
    </w:p>
    <w:p w:rsidR="001A19DD" w:rsidRPr="00845BD2" w:rsidRDefault="001A19DD" w:rsidP="001A19DD">
      <w:pPr>
        <w:pStyle w:val="NormalWeb"/>
        <w:spacing w:before="0" w:beforeAutospacing="0" w:after="0" w:afterAutospacing="0"/>
        <w:rPr>
          <w:rFonts w:asciiTheme="minorHAnsi" w:eastAsiaTheme="minorEastAsia" w:hAnsiTheme="minorHAnsi" w:cs="Arial"/>
          <w:kern w:val="24"/>
          <w:lang w:val="en-US"/>
        </w:rPr>
      </w:pPr>
      <w:r w:rsidRPr="00845BD2">
        <w:rPr>
          <w:rFonts w:asciiTheme="minorHAnsi" w:eastAsiaTheme="minorEastAsia" w:hAnsiTheme="minorHAnsi" w:cs="Arial"/>
          <w:kern w:val="24"/>
          <w:lang w:val="en-US"/>
        </w:rPr>
        <w:t>It can be seen from the graphs below that there is a twofold difference in the number of items prescribed by practices. In addition, 50%</w:t>
      </w:r>
      <w:r w:rsidR="00510E32" w:rsidRPr="00845BD2">
        <w:rPr>
          <w:rFonts w:asciiTheme="minorHAnsi" w:eastAsiaTheme="minorEastAsia" w:hAnsiTheme="minorHAnsi" w:cs="Arial"/>
          <w:kern w:val="24"/>
          <w:lang w:val="en-US"/>
        </w:rPr>
        <w:t xml:space="preserve"> </w:t>
      </w:r>
      <w:r w:rsidRPr="00845BD2">
        <w:rPr>
          <w:rFonts w:asciiTheme="minorHAnsi" w:eastAsiaTheme="minorEastAsia" w:hAnsiTheme="minorHAnsi" w:cs="Arial"/>
          <w:kern w:val="24"/>
          <w:lang w:val="en-US"/>
        </w:rPr>
        <w:t>of practices prescribed more antibiotics than the previous year.</w:t>
      </w:r>
    </w:p>
    <w:p w:rsidR="001A19DD" w:rsidRPr="00845BD2" w:rsidRDefault="001A19DD" w:rsidP="001A19DD">
      <w:pPr>
        <w:pStyle w:val="NormalWeb"/>
        <w:spacing w:before="0" w:beforeAutospacing="0" w:after="0" w:afterAutospacing="0"/>
        <w:rPr>
          <w:rFonts w:asciiTheme="minorHAnsi" w:eastAsiaTheme="minorEastAsia" w:hAnsiTheme="minorHAnsi" w:cs="Arial"/>
          <w:kern w:val="24"/>
          <w:lang w:val="en-US"/>
        </w:rPr>
      </w:pPr>
    </w:p>
    <w:p w:rsidR="001A19DD" w:rsidRPr="00845BD2" w:rsidRDefault="001A19DD">
      <w:pPr>
        <w:rPr>
          <w:rFonts w:asciiTheme="minorHAnsi" w:hAnsiTheme="minorHAnsi"/>
          <w:b/>
          <w:sz w:val="22"/>
          <w:szCs w:val="22"/>
        </w:rPr>
      </w:pPr>
      <w:r w:rsidRPr="00845BD2">
        <w:rPr>
          <w:rFonts w:asciiTheme="minorHAnsi" w:hAnsiTheme="minorHAnsi"/>
          <w:noProof/>
        </w:rPr>
        <w:drawing>
          <wp:inline distT="0" distB="0" distL="0" distR="0" wp14:anchorId="5502460F" wp14:editId="5346929A">
            <wp:extent cx="3095625" cy="2466975"/>
            <wp:effectExtent l="0" t="0" r="9525" b="9525"/>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97923" cy="2468806"/>
                    </a:xfrm>
                    <a:prstGeom prst="rect">
                      <a:avLst/>
                    </a:prstGeom>
                    <a:noFill/>
                    <a:ln>
                      <a:noFill/>
                    </a:ln>
                    <a:effectLst/>
                    <a:extLst/>
                  </pic:spPr>
                </pic:pic>
              </a:graphicData>
            </a:graphic>
          </wp:inline>
        </w:drawing>
      </w:r>
      <w:r w:rsidRPr="00845BD2">
        <w:rPr>
          <w:rFonts w:asciiTheme="minorHAnsi" w:hAnsiTheme="minorHAnsi"/>
          <w:b/>
          <w:sz w:val="22"/>
          <w:szCs w:val="22"/>
        </w:rPr>
        <w:t xml:space="preserve"> </w:t>
      </w:r>
      <w:r w:rsidRPr="00845BD2">
        <w:rPr>
          <w:rFonts w:asciiTheme="minorHAnsi" w:hAnsiTheme="minorHAnsi"/>
          <w:noProof/>
        </w:rPr>
        <w:drawing>
          <wp:inline distT="0" distB="0" distL="0" distR="0" wp14:anchorId="55730007" wp14:editId="37D4DD77">
            <wp:extent cx="2962275" cy="2473056"/>
            <wp:effectExtent l="0" t="0" r="0" b="381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8"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2275" cy="2473056"/>
                    </a:xfrm>
                    <a:prstGeom prst="rect">
                      <a:avLst/>
                    </a:prstGeom>
                    <a:noFill/>
                    <a:ln>
                      <a:noFill/>
                    </a:ln>
                    <a:effectLst/>
                    <a:extLst/>
                  </pic:spPr>
                </pic:pic>
              </a:graphicData>
            </a:graphic>
          </wp:inline>
        </w:drawing>
      </w:r>
    </w:p>
    <w:p w:rsidR="001A19DD" w:rsidRPr="00845BD2" w:rsidRDefault="001A19DD">
      <w:pPr>
        <w:rPr>
          <w:rFonts w:asciiTheme="minorHAnsi" w:hAnsiTheme="minorHAnsi"/>
          <w:b/>
          <w:sz w:val="22"/>
          <w:szCs w:val="22"/>
        </w:rPr>
      </w:pPr>
    </w:p>
    <w:p w:rsidR="00593E55" w:rsidRPr="00845BD2" w:rsidRDefault="00593E55">
      <w:pPr>
        <w:rPr>
          <w:rFonts w:asciiTheme="minorHAnsi" w:hAnsiTheme="minorHAnsi"/>
          <w:b/>
        </w:rPr>
      </w:pPr>
      <w:r w:rsidRPr="00845BD2">
        <w:rPr>
          <w:rFonts w:asciiTheme="minorHAnsi" w:hAnsiTheme="minorHAnsi"/>
          <w:b/>
        </w:rPr>
        <w:t>QIPP indicators</w:t>
      </w:r>
    </w:p>
    <w:p w:rsidR="001A19DD" w:rsidRPr="00845BD2" w:rsidRDefault="001A19DD">
      <w:pPr>
        <w:rPr>
          <w:rFonts w:asciiTheme="minorHAnsi" w:hAnsiTheme="minorHAnsi"/>
        </w:rPr>
      </w:pPr>
      <w:r w:rsidRPr="00845BD2">
        <w:rPr>
          <w:rFonts w:asciiTheme="minorHAnsi" w:hAnsiTheme="minorHAnsi"/>
        </w:rPr>
        <w:t xml:space="preserve">An increase in the number of items prescribed might be expected in </w:t>
      </w:r>
      <w:r w:rsidR="00510E32" w:rsidRPr="00845BD2">
        <w:rPr>
          <w:rFonts w:asciiTheme="minorHAnsi" w:hAnsiTheme="minorHAnsi"/>
        </w:rPr>
        <w:t>Q3 &amp;Q4 (October to March), however 9 practices appear to be prescribing at a high level throughout the year.</w:t>
      </w:r>
    </w:p>
    <w:p w:rsidR="00510E32" w:rsidRPr="00845BD2" w:rsidRDefault="00510E32">
      <w:pPr>
        <w:rPr>
          <w:rFonts w:asciiTheme="minorHAnsi" w:hAnsiTheme="minorHAnsi"/>
          <w:sz w:val="22"/>
          <w:szCs w:val="22"/>
        </w:rPr>
      </w:pPr>
    </w:p>
    <w:p w:rsidR="001A19DD" w:rsidRPr="00845BD2" w:rsidRDefault="001A19DD">
      <w:pPr>
        <w:rPr>
          <w:rFonts w:asciiTheme="minorHAnsi" w:hAnsiTheme="minorHAnsi"/>
          <w:b/>
          <w:sz w:val="22"/>
          <w:szCs w:val="22"/>
        </w:rPr>
      </w:pPr>
      <w:bookmarkStart w:id="0" w:name="_GoBack"/>
      <w:r w:rsidRPr="00845BD2">
        <w:rPr>
          <w:rFonts w:asciiTheme="minorHAnsi" w:hAnsiTheme="minorHAnsi"/>
          <w:noProof/>
        </w:rPr>
        <w:drawing>
          <wp:inline distT="0" distB="0" distL="0" distR="0" wp14:anchorId="7C40FEA9" wp14:editId="647690D4">
            <wp:extent cx="6096000" cy="3533775"/>
            <wp:effectExtent l="0" t="0" r="0" b="9525"/>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7"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96000" cy="3533775"/>
                    </a:xfrm>
                    <a:prstGeom prst="rect">
                      <a:avLst/>
                    </a:prstGeom>
                    <a:noFill/>
                    <a:ln>
                      <a:noFill/>
                    </a:ln>
                    <a:effectLst/>
                    <a:extLst/>
                  </pic:spPr>
                </pic:pic>
              </a:graphicData>
            </a:graphic>
          </wp:inline>
        </w:drawing>
      </w:r>
      <w:bookmarkEnd w:id="0"/>
    </w:p>
    <w:p w:rsidR="001A19DD" w:rsidRPr="00845BD2" w:rsidRDefault="001A19DD">
      <w:pPr>
        <w:rPr>
          <w:rFonts w:asciiTheme="minorHAnsi" w:hAnsiTheme="minorHAnsi"/>
          <w:b/>
          <w:sz w:val="22"/>
          <w:szCs w:val="22"/>
        </w:rPr>
      </w:pPr>
    </w:p>
    <w:p w:rsidR="00510E32" w:rsidRPr="00845BD2" w:rsidRDefault="00510E32">
      <w:pPr>
        <w:rPr>
          <w:rFonts w:asciiTheme="minorHAnsi" w:hAnsiTheme="minorHAnsi"/>
          <w:b/>
          <w:sz w:val="22"/>
          <w:szCs w:val="22"/>
        </w:rPr>
      </w:pPr>
    </w:p>
    <w:p w:rsidR="00845BD2" w:rsidRDefault="00845BD2">
      <w:pPr>
        <w:rPr>
          <w:rFonts w:asciiTheme="minorHAnsi" w:hAnsiTheme="minorHAnsi"/>
          <w:b/>
        </w:rPr>
      </w:pPr>
      <w:r>
        <w:rPr>
          <w:rFonts w:asciiTheme="minorHAnsi" w:hAnsiTheme="minorHAnsi"/>
          <w:b/>
        </w:rPr>
        <w:br w:type="page"/>
      </w:r>
    </w:p>
    <w:p w:rsidR="001A19DD" w:rsidRPr="00845BD2" w:rsidRDefault="00510E32">
      <w:pPr>
        <w:rPr>
          <w:rFonts w:asciiTheme="minorHAnsi" w:hAnsiTheme="minorHAnsi"/>
          <w:b/>
        </w:rPr>
      </w:pPr>
      <w:r w:rsidRPr="00845BD2">
        <w:rPr>
          <w:rFonts w:asciiTheme="minorHAnsi" w:hAnsiTheme="minorHAnsi"/>
          <w:b/>
        </w:rPr>
        <w:lastRenderedPageBreak/>
        <w:t>High risk antibiotic prescribing</w:t>
      </w:r>
    </w:p>
    <w:p w:rsidR="00510E32" w:rsidRPr="00845BD2" w:rsidRDefault="00510E32" w:rsidP="00510E32">
      <w:pPr>
        <w:pStyle w:val="NormalWeb"/>
        <w:spacing w:before="0" w:beforeAutospacing="0" w:after="0" w:afterAutospacing="0"/>
        <w:rPr>
          <w:rFonts w:asciiTheme="minorHAnsi" w:eastAsiaTheme="minorEastAsia" w:hAnsiTheme="minorHAnsi" w:cs="Arial"/>
          <w:kern w:val="24"/>
          <w:lang w:val="en-US"/>
        </w:rPr>
      </w:pPr>
      <w:r w:rsidRPr="00845BD2">
        <w:rPr>
          <w:rFonts w:asciiTheme="minorHAnsi" w:hAnsiTheme="minorHAnsi"/>
        </w:rPr>
        <w:t>There is an eight fold difference in the prescribing of high risk antibiotics.</w:t>
      </w:r>
      <w:r w:rsidRPr="00845BD2">
        <w:rPr>
          <w:rFonts w:asciiTheme="minorHAnsi" w:eastAsiaTheme="minorEastAsia" w:hAnsiTheme="minorHAnsi" w:cs="Arial"/>
          <w:kern w:val="24"/>
          <w:lang w:val="en-US"/>
        </w:rPr>
        <w:t xml:space="preserve"> Again, 50% of practices prescribed more high risk antibiotics than the previous year.</w:t>
      </w:r>
    </w:p>
    <w:p w:rsidR="00510E32" w:rsidRPr="00845BD2" w:rsidRDefault="00510E32">
      <w:pPr>
        <w:rPr>
          <w:rFonts w:asciiTheme="minorHAnsi" w:hAnsiTheme="minorHAnsi"/>
        </w:rPr>
      </w:pPr>
    </w:p>
    <w:p w:rsidR="00510E32" w:rsidRPr="00845BD2" w:rsidRDefault="00510E32">
      <w:pPr>
        <w:rPr>
          <w:rFonts w:asciiTheme="minorHAnsi" w:hAnsiTheme="minorHAnsi"/>
        </w:rPr>
      </w:pPr>
    </w:p>
    <w:p w:rsidR="001A19DD" w:rsidRPr="00845BD2" w:rsidRDefault="001A19DD">
      <w:pPr>
        <w:rPr>
          <w:rFonts w:asciiTheme="minorHAnsi" w:hAnsiTheme="minorHAnsi"/>
          <w:b/>
          <w:sz w:val="22"/>
          <w:szCs w:val="22"/>
        </w:rPr>
      </w:pPr>
      <w:r w:rsidRPr="00845BD2">
        <w:rPr>
          <w:rFonts w:asciiTheme="minorHAnsi" w:hAnsiTheme="minorHAnsi"/>
          <w:b/>
          <w:noProof/>
        </w:rPr>
        <w:drawing>
          <wp:inline distT="0" distB="0" distL="0" distR="0" wp14:anchorId="339F0363" wp14:editId="7651B5CB">
            <wp:extent cx="2876550" cy="2157513"/>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77083" cy="2157913"/>
                    </a:xfrm>
                    <a:prstGeom prst="rect">
                      <a:avLst/>
                    </a:prstGeom>
                    <a:noFill/>
                  </pic:spPr>
                </pic:pic>
              </a:graphicData>
            </a:graphic>
          </wp:inline>
        </w:drawing>
      </w:r>
      <w:r w:rsidRPr="00845BD2">
        <w:rPr>
          <w:rFonts w:asciiTheme="minorHAnsi" w:hAnsiTheme="minorHAnsi"/>
          <w:b/>
          <w:sz w:val="22"/>
          <w:szCs w:val="22"/>
        </w:rPr>
        <w:t xml:space="preserve">   </w:t>
      </w:r>
      <w:r w:rsidRPr="00845BD2">
        <w:rPr>
          <w:rFonts w:asciiTheme="minorHAnsi" w:eastAsiaTheme="minorEastAsia" w:hAnsiTheme="minorHAnsi" w:cs="Arial"/>
          <w:noProof/>
          <w:color w:val="3A3A3A"/>
          <w:kern w:val="24"/>
        </w:rPr>
        <w:drawing>
          <wp:inline distT="0" distB="0" distL="0" distR="0" wp14:anchorId="37B81BDE" wp14:editId="2D11D583">
            <wp:extent cx="2666877" cy="2000250"/>
            <wp:effectExtent l="0" t="0" r="63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67371" cy="2000621"/>
                    </a:xfrm>
                    <a:prstGeom prst="rect">
                      <a:avLst/>
                    </a:prstGeom>
                    <a:noFill/>
                  </pic:spPr>
                </pic:pic>
              </a:graphicData>
            </a:graphic>
          </wp:inline>
        </w:drawing>
      </w:r>
    </w:p>
    <w:p w:rsidR="001A19DD" w:rsidRPr="00845BD2" w:rsidRDefault="001A19DD">
      <w:pPr>
        <w:rPr>
          <w:rFonts w:asciiTheme="minorHAnsi" w:hAnsiTheme="minorHAnsi"/>
          <w:b/>
          <w:sz w:val="22"/>
          <w:szCs w:val="22"/>
        </w:rPr>
      </w:pPr>
    </w:p>
    <w:p w:rsidR="00593E55" w:rsidRPr="00845BD2" w:rsidRDefault="00593E55">
      <w:pPr>
        <w:rPr>
          <w:rFonts w:asciiTheme="minorHAnsi" w:hAnsiTheme="minorHAnsi"/>
          <w:b/>
          <w:sz w:val="22"/>
          <w:szCs w:val="22"/>
        </w:rPr>
      </w:pPr>
      <w:r w:rsidRPr="00845BD2">
        <w:rPr>
          <w:rFonts w:asciiTheme="minorHAnsi" w:hAnsiTheme="minorHAnsi"/>
          <w:b/>
          <w:sz w:val="22"/>
          <w:szCs w:val="22"/>
        </w:rPr>
        <w:t>QIPP indicators</w:t>
      </w:r>
    </w:p>
    <w:p w:rsidR="001A19DD" w:rsidRPr="00845BD2" w:rsidRDefault="00F92E08">
      <w:pPr>
        <w:rPr>
          <w:rFonts w:asciiTheme="minorHAnsi" w:hAnsiTheme="minorHAnsi"/>
          <w:sz w:val="22"/>
          <w:szCs w:val="22"/>
        </w:rPr>
      </w:pPr>
      <w:r>
        <w:rPr>
          <w:rFonts w:asciiTheme="minorHAnsi" w:hAnsiTheme="minorHAnsi"/>
          <w:sz w:val="22"/>
          <w:szCs w:val="22"/>
        </w:rPr>
        <w:t xml:space="preserve">Some </w:t>
      </w:r>
      <w:proofErr w:type="gramStart"/>
      <w:r>
        <w:rPr>
          <w:rFonts w:asciiTheme="minorHAnsi" w:hAnsiTheme="minorHAnsi"/>
          <w:sz w:val="22"/>
          <w:szCs w:val="22"/>
        </w:rPr>
        <w:t>practice have</w:t>
      </w:r>
      <w:proofErr w:type="gramEnd"/>
      <w:r>
        <w:rPr>
          <w:rFonts w:asciiTheme="minorHAnsi" w:hAnsiTheme="minorHAnsi"/>
          <w:sz w:val="22"/>
          <w:szCs w:val="22"/>
        </w:rPr>
        <w:t xml:space="preserve"> shown a </w:t>
      </w:r>
      <w:r w:rsidR="00C27448" w:rsidRPr="00845BD2">
        <w:rPr>
          <w:rFonts w:asciiTheme="minorHAnsi" w:hAnsiTheme="minorHAnsi"/>
          <w:sz w:val="22"/>
          <w:szCs w:val="22"/>
        </w:rPr>
        <w:t>steady</w:t>
      </w:r>
      <w:r w:rsidR="00510E32" w:rsidRPr="00845BD2">
        <w:rPr>
          <w:rFonts w:asciiTheme="minorHAnsi" w:hAnsiTheme="minorHAnsi"/>
          <w:sz w:val="22"/>
          <w:szCs w:val="22"/>
        </w:rPr>
        <w:t xml:space="preserve"> reduction in the use of high risk antibiotics, the momentum of which needs to continue.</w:t>
      </w:r>
    </w:p>
    <w:p w:rsidR="00510E32" w:rsidRPr="00845BD2" w:rsidRDefault="00510E32">
      <w:pPr>
        <w:rPr>
          <w:rFonts w:asciiTheme="minorHAnsi" w:hAnsiTheme="minorHAnsi"/>
          <w:b/>
          <w:sz w:val="22"/>
          <w:szCs w:val="22"/>
        </w:rPr>
      </w:pPr>
    </w:p>
    <w:p w:rsidR="0007590A" w:rsidRPr="00845BD2" w:rsidRDefault="001A19DD">
      <w:pPr>
        <w:rPr>
          <w:rFonts w:asciiTheme="minorHAnsi" w:hAnsiTheme="minorHAnsi"/>
          <w:b/>
          <w:sz w:val="22"/>
          <w:szCs w:val="22"/>
        </w:rPr>
      </w:pPr>
      <w:r w:rsidRPr="00845BD2">
        <w:rPr>
          <w:rFonts w:asciiTheme="minorHAnsi" w:hAnsiTheme="minorHAnsi"/>
          <w:noProof/>
        </w:rPr>
        <w:drawing>
          <wp:inline distT="0" distB="0" distL="0" distR="0" wp14:anchorId="2038CF78" wp14:editId="3E7BF002">
            <wp:extent cx="5943600" cy="3657600"/>
            <wp:effectExtent l="0" t="0" r="0" b="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3657600"/>
                    </a:xfrm>
                    <a:prstGeom prst="rect">
                      <a:avLst/>
                    </a:prstGeom>
                    <a:noFill/>
                    <a:ln>
                      <a:noFill/>
                    </a:ln>
                    <a:effectLst/>
                    <a:extLst/>
                  </pic:spPr>
                </pic:pic>
              </a:graphicData>
            </a:graphic>
          </wp:inline>
        </w:drawing>
      </w:r>
      <w:r w:rsidR="0007590A" w:rsidRPr="00845BD2">
        <w:rPr>
          <w:rFonts w:asciiTheme="minorHAnsi" w:hAnsiTheme="minorHAnsi"/>
          <w:b/>
          <w:sz w:val="22"/>
          <w:szCs w:val="22"/>
        </w:rPr>
        <w:br w:type="page"/>
      </w:r>
    </w:p>
    <w:p w:rsidR="00DE337A" w:rsidRPr="00845BD2" w:rsidRDefault="00DE337A" w:rsidP="009D567F">
      <w:pPr>
        <w:spacing w:line="276" w:lineRule="auto"/>
        <w:jc w:val="both"/>
        <w:rPr>
          <w:rFonts w:asciiTheme="minorHAnsi" w:hAnsiTheme="minorHAnsi"/>
          <w:b/>
          <w:sz w:val="40"/>
          <w:szCs w:val="40"/>
        </w:rPr>
      </w:pPr>
      <w:r w:rsidRPr="00845BD2">
        <w:rPr>
          <w:rFonts w:asciiTheme="minorHAnsi" w:hAnsiTheme="minorHAnsi"/>
          <w:b/>
          <w:sz w:val="40"/>
          <w:szCs w:val="40"/>
        </w:rPr>
        <w:lastRenderedPageBreak/>
        <w:t>Audit design</w:t>
      </w:r>
    </w:p>
    <w:p w:rsidR="0007590A" w:rsidRPr="00845BD2" w:rsidRDefault="00DE337A" w:rsidP="009D567F">
      <w:pPr>
        <w:spacing w:line="276" w:lineRule="auto"/>
        <w:jc w:val="both"/>
        <w:rPr>
          <w:rFonts w:asciiTheme="minorHAnsi" w:hAnsiTheme="minorHAnsi"/>
        </w:rPr>
      </w:pPr>
      <w:r w:rsidRPr="00845BD2">
        <w:rPr>
          <w:rFonts w:asciiTheme="minorHAnsi" w:hAnsiTheme="minorHAnsi"/>
        </w:rPr>
        <w:t>The audit was based on work done by the All Wales Strategy Group</w:t>
      </w:r>
      <w:r w:rsidR="002533AE" w:rsidRPr="00845BD2">
        <w:rPr>
          <w:rFonts w:asciiTheme="minorHAnsi" w:hAnsiTheme="minorHAnsi"/>
        </w:rPr>
        <w:t>₆</w:t>
      </w:r>
      <w:r w:rsidR="0007590A" w:rsidRPr="00845BD2">
        <w:rPr>
          <w:rFonts w:asciiTheme="minorHAnsi" w:hAnsiTheme="minorHAnsi"/>
        </w:rPr>
        <w:t>, identifying prescribing in the past 12 months of:</w:t>
      </w:r>
    </w:p>
    <w:p w:rsidR="0007590A" w:rsidRPr="00845BD2" w:rsidRDefault="0007590A" w:rsidP="0007590A">
      <w:pPr>
        <w:pStyle w:val="ListParagraph"/>
        <w:numPr>
          <w:ilvl w:val="0"/>
          <w:numId w:val="3"/>
        </w:numPr>
        <w:spacing w:line="276" w:lineRule="auto"/>
        <w:jc w:val="both"/>
        <w:rPr>
          <w:rFonts w:asciiTheme="minorHAnsi" w:hAnsiTheme="minorHAnsi"/>
        </w:rPr>
      </w:pPr>
      <w:r w:rsidRPr="00845BD2">
        <w:rPr>
          <w:rFonts w:asciiTheme="minorHAnsi" w:hAnsiTheme="minorHAnsi"/>
        </w:rPr>
        <w:t>broad-spectrum anti</w:t>
      </w:r>
      <w:r w:rsidR="00BC667B" w:rsidRPr="00845BD2">
        <w:rPr>
          <w:rFonts w:asciiTheme="minorHAnsi" w:hAnsiTheme="minorHAnsi"/>
        </w:rPr>
        <w:t xml:space="preserve">biotics such as quinolones, </w:t>
      </w:r>
      <w:proofErr w:type="spellStart"/>
      <w:r w:rsidR="00BC667B" w:rsidRPr="00845BD2">
        <w:rPr>
          <w:rFonts w:asciiTheme="minorHAnsi" w:hAnsiTheme="minorHAnsi"/>
        </w:rPr>
        <w:t>cef</w:t>
      </w:r>
      <w:r w:rsidRPr="00845BD2">
        <w:rPr>
          <w:rFonts w:asciiTheme="minorHAnsi" w:hAnsiTheme="minorHAnsi"/>
        </w:rPr>
        <w:t>alosporins</w:t>
      </w:r>
      <w:proofErr w:type="spellEnd"/>
      <w:r w:rsidRPr="00845BD2">
        <w:rPr>
          <w:rFonts w:asciiTheme="minorHAnsi" w:hAnsiTheme="minorHAnsi"/>
        </w:rPr>
        <w:t xml:space="preserve"> and co-amoxiclav </w:t>
      </w:r>
    </w:p>
    <w:p w:rsidR="0007590A" w:rsidRPr="00845BD2" w:rsidRDefault="0007590A" w:rsidP="0007590A">
      <w:pPr>
        <w:pStyle w:val="ListParagraph"/>
        <w:numPr>
          <w:ilvl w:val="0"/>
          <w:numId w:val="3"/>
        </w:numPr>
        <w:spacing w:line="276" w:lineRule="auto"/>
        <w:jc w:val="both"/>
        <w:rPr>
          <w:rFonts w:asciiTheme="minorHAnsi" w:hAnsiTheme="minorHAnsi"/>
        </w:rPr>
      </w:pPr>
      <w:r w:rsidRPr="00845BD2">
        <w:rPr>
          <w:rFonts w:asciiTheme="minorHAnsi" w:hAnsiTheme="minorHAnsi"/>
        </w:rPr>
        <w:t xml:space="preserve">topical antibiotics </w:t>
      </w:r>
    </w:p>
    <w:p w:rsidR="00DE337A" w:rsidRPr="00845BD2" w:rsidRDefault="0007590A" w:rsidP="0007590A">
      <w:pPr>
        <w:pStyle w:val="ListParagraph"/>
        <w:numPr>
          <w:ilvl w:val="0"/>
          <w:numId w:val="3"/>
        </w:numPr>
        <w:spacing w:line="276" w:lineRule="auto"/>
        <w:jc w:val="both"/>
        <w:rPr>
          <w:rFonts w:asciiTheme="minorHAnsi" w:hAnsiTheme="minorHAnsi"/>
        </w:rPr>
      </w:pPr>
      <w:r w:rsidRPr="00845BD2">
        <w:rPr>
          <w:rFonts w:asciiTheme="minorHAnsi" w:hAnsiTheme="minorHAnsi"/>
        </w:rPr>
        <w:t>the number of people prescribed &gt;5 courses of broad spectrum</w:t>
      </w:r>
      <w:r w:rsidR="00AD0FCE" w:rsidRPr="00845BD2">
        <w:rPr>
          <w:rFonts w:asciiTheme="minorHAnsi" w:hAnsiTheme="minorHAnsi"/>
        </w:rPr>
        <w:t>/high risk</w:t>
      </w:r>
      <w:r w:rsidRPr="00845BD2">
        <w:rPr>
          <w:rFonts w:asciiTheme="minorHAnsi" w:hAnsiTheme="minorHAnsi"/>
        </w:rPr>
        <w:t xml:space="preserve"> antibiotics</w:t>
      </w:r>
    </w:p>
    <w:p w:rsidR="0007590A" w:rsidRPr="00845BD2" w:rsidRDefault="0007590A" w:rsidP="0007590A">
      <w:pPr>
        <w:pStyle w:val="ListParagraph"/>
        <w:spacing w:line="276" w:lineRule="auto"/>
        <w:jc w:val="both"/>
        <w:rPr>
          <w:rFonts w:asciiTheme="minorHAnsi" w:hAnsiTheme="minorHAnsi"/>
        </w:rPr>
      </w:pPr>
    </w:p>
    <w:p w:rsidR="00557A46" w:rsidRPr="00845BD2" w:rsidRDefault="00557A46" w:rsidP="00557A46">
      <w:pPr>
        <w:rPr>
          <w:rFonts w:asciiTheme="minorHAnsi" w:hAnsiTheme="minorHAnsi"/>
          <w:b/>
          <w:sz w:val="40"/>
          <w:szCs w:val="40"/>
        </w:rPr>
      </w:pPr>
      <w:r w:rsidRPr="00845BD2">
        <w:rPr>
          <w:rFonts w:asciiTheme="minorHAnsi" w:hAnsiTheme="minorHAnsi"/>
          <w:b/>
          <w:sz w:val="40"/>
          <w:szCs w:val="40"/>
        </w:rPr>
        <w:t>Audit question</w:t>
      </w:r>
    </w:p>
    <w:p w:rsidR="00557A46" w:rsidRPr="00845BD2" w:rsidRDefault="00557A46" w:rsidP="00557A46">
      <w:pPr>
        <w:rPr>
          <w:rFonts w:asciiTheme="minorHAnsi" w:hAnsiTheme="minorHAnsi"/>
          <w:b/>
        </w:rPr>
      </w:pPr>
      <w:r w:rsidRPr="00845BD2">
        <w:rPr>
          <w:rFonts w:asciiTheme="minorHAnsi" w:hAnsiTheme="minorHAnsi"/>
          <w:b/>
        </w:rPr>
        <w:t>What is the quality of the prescribing of high risk antibiotics across GP practices?</w:t>
      </w:r>
    </w:p>
    <w:p w:rsidR="00557A46" w:rsidRPr="00845BD2" w:rsidRDefault="00557A46" w:rsidP="00557A46">
      <w:pPr>
        <w:rPr>
          <w:rFonts w:asciiTheme="minorHAnsi" w:hAnsiTheme="minorHAnsi"/>
          <w:b/>
        </w:rPr>
      </w:pPr>
    </w:p>
    <w:p w:rsidR="0007590A" w:rsidRPr="00845BD2" w:rsidRDefault="0007590A" w:rsidP="0007590A">
      <w:pPr>
        <w:pStyle w:val="ListParagraph"/>
        <w:spacing w:line="276" w:lineRule="auto"/>
        <w:ind w:left="0"/>
        <w:jc w:val="both"/>
        <w:rPr>
          <w:rFonts w:asciiTheme="minorHAnsi" w:hAnsiTheme="minorHAnsi"/>
          <w:b/>
        </w:rPr>
      </w:pPr>
      <w:r w:rsidRPr="00845BD2">
        <w:rPr>
          <w:rFonts w:asciiTheme="minorHAnsi" w:hAnsiTheme="minorHAnsi"/>
          <w:b/>
        </w:rPr>
        <w:t>Standards</w:t>
      </w:r>
    </w:p>
    <w:p w:rsidR="00352336" w:rsidRPr="00845BD2" w:rsidRDefault="00352336" w:rsidP="0007590A">
      <w:pPr>
        <w:pStyle w:val="ListParagraph"/>
        <w:spacing w:line="276" w:lineRule="auto"/>
        <w:ind w:left="0"/>
        <w:jc w:val="both"/>
        <w:rPr>
          <w:rFonts w:asciiTheme="minorHAnsi" w:hAnsiTheme="minorHAnsi"/>
        </w:rPr>
      </w:pPr>
      <w:r w:rsidRPr="00845BD2">
        <w:rPr>
          <w:rFonts w:asciiTheme="minorHAnsi" w:hAnsiTheme="minorHAnsi"/>
        </w:rPr>
        <w:t>The sta</w:t>
      </w:r>
      <w:r w:rsidR="00D11645" w:rsidRPr="00845BD2">
        <w:rPr>
          <w:rFonts w:asciiTheme="minorHAnsi" w:hAnsiTheme="minorHAnsi"/>
        </w:rPr>
        <w:t xml:space="preserve">ndards were difficult to set due to </w:t>
      </w:r>
      <w:r w:rsidR="00557A46" w:rsidRPr="00845BD2">
        <w:rPr>
          <w:rFonts w:asciiTheme="minorHAnsi" w:hAnsiTheme="minorHAnsi"/>
        </w:rPr>
        <w:t xml:space="preserve">prescribing for </w:t>
      </w:r>
      <w:r w:rsidR="00D11645" w:rsidRPr="00845BD2">
        <w:rPr>
          <w:rFonts w:asciiTheme="minorHAnsi" w:hAnsiTheme="minorHAnsi"/>
        </w:rPr>
        <w:t xml:space="preserve">several conditions regularly seen in primary care, but which are not on </w:t>
      </w:r>
      <w:r w:rsidR="00557A46" w:rsidRPr="00845BD2">
        <w:rPr>
          <w:rFonts w:asciiTheme="minorHAnsi" w:hAnsiTheme="minorHAnsi"/>
        </w:rPr>
        <w:t xml:space="preserve">the </w:t>
      </w:r>
      <w:r w:rsidR="00D11645" w:rsidRPr="00845BD2">
        <w:rPr>
          <w:rFonts w:asciiTheme="minorHAnsi" w:hAnsiTheme="minorHAnsi"/>
        </w:rPr>
        <w:t>formulary. Since these are the accepted treatment for that condition, e.g. diverticulitis, a low standard was set. The results</w:t>
      </w:r>
      <w:r w:rsidR="00C81BE7" w:rsidRPr="00845BD2">
        <w:rPr>
          <w:rFonts w:asciiTheme="minorHAnsi" w:hAnsiTheme="minorHAnsi"/>
        </w:rPr>
        <w:t xml:space="preserve"> will try to show if this was a</w:t>
      </w:r>
      <w:r w:rsidR="00D11645" w:rsidRPr="00845BD2">
        <w:rPr>
          <w:rFonts w:asciiTheme="minorHAnsi" w:hAnsiTheme="minorHAnsi"/>
        </w:rPr>
        <w:t xml:space="preserve"> reasonable standard. The outcomes of the audit may indicate that wider discussion regarding appropriate prescribing is needed.</w:t>
      </w:r>
    </w:p>
    <w:p w:rsidR="00D11645" w:rsidRPr="00845BD2" w:rsidRDefault="00D11645" w:rsidP="0007590A">
      <w:pPr>
        <w:pStyle w:val="ListParagraph"/>
        <w:spacing w:line="276" w:lineRule="auto"/>
        <w:ind w:left="0"/>
        <w:jc w:val="both"/>
        <w:rPr>
          <w:rFonts w:asciiTheme="minorHAnsi" w:hAnsiTheme="minorHAnsi"/>
        </w:rPr>
      </w:pPr>
    </w:p>
    <w:tbl>
      <w:tblPr>
        <w:tblStyle w:val="TableGrid"/>
        <w:tblW w:w="0" w:type="auto"/>
        <w:tblLook w:val="04A0" w:firstRow="1" w:lastRow="0" w:firstColumn="1" w:lastColumn="0" w:noHBand="0" w:noVBand="1"/>
      </w:tblPr>
      <w:tblGrid>
        <w:gridCol w:w="7763"/>
        <w:gridCol w:w="2126"/>
      </w:tblGrid>
      <w:tr w:rsidR="00DB5DDB" w:rsidRPr="00845BD2" w:rsidTr="00352336">
        <w:tc>
          <w:tcPr>
            <w:tcW w:w="7763" w:type="dxa"/>
          </w:tcPr>
          <w:p w:rsidR="00DB5DDB" w:rsidRPr="00845BD2" w:rsidRDefault="00DB5DDB" w:rsidP="0007590A">
            <w:pPr>
              <w:pStyle w:val="ListParagraph"/>
              <w:spacing w:line="276" w:lineRule="auto"/>
              <w:ind w:left="0"/>
              <w:jc w:val="both"/>
              <w:rPr>
                <w:rFonts w:asciiTheme="minorHAnsi" w:hAnsiTheme="minorHAnsi"/>
                <w:b/>
              </w:rPr>
            </w:pPr>
            <w:r w:rsidRPr="00845BD2">
              <w:rPr>
                <w:rFonts w:asciiTheme="minorHAnsi" w:hAnsiTheme="minorHAnsi"/>
                <w:b/>
              </w:rPr>
              <w:t>Standard</w:t>
            </w:r>
          </w:p>
        </w:tc>
        <w:tc>
          <w:tcPr>
            <w:tcW w:w="2126" w:type="dxa"/>
          </w:tcPr>
          <w:p w:rsidR="00DB5DDB" w:rsidRPr="00845BD2" w:rsidRDefault="001C50B1" w:rsidP="00352336">
            <w:pPr>
              <w:pStyle w:val="ListParagraph"/>
              <w:spacing w:line="276" w:lineRule="auto"/>
              <w:ind w:left="0"/>
              <w:jc w:val="center"/>
              <w:rPr>
                <w:rFonts w:asciiTheme="minorHAnsi" w:hAnsiTheme="minorHAnsi"/>
                <w:b/>
              </w:rPr>
            </w:pPr>
            <w:r w:rsidRPr="00845BD2">
              <w:rPr>
                <w:rFonts w:asciiTheme="minorHAnsi" w:hAnsiTheme="minorHAnsi"/>
                <w:b/>
              </w:rPr>
              <w:t>Target</w:t>
            </w:r>
          </w:p>
        </w:tc>
      </w:tr>
      <w:tr w:rsidR="00957C26" w:rsidRPr="00845BD2" w:rsidTr="00352336">
        <w:tc>
          <w:tcPr>
            <w:tcW w:w="7763" w:type="dxa"/>
          </w:tcPr>
          <w:p w:rsidR="00957C26" w:rsidRPr="00845BD2" w:rsidRDefault="00957C26" w:rsidP="001C50B1">
            <w:pPr>
              <w:pStyle w:val="ListParagraph"/>
              <w:spacing w:line="276" w:lineRule="auto"/>
              <w:ind w:left="0"/>
              <w:jc w:val="both"/>
              <w:rPr>
                <w:rFonts w:asciiTheme="minorHAnsi" w:hAnsiTheme="minorHAnsi"/>
              </w:rPr>
            </w:pPr>
            <w:r w:rsidRPr="00845BD2">
              <w:rPr>
                <w:rFonts w:asciiTheme="minorHAnsi" w:hAnsiTheme="minorHAnsi"/>
              </w:rPr>
              <w:t>Part 1 – the prescribing of high risk antibiotics is below the 25</w:t>
            </w:r>
            <w:r w:rsidRPr="00845BD2">
              <w:rPr>
                <w:rFonts w:asciiTheme="minorHAnsi" w:hAnsiTheme="minorHAnsi"/>
                <w:vertAlign w:val="superscript"/>
              </w:rPr>
              <w:t>th</w:t>
            </w:r>
            <w:r w:rsidRPr="00845BD2">
              <w:rPr>
                <w:rFonts w:asciiTheme="minorHAnsi" w:hAnsiTheme="minorHAnsi"/>
              </w:rPr>
              <w:t xml:space="preserve"> national centile (Q2)</w:t>
            </w:r>
          </w:p>
        </w:tc>
        <w:tc>
          <w:tcPr>
            <w:tcW w:w="2126" w:type="dxa"/>
          </w:tcPr>
          <w:p w:rsidR="00957C26" w:rsidRPr="00845BD2" w:rsidRDefault="00957C26" w:rsidP="00352336">
            <w:pPr>
              <w:pStyle w:val="ListParagraph"/>
              <w:spacing w:line="276" w:lineRule="auto"/>
              <w:ind w:left="0"/>
              <w:jc w:val="center"/>
              <w:rPr>
                <w:rFonts w:asciiTheme="minorHAnsi" w:hAnsiTheme="minorHAnsi"/>
              </w:rPr>
            </w:pPr>
            <w:r w:rsidRPr="00845BD2">
              <w:rPr>
                <w:rFonts w:asciiTheme="minorHAnsi" w:hAnsiTheme="minorHAnsi"/>
              </w:rPr>
              <w:t>Below 4.74%</w:t>
            </w:r>
          </w:p>
        </w:tc>
      </w:tr>
      <w:tr w:rsidR="00DB5DDB" w:rsidRPr="00845BD2" w:rsidTr="00352336">
        <w:tc>
          <w:tcPr>
            <w:tcW w:w="7763" w:type="dxa"/>
          </w:tcPr>
          <w:p w:rsidR="00DB5DDB" w:rsidRPr="00845BD2" w:rsidRDefault="00DB5DDB" w:rsidP="001C50B1">
            <w:pPr>
              <w:pStyle w:val="ListParagraph"/>
              <w:spacing w:line="276" w:lineRule="auto"/>
              <w:ind w:left="0"/>
              <w:jc w:val="both"/>
              <w:rPr>
                <w:rFonts w:asciiTheme="minorHAnsi" w:hAnsiTheme="minorHAnsi"/>
              </w:rPr>
            </w:pPr>
            <w:r w:rsidRPr="00845BD2">
              <w:rPr>
                <w:rFonts w:asciiTheme="minorHAnsi" w:hAnsiTheme="minorHAnsi"/>
              </w:rPr>
              <w:t>P</w:t>
            </w:r>
            <w:r w:rsidR="00C26E11" w:rsidRPr="00845BD2">
              <w:rPr>
                <w:rFonts w:asciiTheme="minorHAnsi" w:hAnsiTheme="minorHAnsi"/>
              </w:rPr>
              <w:t>at 1 – the p</w:t>
            </w:r>
            <w:r w:rsidRPr="00845BD2">
              <w:rPr>
                <w:rFonts w:asciiTheme="minorHAnsi" w:hAnsiTheme="minorHAnsi"/>
              </w:rPr>
              <w:t xml:space="preserve">rescribing of </w:t>
            </w:r>
            <w:r w:rsidR="001C50B1" w:rsidRPr="00845BD2">
              <w:rPr>
                <w:rFonts w:asciiTheme="minorHAnsi" w:hAnsiTheme="minorHAnsi"/>
              </w:rPr>
              <w:t>topical antibiotics</w:t>
            </w:r>
            <w:r w:rsidR="008900A9" w:rsidRPr="00845BD2">
              <w:rPr>
                <w:rFonts w:asciiTheme="minorHAnsi" w:hAnsiTheme="minorHAnsi"/>
              </w:rPr>
              <w:t xml:space="preserve"> </w:t>
            </w:r>
            <w:r w:rsidR="00D11645" w:rsidRPr="00845BD2">
              <w:rPr>
                <w:rFonts w:asciiTheme="minorHAnsi" w:hAnsiTheme="minorHAnsi"/>
              </w:rPr>
              <w:t xml:space="preserve">is not carried out unless </w:t>
            </w:r>
            <w:r w:rsidR="008900A9" w:rsidRPr="00845BD2">
              <w:rPr>
                <w:rFonts w:asciiTheme="minorHAnsi" w:hAnsiTheme="minorHAnsi"/>
              </w:rPr>
              <w:t xml:space="preserve">for </w:t>
            </w:r>
            <w:r w:rsidR="002E7550" w:rsidRPr="00845BD2">
              <w:rPr>
                <w:rFonts w:asciiTheme="minorHAnsi" w:hAnsiTheme="minorHAnsi"/>
              </w:rPr>
              <w:t xml:space="preserve">accepted </w:t>
            </w:r>
            <w:r w:rsidR="008900A9" w:rsidRPr="00845BD2">
              <w:rPr>
                <w:rFonts w:asciiTheme="minorHAnsi" w:hAnsiTheme="minorHAnsi"/>
              </w:rPr>
              <w:t>conditions not in formulary or at the request of dermatologists</w:t>
            </w:r>
          </w:p>
        </w:tc>
        <w:tc>
          <w:tcPr>
            <w:tcW w:w="2126" w:type="dxa"/>
          </w:tcPr>
          <w:p w:rsidR="00DB5DDB" w:rsidRPr="00845BD2" w:rsidRDefault="00DB5DDB" w:rsidP="00352336">
            <w:pPr>
              <w:pStyle w:val="ListParagraph"/>
              <w:spacing w:line="276" w:lineRule="auto"/>
              <w:ind w:left="0"/>
              <w:jc w:val="center"/>
              <w:rPr>
                <w:rFonts w:asciiTheme="minorHAnsi" w:hAnsiTheme="minorHAnsi"/>
              </w:rPr>
            </w:pPr>
            <w:r w:rsidRPr="00845BD2">
              <w:rPr>
                <w:rFonts w:asciiTheme="minorHAnsi" w:hAnsiTheme="minorHAnsi"/>
              </w:rPr>
              <w:t>0</w:t>
            </w:r>
            <w:r w:rsidR="001C50B1" w:rsidRPr="00845BD2">
              <w:rPr>
                <w:rFonts w:asciiTheme="minorHAnsi" w:hAnsiTheme="minorHAnsi"/>
              </w:rPr>
              <w:t xml:space="preserve"> patients</w:t>
            </w:r>
          </w:p>
        </w:tc>
      </w:tr>
      <w:tr w:rsidR="00D11645" w:rsidRPr="00845BD2" w:rsidTr="00352336">
        <w:tc>
          <w:tcPr>
            <w:tcW w:w="7763" w:type="dxa"/>
          </w:tcPr>
          <w:p w:rsidR="00D11645" w:rsidRPr="00845BD2" w:rsidRDefault="00C26E11" w:rsidP="001C50B1">
            <w:pPr>
              <w:pStyle w:val="ListParagraph"/>
              <w:spacing w:line="276" w:lineRule="auto"/>
              <w:ind w:left="0"/>
              <w:jc w:val="both"/>
              <w:rPr>
                <w:rFonts w:asciiTheme="minorHAnsi" w:hAnsiTheme="minorHAnsi"/>
              </w:rPr>
            </w:pPr>
            <w:r w:rsidRPr="00845BD2">
              <w:rPr>
                <w:rFonts w:asciiTheme="minorHAnsi" w:hAnsiTheme="minorHAnsi"/>
              </w:rPr>
              <w:t>Part 1 - t</w:t>
            </w:r>
            <w:r w:rsidR="00D11645" w:rsidRPr="00845BD2">
              <w:rPr>
                <w:rFonts w:asciiTheme="minorHAnsi" w:hAnsiTheme="minorHAnsi"/>
              </w:rPr>
              <w:t>here is minimal prescribing of high risk anti</w:t>
            </w:r>
            <w:r w:rsidR="00694D65" w:rsidRPr="00845BD2">
              <w:rPr>
                <w:rFonts w:asciiTheme="minorHAnsi" w:hAnsiTheme="minorHAnsi"/>
              </w:rPr>
              <w:t>biotics for people with low co-morbidities</w:t>
            </w:r>
            <w:r w:rsidR="00D11645" w:rsidRPr="00845BD2">
              <w:rPr>
                <w:rFonts w:asciiTheme="minorHAnsi" w:hAnsiTheme="minorHAnsi"/>
              </w:rPr>
              <w:t xml:space="preserve"> (in younger age groups) </w:t>
            </w:r>
          </w:p>
        </w:tc>
        <w:tc>
          <w:tcPr>
            <w:tcW w:w="2126" w:type="dxa"/>
          </w:tcPr>
          <w:p w:rsidR="00D11645" w:rsidRPr="00845BD2" w:rsidRDefault="00D11645" w:rsidP="00352336">
            <w:pPr>
              <w:pStyle w:val="ListParagraph"/>
              <w:spacing w:line="276" w:lineRule="auto"/>
              <w:ind w:left="0"/>
              <w:jc w:val="center"/>
              <w:rPr>
                <w:rFonts w:asciiTheme="minorHAnsi" w:hAnsiTheme="minorHAnsi"/>
              </w:rPr>
            </w:pPr>
            <w:r w:rsidRPr="00845BD2">
              <w:rPr>
                <w:rFonts w:asciiTheme="minorHAnsi" w:hAnsiTheme="minorHAnsi"/>
              </w:rPr>
              <w:t>30%</w:t>
            </w:r>
          </w:p>
        </w:tc>
      </w:tr>
      <w:tr w:rsidR="00957C26" w:rsidRPr="00845BD2" w:rsidTr="00352336">
        <w:tc>
          <w:tcPr>
            <w:tcW w:w="7763" w:type="dxa"/>
          </w:tcPr>
          <w:p w:rsidR="00957C26" w:rsidRPr="00845BD2" w:rsidRDefault="00957C26" w:rsidP="00A4779D">
            <w:pPr>
              <w:pStyle w:val="ListParagraph"/>
              <w:spacing w:line="276" w:lineRule="auto"/>
              <w:ind w:left="0"/>
              <w:jc w:val="both"/>
              <w:rPr>
                <w:rFonts w:asciiTheme="minorHAnsi" w:hAnsiTheme="minorHAnsi"/>
              </w:rPr>
            </w:pPr>
            <w:r w:rsidRPr="00845BD2">
              <w:rPr>
                <w:rFonts w:asciiTheme="minorHAnsi" w:hAnsiTheme="minorHAnsi"/>
              </w:rPr>
              <w:t xml:space="preserve">Part 2 -  the prescribing of high risk antibiotic is according to formulary or lab sensitivity </w:t>
            </w:r>
          </w:p>
        </w:tc>
        <w:tc>
          <w:tcPr>
            <w:tcW w:w="2126" w:type="dxa"/>
          </w:tcPr>
          <w:p w:rsidR="00957C26" w:rsidRPr="00845BD2" w:rsidRDefault="00957C26" w:rsidP="00A4779D">
            <w:pPr>
              <w:pStyle w:val="ListParagraph"/>
              <w:spacing w:line="276" w:lineRule="auto"/>
              <w:ind w:left="0"/>
              <w:jc w:val="center"/>
              <w:rPr>
                <w:rFonts w:asciiTheme="minorHAnsi" w:hAnsiTheme="minorHAnsi"/>
              </w:rPr>
            </w:pPr>
            <w:r w:rsidRPr="00845BD2">
              <w:rPr>
                <w:rFonts w:asciiTheme="minorHAnsi" w:hAnsiTheme="minorHAnsi"/>
              </w:rPr>
              <w:t>50%</w:t>
            </w:r>
          </w:p>
        </w:tc>
      </w:tr>
    </w:tbl>
    <w:p w:rsidR="00A32025" w:rsidRPr="00845BD2" w:rsidRDefault="00A32025" w:rsidP="00A32025">
      <w:pPr>
        <w:autoSpaceDE w:val="0"/>
        <w:autoSpaceDN w:val="0"/>
        <w:adjustRightInd w:val="0"/>
        <w:rPr>
          <w:rFonts w:asciiTheme="minorHAnsi" w:hAnsiTheme="minorHAnsi" w:cs="Arial-BoldMT"/>
          <w:b/>
          <w:bCs/>
          <w:color w:val="D21349"/>
        </w:rPr>
      </w:pPr>
    </w:p>
    <w:p w:rsidR="00AC3627" w:rsidRDefault="00AC3627">
      <w:pPr>
        <w:rPr>
          <w:rFonts w:asciiTheme="minorHAnsi" w:hAnsiTheme="minorHAnsi"/>
        </w:rPr>
      </w:pPr>
      <w:r>
        <w:rPr>
          <w:rFonts w:asciiTheme="minorHAnsi" w:hAnsiTheme="minorHAnsi"/>
        </w:rPr>
        <w:t>Additional recommendations:</w:t>
      </w:r>
    </w:p>
    <w:p w:rsidR="00E4670C" w:rsidRDefault="00E4670C">
      <w:pPr>
        <w:rPr>
          <w:rFonts w:asciiTheme="minorHAnsi" w:hAnsiTheme="minorHAnsi"/>
        </w:rPr>
      </w:pPr>
    </w:p>
    <w:p w:rsidR="00AC3627" w:rsidRPr="00AC3627" w:rsidRDefault="00AC3627" w:rsidP="00AC3627">
      <w:pPr>
        <w:pStyle w:val="ListParagraph"/>
        <w:numPr>
          <w:ilvl w:val="0"/>
          <w:numId w:val="20"/>
        </w:numPr>
        <w:rPr>
          <w:rFonts w:asciiTheme="minorHAnsi" w:hAnsiTheme="minorHAnsi" w:cs="ArialMT"/>
          <w:b/>
          <w:color w:val="000000"/>
          <w:sz w:val="40"/>
          <w:szCs w:val="40"/>
        </w:rPr>
      </w:pPr>
      <w:r>
        <w:rPr>
          <w:rFonts w:asciiTheme="minorHAnsi" w:hAnsiTheme="minorHAnsi"/>
        </w:rPr>
        <w:t>T</w:t>
      </w:r>
      <w:r w:rsidRPr="00AC3627">
        <w:rPr>
          <w:rFonts w:asciiTheme="minorHAnsi" w:hAnsiTheme="minorHAnsi"/>
        </w:rPr>
        <w:t>he prescribing of high risk ant</w:t>
      </w:r>
      <w:r w:rsidR="00F92E08">
        <w:rPr>
          <w:rFonts w:asciiTheme="minorHAnsi" w:hAnsiTheme="minorHAnsi"/>
        </w:rPr>
        <w:t xml:space="preserve">ibiotics is not on more than </w:t>
      </w:r>
      <w:r w:rsidRPr="00AC3627">
        <w:rPr>
          <w:rFonts w:asciiTheme="minorHAnsi" w:hAnsiTheme="minorHAnsi"/>
        </w:rPr>
        <w:t>one occasion in 12 months, unless at the advice of microbiologists</w:t>
      </w:r>
      <w:r>
        <w:rPr>
          <w:rFonts w:asciiTheme="minorHAnsi" w:hAnsiTheme="minorHAnsi"/>
        </w:rPr>
        <w:t>.</w:t>
      </w:r>
    </w:p>
    <w:p w:rsidR="00AC3627" w:rsidRPr="00AC3627" w:rsidRDefault="00AC3627" w:rsidP="00AC3627">
      <w:pPr>
        <w:pStyle w:val="ListParagraph"/>
        <w:rPr>
          <w:rFonts w:asciiTheme="minorHAnsi" w:hAnsiTheme="minorHAnsi" w:cs="ArialMT"/>
          <w:b/>
          <w:color w:val="000000"/>
          <w:sz w:val="40"/>
          <w:szCs w:val="40"/>
        </w:rPr>
      </w:pPr>
    </w:p>
    <w:p w:rsidR="00E4670C" w:rsidRPr="00E4670C" w:rsidRDefault="00AC3627" w:rsidP="00AC3627">
      <w:pPr>
        <w:pStyle w:val="ListParagraph"/>
        <w:numPr>
          <w:ilvl w:val="0"/>
          <w:numId w:val="20"/>
        </w:numPr>
        <w:rPr>
          <w:rFonts w:asciiTheme="minorHAnsi" w:hAnsiTheme="minorHAnsi" w:cs="ArialMT"/>
          <w:b/>
          <w:color w:val="000000"/>
          <w:sz w:val="40"/>
          <w:szCs w:val="40"/>
        </w:rPr>
      </w:pPr>
      <w:r>
        <w:rPr>
          <w:rFonts w:asciiTheme="minorHAnsi" w:hAnsiTheme="minorHAnsi"/>
        </w:rPr>
        <w:t>T</w:t>
      </w:r>
      <w:r w:rsidR="00E96AA1">
        <w:rPr>
          <w:rFonts w:asciiTheme="minorHAnsi" w:hAnsiTheme="minorHAnsi"/>
        </w:rPr>
        <w:t xml:space="preserve">he prescribing of antibiotics </w:t>
      </w:r>
      <w:r w:rsidRPr="00845BD2">
        <w:rPr>
          <w:rFonts w:asciiTheme="minorHAnsi" w:hAnsiTheme="minorHAnsi"/>
        </w:rPr>
        <w:t>should always have a diagnosis recorded</w:t>
      </w:r>
      <w:r>
        <w:rPr>
          <w:rFonts w:asciiTheme="minorHAnsi" w:hAnsiTheme="minorHAnsi"/>
        </w:rPr>
        <w:t>.</w:t>
      </w:r>
      <w:r w:rsidRPr="00AC3627">
        <w:rPr>
          <w:rFonts w:asciiTheme="minorHAnsi" w:hAnsiTheme="minorHAnsi"/>
        </w:rPr>
        <w:t xml:space="preserve"> </w:t>
      </w:r>
    </w:p>
    <w:p w:rsidR="00E4670C" w:rsidRPr="00E4670C" w:rsidRDefault="00E4670C" w:rsidP="00E4670C">
      <w:pPr>
        <w:pStyle w:val="ListParagraph"/>
        <w:rPr>
          <w:rFonts w:asciiTheme="minorHAnsi" w:hAnsiTheme="minorHAnsi" w:cs="ArialMT"/>
          <w:b/>
          <w:color w:val="000000"/>
          <w:sz w:val="40"/>
          <w:szCs w:val="40"/>
        </w:rPr>
      </w:pPr>
    </w:p>
    <w:p w:rsidR="00101671" w:rsidRPr="00E4670C" w:rsidRDefault="00E4670C" w:rsidP="00E4670C">
      <w:pPr>
        <w:ind w:firstLine="360"/>
        <w:rPr>
          <w:rFonts w:asciiTheme="minorHAnsi" w:hAnsiTheme="minorHAnsi" w:cs="ArialMT"/>
          <w:color w:val="000000"/>
        </w:rPr>
      </w:pPr>
      <w:r w:rsidRPr="00E4670C">
        <w:rPr>
          <w:rFonts w:asciiTheme="minorHAnsi" w:hAnsiTheme="minorHAnsi" w:cs="ArialMT"/>
          <w:color w:val="000000"/>
        </w:rPr>
        <w:t xml:space="preserve">3. The prescribing of high risk antibiotics with PPIs </w:t>
      </w:r>
      <w:r w:rsidR="00101671" w:rsidRPr="00E4670C">
        <w:rPr>
          <w:rFonts w:asciiTheme="minorHAnsi" w:hAnsiTheme="minorHAnsi" w:cs="ArialMT"/>
          <w:color w:val="000000"/>
        </w:rPr>
        <w:br w:type="page"/>
      </w:r>
    </w:p>
    <w:p w:rsidR="00A32025" w:rsidRPr="00845BD2" w:rsidRDefault="00A32025" w:rsidP="004707A1">
      <w:pPr>
        <w:rPr>
          <w:rFonts w:asciiTheme="minorHAnsi" w:hAnsiTheme="minorHAnsi" w:cs="ArialMT"/>
          <w:b/>
          <w:color w:val="000000"/>
        </w:rPr>
      </w:pPr>
      <w:r w:rsidRPr="00845BD2">
        <w:rPr>
          <w:rFonts w:asciiTheme="minorHAnsi" w:hAnsiTheme="minorHAnsi" w:cs="ArialMT"/>
          <w:b/>
          <w:color w:val="000000"/>
          <w:sz w:val="40"/>
          <w:szCs w:val="40"/>
        </w:rPr>
        <w:lastRenderedPageBreak/>
        <w:t>Audit method</w:t>
      </w:r>
    </w:p>
    <w:p w:rsidR="001F4266" w:rsidRPr="00845BD2" w:rsidRDefault="001F4266">
      <w:pPr>
        <w:rPr>
          <w:rFonts w:asciiTheme="minorHAnsi" w:hAnsiTheme="minorHAnsi"/>
          <w:b/>
          <w:sz w:val="22"/>
          <w:szCs w:val="22"/>
        </w:rPr>
      </w:pPr>
    </w:p>
    <w:p w:rsidR="00694D65" w:rsidRPr="00845BD2" w:rsidRDefault="00694D65" w:rsidP="001F4266">
      <w:pPr>
        <w:pStyle w:val="NormalWeb"/>
        <w:spacing w:before="0" w:beforeAutospacing="0" w:after="0" w:afterAutospacing="0"/>
        <w:rPr>
          <w:rFonts w:asciiTheme="minorHAnsi" w:eastAsiaTheme="minorEastAsia" w:hAnsiTheme="minorHAnsi" w:cs="Arial"/>
          <w:kern w:val="24"/>
          <w:lang w:val="en-US"/>
        </w:rPr>
      </w:pPr>
      <w:r w:rsidRPr="00845BD2">
        <w:rPr>
          <w:rFonts w:asciiTheme="minorHAnsi" w:eastAsiaTheme="minorEastAsia" w:hAnsiTheme="minorHAnsi" w:cs="Arial"/>
          <w:kern w:val="24"/>
          <w:lang w:val="en-US"/>
        </w:rPr>
        <w:t xml:space="preserve">The audit was split into 2 parts. </w:t>
      </w:r>
    </w:p>
    <w:p w:rsidR="00694D65" w:rsidRPr="00845BD2" w:rsidRDefault="00694D65" w:rsidP="001F4266">
      <w:pPr>
        <w:pStyle w:val="NormalWeb"/>
        <w:spacing w:before="0" w:beforeAutospacing="0" w:after="0" w:afterAutospacing="0"/>
        <w:rPr>
          <w:rFonts w:asciiTheme="minorHAnsi" w:eastAsiaTheme="minorEastAsia" w:hAnsiTheme="minorHAnsi" w:cs="Arial"/>
          <w:kern w:val="24"/>
          <w:lang w:val="en-US"/>
        </w:rPr>
      </w:pPr>
    </w:p>
    <w:p w:rsidR="00101671" w:rsidRPr="00845BD2" w:rsidRDefault="00694D65" w:rsidP="00101671">
      <w:pPr>
        <w:pStyle w:val="NormalWeb"/>
        <w:spacing w:before="0" w:beforeAutospacing="0" w:after="0" w:afterAutospacing="0"/>
        <w:jc w:val="both"/>
        <w:rPr>
          <w:rFonts w:asciiTheme="minorHAnsi" w:eastAsiaTheme="minorEastAsia" w:hAnsiTheme="minorHAnsi" w:cs="Arial"/>
          <w:kern w:val="24"/>
          <w:lang w:val="en-US"/>
        </w:rPr>
      </w:pPr>
      <w:r w:rsidRPr="00845BD2">
        <w:rPr>
          <w:rFonts w:asciiTheme="minorHAnsi" w:eastAsiaTheme="minorEastAsia" w:hAnsiTheme="minorHAnsi" w:cs="Arial"/>
          <w:kern w:val="24"/>
          <w:lang w:val="en-US"/>
        </w:rPr>
        <w:t xml:space="preserve">Firstly, </w:t>
      </w:r>
      <w:proofErr w:type="spellStart"/>
      <w:r w:rsidRPr="00845BD2">
        <w:rPr>
          <w:rFonts w:asciiTheme="minorHAnsi" w:eastAsiaTheme="minorEastAsia" w:hAnsiTheme="minorHAnsi" w:cs="Arial"/>
          <w:kern w:val="24"/>
          <w:lang w:val="en-US"/>
        </w:rPr>
        <w:t>s</w:t>
      </w:r>
      <w:r w:rsidR="004707A1" w:rsidRPr="00845BD2">
        <w:rPr>
          <w:rFonts w:asciiTheme="minorHAnsi" w:eastAsiaTheme="minorEastAsia" w:hAnsiTheme="minorHAnsi" w:cs="Arial"/>
          <w:kern w:val="24"/>
          <w:lang w:val="en-US"/>
        </w:rPr>
        <w:t>tandardised</w:t>
      </w:r>
      <w:proofErr w:type="spellEnd"/>
      <w:r w:rsidR="004707A1" w:rsidRPr="00845BD2">
        <w:rPr>
          <w:rFonts w:asciiTheme="minorHAnsi" w:eastAsiaTheme="minorEastAsia" w:hAnsiTheme="minorHAnsi" w:cs="Arial"/>
          <w:kern w:val="24"/>
          <w:lang w:val="en-US"/>
        </w:rPr>
        <w:t xml:space="preserve"> searches were carried out on the </w:t>
      </w:r>
      <w:r w:rsidRPr="00845BD2">
        <w:rPr>
          <w:rFonts w:asciiTheme="minorHAnsi" w:eastAsiaTheme="minorEastAsia" w:hAnsiTheme="minorHAnsi" w:cs="Arial"/>
          <w:kern w:val="24"/>
          <w:lang w:val="en-US"/>
        </w:rPr>
        <w:t xml:space="preserve">practice systems to collect a standard </w:t>
      </w:r>
      <w:r w:rsidR="004707A1" w:rsidRPr="00845BD2">
        <w:rPr>
          <w:rFonts w:asciiTheme="minorHAnsi" w:eastAsiaTheme="minorEastAsia" w:hAnsiTheme="minorHAnsi" w:cs="Arial"/>
          <w:kern w:val="24"/>
          <w:lang w:val="en-US"/>
        </w:rPr>
        <w:t>data set. Each practice carried out their own audit, based on a sample size of 50 patients for single-handed GP practices or 100 patients for all other practices.</w:t>
      </w:r>
      <w:r w:rsidR="00101671" w:rsidRPr="00845BD2">
        <w:rPr>
          <w:rFonts w:asciiTheme="minorHAnsi" w:eastAsiaTheme="minorEastAsia" w:hAnsiTheme="minorHAnsi" w:cs="Arial"/>
          <w:kern w:val="24"/>
          <w:lang w:val="en-US"/>
        </w:rPr>
        <w:t xml:space="preserve"> </w:t>
      </w:r>
    </w:p>
    <w:p w:rsidR="00101671" w:rsidRPr="00845BD2" w:rsidRDefault="00101671" w:rsidP="00101671">
      <w:pPr>
        <w:pStyle w:val="NormalWeb"/>
        <w:spacing w:before="0" w:beforeAutospacing="0" w:after="0" w:afterAutospacing="0"/>
        <w:jc w:val="both"/>
        <w:rPr>
          <w:rFonts w:asciiTheme="minorHAnsi" w:eastAsiaTheme="minorEastAsia" w:hAnsiTheme="minorHAnsi" w:cs="Arial"/>
          <w:kern w:val="24"/>
          <w:lang w:val="en-US"/>
        </w:rPr>
      </w:pPr>
      <w:r w:rsidRPr="00845BD2">
        <w:rPr>
          <w:rFonts w:asciiTheme="minorHAnsi" w:eastAsiaTheme="minorEastAsia" w:hAnsiTheme="minorHAnsi" w:cs="Arial"/>
          <w:kern w:val="24"/>
          <w:lang w:val="en-US"/>
        </w:rPr>
        <w:t>The data included:</w:t>
      </w:r>
    </w:p>
    <w:p w:rsidR="00101671" w:rsidRPr="00845BD2" w:rsidRDefault="00101671" w:rsidP="00101671">
      <w:pPr>
        <w:pStyle w:val="NormalWeb"/>
        <w:numPr>
          <w:ilvl w:val="0"/>
          <w:numId w:val="18"/>
        </w:numPr>
        <w:spacing w:before="0" w:beforeAutospacing="0" w:after="0" w:afterAutospacing="0"/>
        <w:jc w:val="both"/>
        <w:rPr>
          <w:rFonts w:asciiTheme="minorHAnsi" w:eastAsiaTheme="minorEastAsia" w:hAnsiTheme="minorHAnsi" w:cs="Arial"/>
          <w:kern w:val="24"/>
          <w:lang w:val="en-US"/>
        </w:rPr>
      </w:pPr>
      <w:r w:rsidRPr="00845BD2">
        <w:rPr>
          <w:rFonts w:asciiTheme="minorHAnsi" w:eastAsiaTheme="minorEastAsia" w:hAnsiTheme="minorHAnsi" w:cs="Arial"/>
          <w:kern w:val="24"/>
          <w:lang w:val="en-US"/>
        </w:rPr>
        <w:t>Number of patients prescribed a high risk antibiotic in the past twelve months</w:t>
      </w:r>
    </w:p>
    <w:p w:rsidR="00101671" w:rsidRPr="00845BD2" w:rsidRDefault="00101671" w:rsidP="00101671">
      <w:pPr>
        <w:pStyle w:val="NormalWeb"/>
        <w:numPr>
          <w:ilvl w:val="0"/>
          <w:numId w:val="18"/>
        </w:numPr>
        <w:spacing w:before="0" w:beforeAutospacing="0" w:after="0" w:afterAutospacing="0"/>
        <w:jc w:val="both"/>
        <w:rPr>
          <w:rFonts w:asciiTheme="minorHAnsi" w:eastAsiaTheme="minorEastAsia" w:hAnsiTheme="minorHAnsi" w:cs="Arial"/>
          <w:kern w:val="24"/>
          <w:lang w:val="en-US"/>
        </w:rPr>
      </w:pPr>
      <w:r w:rsidRPr="00845BD2">
        <w:rPr>
          <w:rFonts w:asciiTheme="minorHAnsi" w:eastAsiaTheme="minorEastAsia" w:hAnsiTheme="minorHAnsi" w:cs="Arial"/>
          <w:kern w:val="24"/>
          <w:lang w:val="en-US"/>
        </w:rPr>
        <w:t>Number of issues of high risk antibiotic in the past twelve months</w:t>
      </w:r>
    </w:p>
    <w:p w:rsidR="00101671" w:rsidRPr="00845BD2" w:rsidRDefault="00101671" w:rsidP="00101671">
      <w:pPr>
        <w:pStyle w:val="NormalWeb"/>
        <w:numPr>
          <w:ilvl w:val="0"/>
          <w:numId w:val="18"/>
        </w:numPr>
        <w:spacing w:before="0" w:beforeAutospacing="0" w:after="0" w:afterAutospacing="0"/>
        <w:jc w:val="both"/>
        <w:rPr>
          <w:rFonts w:asciiTheme="minorHAnsi" w:eastAsiaTheme="minorEastAsia" w:hAnsiTheme="minorHAnsi" w:cs="Arial"/>
          <w:kern w:val="24"/>
          <w:lang w:val="en-US"/>
        </w:rPr>
      </w:pPr>
      <w:r w:rsidRPr="00845BD2">
        <w:rPr>
          <w:rFonts w:asciiTheme="minorHAnsi" w:eastAsiaTheme="minorEastAsia" w:hAnsiTheme="minorHAnsi" w:cs="Arial"/>
          <w:kern w:val="24"/>
          <w:lang w:val="en-US"/>
        </w:rPr>
        <w:t>Age of patient</w:t>
      </w:r>
    </w:p>
    <w:p w:rsidR="00101671" w:rsidRPr="00845BD2" w:rsidRDefault="00101671" w:rsidP="00101671">
      <w:pPr>
        <w:pStyle w:val="NormalWeb"/>
        <w:numPr>
          <w:ilvl w:val="0"/>
          <w:numId w:val="18"/>
        </w:numPr>
        <w:spacing w:before="0" w:beforeAutospacing="0" w:after="0" w:afterAutospacing="0"/>
        <w:jc w:val="both"/>
        <w:rPr>
          <w:rFonts w:asciiTheme="minorHAnsi" w:eastAsiaTheme="minorEastAsia" w:hAnsiTheme="minorHAnsi" w:cs="Arial"/>
          <w:kern w:val="24"/>
          <w:lang w:val="en-US"/>
        </w:rPr>
      </w:pPr>
      <w:r w:rsidRPr="00845BD2">
        <w:rPr>
          <w:rFonts w:asciiTheme="minorHAnsi" w:eastAsiaTheme="minorEastAsia" w:hAnsiTheme="minorHAnsi" w:cs="Arial"/>
          <w:kern w:val="24"/>
          <w:lang w:val="en-US"/>
        </w:rPr>
        <w:t>Antibiotic prescribed</w:t>
      </w:r>
    </w:p>
    <w:p w:rsidR="00101671" w:rsidRPr="00845BD2" w:rsidRDefault="00101671" w:rsidP="00101671">
      <w:pPr>
        <w:pStyle w:val="NormalWeb"/>
        <w:numPr>
          <w:ilvl w:val="0"/>
          <w:numId w:val="18"/>
        </w:numPr>
        <w:spacing w:before="0" w:beforeAutospacing="0" w:after="0" w:afterAutospacing="0"/>
        <w:jc w:val="both"/>
        <w:rPr>
          <w:rFonts w:asciiTheme="minorHAnsi" w:eastAsiaTheme="minorEastAsia" w:hAnsiTheme="minorHAnsi" w:cs="Arial"/>
          <w:kern w:val="24"/>
          <w:lang w:val="en-US"/>
        </w:rPr>
      </w:pPr>
      <w:r w:rsidRPr="00845BD2">
        <w:rPr>
          <w:rFonts w:asciiTheme="minorHAnsi" w:eastAsiaTheme="minorEastAsia" w:hAnsiTheme="minorHAnsi" w:cs="Arial"/>
          <w:kern w:val="24"/>
          <w:lang w:val="en-US"/>
        </w:rPr>
        <w:t>Number of patients also prescribed a PPI as well as a high risk antibiotic in the past twelve months</w:t>
      </w:r>
    </w:p>
    <w:p w:rsidR="00101671" w:rsidRPr="00845BD2" w:rsidRDefault="00101671" w:rsidP="00101671">
      <w:pPr>
        <w:pStyle w:val="NormalWeb"/>
        <w:spacing w:before="0" w:beforeAutospacing="0" w:after="0" w:afterAutospacing="0"/>
        <w:jc w:val="both"/>
        <w:rPr>
          <w:rFonts w:asciiTheme="minorHAnsi" w:eastAsiaTheme="minorEastAsia" w:hAnsiTheme="minorHAnsi" w:cs="Arial"/>
          <w:kern w:val="24"/>
          <w:lang w:val="en-US"/>
        </w:rPr>
      </w:pPr>
    </w:p>
    <w:p w:rsidR="00FB3765" w:rsidRPr="00845BD2" w:rsidRDefault="00101671" w:rsidP="00101671">
      <w:pPr>
        <w:pStyle w:val="NormalWeb"/>
        <w:spacing w:before="0" w:beforeAutospacing="0" w:after="0" w:afterAutospacing="0"/>
        <w:jc w:val="both"/>
        <w:rPr>
          <w:rFonts w:asciiTheme="minorHAnsi" w:eastAsiaTheme="minorEastAsia" w:hAnsiTheme="minorHAnsi" w:cs="Arial"/>
          <w:kern w:val="24"/>
          <w:lang w:val="en-US"/>
        </w:rPr>
      </w:pPr>
      <w:r w:rsidRPr="00845BD2">
        <w:rPr>
          <w:rFonts w:asciiTheme="minorHAnsi" w:eastAsiaTheme="minorEastAsia" w:hAnsiTheme="minorHAnsi" w:cs="Arial"/>
          <w:kern w:val="24"/>
          <w:lang w:val="en-US"/>
        </w:rPr>
        <w:t>Searches were also carried out to identify the numbers of people receiving prescriptions for topical antibiotics and several high risk antibiotic courses over the past twelve months (usually for COPD or recurrent UTI). The data was recorded in a spreadsheet and percentages of antibiotics prescribed and numbers of patients also prescribed a PPI were calculated.</w:t>
      </w:r>
    </w:p>
    <w:p w:rsidR="00101671" w:rsidRPr="00845BD2" w:rsidRDefault="00101671" w:rsidP="00101671">
      <w:pPr>
        <w:pStyle w:val="NormalWeb"/>
        <w:spacing w:before="0" w:beforeAutospacing="0" w:after="0" w:afterAutospacing="0"/>
        <w:jc w:val="both"/>
        <w:rPr>
          <w:rFonts w:asciiTheme="minorHAnsi" w:eastAsiaTheme="minorEastAsia" w:hAnsiTheme="minorHAnsi" w:cs="Arial"/>
          <w:kern w:val="24"/>
          <w:lang w:val="en-US"/>
        </w:rPr>
      </w:pPr>
    </w:p>
    <w:p w:rsidR="00101671" w:rsidRPr="00845BD2" w:rsidRDefault="00101671" w:rsidP="00101671">
      <w:pPr>
        <w:pStyle w:val="NormalWeb"/>
        <w:spacing w:before="0" w:beforeAutospacing="0" w:after="0" w:afterAutospacing="0"/>
        <w:jc w:val="both"/>
        <w:rPr>
          <w:rFonts w:asciiTheme="minorHAnsi" w:eastAsiaTheme="minorEastAsia" w:hAnsiTheme="minorHAnsi" w:cs="Arial"/>
          <w:kern w:val="24"/>
          <w:lang w:val="en-US"/>
        </w:rPr>
      </w:pPr>
      <w:r w:rsidRPr="00845BD2">
        <w:rPr>
          <w:rFonts w:asciiTheme="minorHAnsi" w:eastAsiaTheme="minorEastAsia" w:hAnsiTheme="minorHAnsi" w:cs="Arial"/>
          <w:kern w:val="24"/>
          <w:lang w:val="en-US"/>
        </w:rPr>
        <w:t>The second part of the audit looked at a sample of 100 issues of antibiotics, to determine:</w:t>
      </w:r>
    </w:p>
    <w:p w:rsidR="00101671" w:rsidRPr="00845BD2" w:rsidRDefault="00101671" w:rsidP="00101671">
      <w:pPr>
        <w:pStyle w:val="NormalWeb"/>
        <w:numPr>
          <w:ilvl w:val="0"/>
          <w:numId w:val="19"/>
        </w:numPr>
        <w:spacing w:before="0" w:beforeAutospacing="0" w:after="0" w:afterAutospacing="0"/>
        <w:jc w:val="both"/>
        <w:rPr>
          <w:rFonts w:asciiTheme="minorHAnsi" w:eastAsiaTheme="minorEastAsia" w:hAnsiTheme="minorHAnsi" w:cs="Arial"/>
          <w:kern w:val="24"/>
          <w:lang w:val="en-US"/>
        </w:rPr>
      </w:pPr>
      <w:r w:rsidRPr="00845BD2">
        <w:rPr>
          <w:rFonts w:asciiTheme="minorHAnsi" w:eastAsiaTheme="minorEastAsia" w:hAnsiTheme="minorHAnsi" w:cs="Arial"/>
          <w:kern w:val="24"/>
          <w:lang w:val="en-US"/>
        </w:rPr>
        <w:t>Indication recorded</w:t>
      </w:r>
    </w:p>
    <w:p w:rsidR="00101671" w:rsidRPr="00845BD2" w:rsidRDefault="00101671" w:rsidP="00101671">
      <w:pPr>
        <w:pStyle w:val="NormalWeb"/>
        <w:numPr>
          <w:ilvl w:val="0"/>
          <w:numId w:val="19"/>
        </w:numPr>
        <w:spacing w:before="0" w:beforeAutospacing="0" w:after="0" w:afterAutospacing="0"/>
        <w:jc w:val="both"/>
        <w:rPr>
          <w:rFonts w:asciiTheme="minorHAnsi" w:eastAsiaTheme="minorEastAsia" w:hAnsiTheme="minorHAnsi" w:cs="Arial"/>
          <w:kern w:val="24"/>
          <w:lang w:val="en-US"/>
        </w:rPr>
      </w:pPr>
      <w:r w:rsidRPr="00845BD2">
        <w:rPr>
          <w:rFonts w:asciiTheme="minorHAnsi" w:eastAsiaTheme="minorEastAsia" w:hAnsiTheme="minorHAnsi" w:cs="Arial"/>
          <w:kern w:val="24"/>
          <w:lang w:val="en-US"/>
        </w:rPr>
        <w:t>Formulary adherence</w:t>
      </w:r>
    </w:p>
    <w:p w:rsidR="00101671" w:rsidRPr="00845BD2" w:rsidRDefault="00101671" w:rsidP="00101671">
      <w:pPr>
        <w:pStyle w:val="NormalWeb"/>
        <w:numPr>
          <w:ilvl w:val="0"/>
          <w:numId w:val="19"/>
        </w:numPr>
        <w:spacing w:before="0" w:beforeAutospacing="0" w:after="0" w:afterAutospacing="0"/>
        <w:jc w:val="both"/>
        <w:rPr>
          <w:rFonts w:asciiTheme="minorHAnsi" w:eastAsiaTheme="minorEastAsia" w:hAnsiTheme="minorHAnsi" w:cs="Arial"/>
          <w:kern w:val="24"/>
          <w:lang w:val="en-US"/>
        </w:rPr>
      </w:pPr>
      <w:r w:rsidRPr="00845BD2">
        <w:rPr>
          <w:rFonts w:asciiTheme="minorHAnsi" w:eastAsiaTheme="minorEastAsia" w:hAnsiTheme="minorHAnsi" w:cs="Arial"/>
          <w:kern w:val="24"/>
          <w:lang w:val="en-US"/>
        </w:rPr>
        <w:t>Infection sampling</w:t>
      </w:r>
    </w:p>
    <w:p w:rsidR="00101671" w:rsidRPr="00845BD2" w:rsidRDefault="00101671" w:rsidP="00101671">
      <w:pPr>
        <w:pStyle w:val="NormalWeb"/>
        <w:numPr>
          <w:ilvl w:val="0"/>
          <w:numId w:val="19"/>
        </w:numPr>
        <w:spacing w:before="0" w:beforeAutospacing="0" w:after="0" w:afterAutospacing="0"/>
        <w:jc w:val="both"/>
        <w:rPr>
          <w:rFonts w:asciiTheme="minorHAnsi" w:eastAsiaTheme="minorEastAsia" w:hAnsiTheme="minorHAnsi" w:cs="Arial"/>
          <w:kern w:val="24"/>
          <w:lang w:val="en-US"/>
        </w:rPr>
      </w:pPr>
      <w:r w:rsidRPr="00845BD2">
        <w:rPr>
          <w:rFonts w:asciiTheme="minorHAnsi" w:eastAsiaTheme="minorEastAsia" w:hAnsiTheme="minorHAnsi" w:cs="Arial"/>
          <w:kern w:val="24"/>
          <w:lang w:val="en-US"/>
        </w:rPr>
        <w:t>Prescribing linked to sensitivity reporting</w:t>
      </w:r>
    </w:p>
    <w:p w:rsidR="00101671" w:rsidRPr="00845BD2" w:rsidRDefault="00101671" w:rsidP="00101671">
      <w:pPr>
        <w:pStyle w:val="NormalWeb"/>
        <w:numPr>
          <w:ilvl w:val="0"/>
          <w:numId w:val="19"/>
        </w:numPr>
        <w:spacing w:before="0" w:beforeAutospacing="0" w:after="0" w:afterAutospacing="0"/>
        <w:jc w:val="both"/>
        <w:rPr>
          <w:rFonts w:asciiTheme="minorHAnsi" w:eastAsiaTheme="minorEastAsia" w:hAnsiTheme="minorHAnsi" w:cs="Arial"/>
          <w:kern w:val="24"/>
          <w:lang w:val="en-US"/>
        </w:rPr>
      </w:pPr>
      <w:r w:rsidRPr="00845BD2">
        <w:rPr>
          <w:rFonts w:asciiTheme="minorHAnsi" w:eastAsiaTheme="minorEastAsia" w:hAnsiTheme="minorHAnsi" w:cs="Arial"/>
          <w:kern w:val="24"/>
          <w:lang w:val="en-US"/>
        </w:rPr>
        <w:t>Contact with microbiologists</w:t>
      </w:r>
    </w:p>
    <w:p w:rsidR="00101671" w:rsidRPr="00845BD2" w:rsidRDefault="00101671" w:rsidP="00101671">
      <w:pPr>
        <w:pStyle w:val="NormalWeb"/>
        <w:numPr>
          <w:ilvl w:val="0"/>
          <w:numId w:val="19"/>
        </w:numPr>
        <w:spacing w:before="0" w:beforeAutospacing="0" w:after="0" w:afterAutospacing="0"/>
        <w:jc w:val="both"/>
        <w:rPr>
          <w:rFonts w:asciiTheme="minorHAnsi" w:eastAsiaTheme="minorEastAsia" w:hAnsiTheme="minorHAnsi" w:cs="Arial"/>
          <w:kern w:val="24"/>
          <w:lang w:val="en-US"/>
        </w:rPr>
      </w:pPr>
      <w:r w:rsidRPr="00845BD2">
        <w:rPr>
          <w:rFonts w:asciiTheme="minorHAnsi" w:eastAsiaTheme="minorEastAsia" w:hAnsiTheme="minorHAnsi" w:cs="Arial"/>
          <w:kern w:val="24"/>
          <w:lang w:val="en-US"/>
        </w:rPr>
        <w:t>Conditions being treated</w:t>
      </w:r>
    </w:p>
    <w:p w:rsidR="00101671" w:rsidRPr="00845BD2" w:rsidRDefault="00101671" w:rsidP="00101671">
      <w:pPr>
        <w:pStyle w:val="NormalWeb"/>
        <w:spacing w:before="0" w:beforeAutospacing="0" w:after="0" w:afterAutospacing="0"/>
        <w:jc w:val="both"/>
        <w:rPr>
          <w:rFonts w:asciiTheme="minorHAnsi" w:eastAsiaTheme="minorEastAsia" w:hAnsiTheme="minorHAnsi" w:cs="Arial"/>
          <w:kern w:val="24"/>
          <w:lang w:val="en-US"/>
        </w:rPr>
      </w:pPr>
    </w:p>
    <w:p w:rsidR="00101671" w:rsidRPr="00845BD2" w:rsidRDefault="002D147F" w:rsidP="00101671">
      <w:pPr>
        <w:pStyle w:val="NormalWeb"/>
        <w:spacing w:before="0" w:beforeAutospacing="0" w:after="0" w:afterAutospacing="0"/>
        <w:jc w:val="both"/>
        <w:rPr>
          <w:rFonts w:asciiTheme="minorHAnsi" w:eastAsiaTheme="minorEastAsia" w:hAnsiTheme="minorHAnsi" w:cs="Arial"/>
          <w:kern w:val="24"/>
          <w:lang w:val="en-US"/>
        </w:rPr>
      </w:pPr>
      <w:r w:rsidRPr="00845BD2">
        <w:rPr>
          <w:rFonts w:asciiTheme="minorHAnsi" w:eastAsiaTheme="minorEastAsia" w:hAnsiTheme="minorHAnsi" w:cs="Arial"/>
          <w:kern w:val="24"/>
          <w:lang w:val="en-US"/>
        </w:rPr>
        <w:t>A practice report was then written for each practice, tailored to the areas for improvement found in the audit.</w:t>
      </w:r>
    </w:p>
    <w:p w:rsidR="004707A1" w:rsidRPr="00845BD2" w:rsidRDefault="004707A1" w:rsidP="00101671">
      <w:pPr>
        <w:pStyle w:val="NormalWeb"/>
        <w:spacing w:before="0" w:beforeAutospacing="0" w:after="0" w:afterAutospacing="0"/>
        <w:jc w:val="both"/>
        <w:rPr>
          <w:rFonts w:asciiTheme="minorHAnsi" w:eastAsiaTheme="minorEastAsia" w:hAnsiTheme="minorHAnsi" w:cs="Arial"/>
          <w:kern w:val="24"/>
          <w:lang w:val="en-US"/>
        </w:rPr>
      </w:pPr>
    </w:p>
    <w:p w:rsidR="001F4266" w:rsidRPr="00845BD2" w:rsidRDefault="001F4266" w:rsidP="00101671">
      <w:pPr>
        <w:jc w:val="both"/>
        <w:rPr>
          <w:rFonts w:asciiTheme="minorHAnsi" w:hAnsiTheme="minorHAnsi"/>
          <w:b/>
          <w:sz w:val="22"/>
          <w:szCs w:val="22"/>
        </w:rPr>
      </w:pPr>
      <w:r w:rsidRPr="00845BD2">
        <w:rPr>
          <w:rFonts w:asciiTheme="minorHAnsi" w:hAnsiTheme="minorHAnsi"/>
          <w:b/>
          <w:sz w:val="22"/>
          <w:szCs w:val="22"/>
        </w:rPr>
        <w:br w:type="page"/>
      </w:r>
    </w:p>
    <w:p w:rsidR="00AD0FCE" w:rsidRPr="00845BD2" w:rsidRDefault="001F4266">
      <w:pPr>
        <w:rPr>
          <w:rFonts w:asciiTheme="minorHAnsi" w:hAnsiTheme="minorHAnsi"/>
          <w:b/>
          <w:sz w:val="40"/>
          <w:szCs w:val="40"/>
        </w:rPr>
      </w:pPr>
      <w:proofErr w:type="gramStart"/>
      <w:r w:rsidRPr="00845BD2">
        <w:rPr>
          <w:rFonts w:asciiTheme="minorHAnsi" w:hAnsiTheme="minorHAnsi"/>
          <w:b/>
          <w:sz w:val="40"/>
          <w:szCs w:val="40"/>
        </w:rPr>
        <w:lastRenderedPageBreak/>
        <w:t xml:space="preserve">Results </w:t>
      </w:r>
      <w:r w:rsidR="008547AB" w:rsidRPr="00845BD2">
        <w:rPr>
          <w:rFonts w:asciiTheme="minorHAnsi" w:hAnsiTheme="minorHAnsi"/>
          <w:b/>
          <w:sz w:val="40"/>
          <w:szCs w:val="40"/>
        </w:rPr>
        <w:t xml:space="preserve"> -</w:t>
      </w:r>
      <w:proofErr w:type="gramEnd"/>
      <w:r w:rsidR="008547AB" w:rsidRPr="00845BD2">
        <w:rPr>
          <w:rFonts w:asciiTheme="minorHAnsi" w:hAnsiTheme="minorHAnsi"/>
          <w:b/>
          <w:sz w:val="40"/>
          <w:szCs w:val="40"/>
        </w:rPr>
        <w:t xml:space="preserve"> part 1</w:t>
      </w:r>
    </w:p>
    <w:p w:rsidR="008547AB" w:rsidRPr="00845BD2" w:rsidRDefault="008547AB">
      <w:pPr>
        <w:rPr>
          <w:rFonts w:asciiTheme="minorHAnsi" w:hAnsiTheme="minorHAnsi"/>
          <w:b/>
          <w:sz w:val="40"/>
          <w:szCs w:val="40"/>
        </w:rPr>
      </w:pPr>
    </w:p>
    <w:p w:rsidR="008547AB" w:rsidRPr="00845BD2" w:rsidRDefault="008547AB" w:rsidP="00845BD2">
      <w:pPr>
        <w:jc w:val="both"/>
        <w:rPr>
          <w:rFonts w:asciiTheme="minorHAnsi" w:hAnsiTheme="minorHAnsi"/>
        </w:rPr>
      </w:pPr>
      <w:r w:rsidRPr="00845BD2">
        <w:rPr>
          <w:rFonts w:asciiTheme="minorHAnsi" w:hAnsiTheme="minorHAnsi"/>
        </w:rPr>
        <w:t>The first part of the audit was an overview of the prescribing of high risk antibiotics (</w:t>
      </w:r>
      <w:proofErr w:type="spellStart"/>
      <w:r w:rsidRPr="00845BD2">
        <w:rPr>
          <w:rFonts w:asciiTheme="minorHAnsi" w:hAnsiTheme="minorHAnsi"/>
        </w:rPr>
        <w:t>cefalosporins</w:t>
      </w:r>
      <w:proofErr w:type="spellEnd"/>
      <w:r w:rsidRPr="00845BD2">
        <w:rPr>
          <w:rFonts w:asciiTheme="minorHAnsi" w:hAnsiTheme="minorHAnsi"/>
        </w:rPr>
        <w:t>, quinolones and co-amoxiclav) in the past twelve months.</w:t>
      </w:r>
    </w:p>
    <w:p w:rsidR="00510E32" w:rsidRPr="00845BD2" w:rsidRDefault="00510E32" w:rsidP="00845BD2">
      <w:pPr>
        <w:jc w:val="both"/>
        <w:rPr>
          <w:rFonts w:asciiTheme="minorHAnsi" w:hAnsiTheme="minorHAnsi"/>
        </w:rPr>
      </w:pPr>
    </w:p>
    <w:p w:rsidR="001F4266" w:rsidRPr="00845BD2" w:rsidRDefault="00AD0FCE" w:rsidP="00845BD2">
      <w:pPr>
        <w:jc w:val="both"/>
        <w:rPr>
          <w:rFonts w:asciiTheme="minorHAnsi" w:hAnsiTheme="minorHAnsi"/>
        </w:rPr>
      </w:pPr>
      <w:r w:rsidRPr="00845BD2">
        <w:rPr>
          <w:rFonts w:asciiTheme="minorHAnsi" w:hAnsiTheme="minorHAnsi"/>
        </w:rPr>
        <w:t xml:space="preserve">Fylde and Wyre </w:t>
      </w:r>
      <w:r w:rsidR="001F4266" w:rsidRPr="00845BD2">
        <w:rPr>
          <w:rFonts w:asciiTheme="minorHAnsi" w:hAnsiTheme="minorHAnsi"/>
        </w:rPr>
        <w:t>population</w:t>
      </w:r>
      <w:r w:rsidRPr="00845BD2">
        <w:rPr>
          <w:rFonts w:asciiTheme="minorHAnsi" w:hAnsiTheme="minorHAnsi"/>
        </w:rPr>
        <w:t xml:space="preserve"> = </w:t>
      </w:r>
      <w:r w:rsidR="001F4266" w:rsidRPr="00845BD2">
        <w:rPr>
          <w:rFonts w:asciiTheme="minorHAnsi" w:hAnsiTheme="minorHAnsi"/>
        </w:rPr>
        <w:t>150656</w:t>
      </w:r>
    </w:p>
    <w:p w:rsidR="001F4266" w:rsidRPr="00845BD2" w:rsidRDefault="001F4266" w:rsidP="00845BD2">
      <w:pPr>
        <w:jc w:val="both"/>
        <w:rPr>
          <w:rFonts w:asciiTheme="minorHAnsi" w:hAnsiTheme="minorHAnsi"/>
          <w:b/>
        </w:rPr>
      </w:pPr>
    </w:p>
    <w:p w:rsidR="00A574BE" w:rsidRPr="00845BD2" w:rsidRDefault="001F4266" w:rsidP="00845BD2">
      <w:pPr>
        <w:jc w:val="both"/>
        <w:rPr>
          <w:rFonts w:asciiTheme="minorHAnsi" w:hAnsiTheme="minorHAnsi" w:cs="Arial"/>
          <w:color w:val="000000"/>
          <w:lang w:eastAsia="en-US"/>
        </w:rPr>
      </w:pPr>
      <w:r w:rsidRPr="00845BD2">
        <w:rPr>
          <w:rFonts w:asciiTheme="minorHAnsi" w:hAnsiTheme="minorHAnsi" w:cs="Arial"/>
          <w:b/>
          <w:color w:val="000000"/>
          <w:lang w:eastAsia="en-US"/>
        </w:rPr>
        <w:t xml:space="preserve">5122 </w:t>
      </w:r>
      <w:r w:rsidRPr="00845BD2">
        <w:rPr>
          <w:rFonts w:asciiTheme="minorHAnsi" w:hAnsiTheme="minorHAnsi" w:cs="Arial"/>
          <w:color w:val="000000"/>
          <w:lang w:eastAsia="en-US"/>
        </w:rPr>
        <w:t xml:space="preserve">courses of high risk antibiotics </w:t>
      </w:r>
      <w:r w:rsidR="00510E32" w:rsidRPr="00845BD2">
        <w:rPr>
          <w:rFonts w:asciiTheme="minorHAnsi" w:hAnsiTheme="minorHAnsi" w:cs="Arial"/>
          <w:color w:val="000000"/>
          <w:lang w:eastAsia="en-US"/>
        </w:rPr>
        <w:t xml:space="preserve">were </w:t>
      </w:r>
      <w:r w:rsidRPr="00845BD2">
        <w:rPr>
          <w:rFonts w:asciiTheme="minorHAnsi" w:hAnsiTheme="minorHAnsi" w:cs="Arial"/>
          <w:color w:val="000000"/>
          <w:lang w:eastAsia="en-US"/>
        </w:rPr>
        <w:t>prescribed in the past year</w:t>
      </w:r>
    </w:p>
    <w:p w:rsidR="00A574BE" w:rsidRPr="00845BD2" w:rsidRDefault="001F4266" w:rsidP="00845BD2">
      <w:pPr>
        <w:jc w:val="both"/>
        <w:rPr>
          <w:rFonts w:asciiTheme="minorHAnsi" w:hAnsiTheme="minorHAnsi" w:cs="Arial"/>
          <w:color w:val="000000"/>
          <w:lang w:eastAsia="en-US"/>
        </w:rPr>
      </w:pPr>
      <w:r w:rsidRPr="00845BD2">
        <w:rPr>
          <w:rFonts w:asciiTheme="minorHAnsi" w:hAnsiTheme="minorHAnsi" w:cs="Arial"/>
          <w:b/>
          <w:color w:val="000000"/>
          <w:lang w:eastAsia="en-US"/>
        </w:rPr>
        <w:t xml:space="preserve">3909 (2.8%) </w:t>
      </w:r>
      <w:r w:rsidRPr="00845BD2">
        <w:rPr>
          <w:rFonts w:asciiTheme="minorHAnsi" w:hAnsiTheme="minorHAnsi" w:cs="Arial"/>
          <w:color w:val="000000"/>
          <w:lang w:eastAsia="en-US"/>
        </w:rPr>
        <w:t xml:space="preserve">patients </w:t>
      </w:r>
      <w:r w:rsidR="00510E32" w:rsidRPr="00845BD2">
        <w:rPr>
          <w:rFonts w:asciiTheme="minorHAnsi" w:hAnsiTheme="minorHAnsi" w:cs="Arial"/>
          <w:color w:val="000000"/>
          <w:lang w:eastAsia="en-US"/>
        </w:rPr>
        <w:t xml:space="preserve">were </w:t>
      </w:r>
      <w:r w:rsidRPr="00845BD2">
        <w:rPr>
          <w:rFonts w:asciiTheme="minorHAnsi" w:hAnsiTheme="minorHAnsi" w:cs="Arial"/>
          <w:color w:val="000000"/>
          <w:lang w:eastAsia="en-US"/>
        </w:rPr>
        <w:t>prescribed a high risk antibiotic in the past year</w:t>
      </w:r>
    </w:p>
    <w:p w:rsidR="00A574BE" w:rsidRPr="00845BD2" w:rsidRDefault="00BD2726" w:rsidP="00845BD2">
      <w:pPr>
        <w:jc w:val="both"/>
        <w:rPr>
          <w:rFonts w:asciiTheme="minorHAnsi" w:hAnsiTheme="minorHAnsi" w:cs="Arial"/>
          <w:color w:val="000000"/>
          <w:lang w:eastAsia="en-US"/>
        </w:rPr>
      </w:pPr>
      <w:r w:rsidRPr="00845BD2">
        <w:rPr>
          <w:rFonts w:asciiTheme="minorHAnsi" w:hAnsiTheme="minorHAnsi" w:cs="Arial"/>
          <w:b/>
          <w:color w:val="000000"/>
          <w:lang w:eastAsia="en-US"/>
        </w:rPr>
        <w:t>1334 (33</w:t>
      </w:r>
      <w:r w:rsidR="001F4266" w:rsidRPr="00845BD2">
        <w:rPr>
          <w:rFonts w:asciiTheme="minorHAnsi" w:hAnsiTheme="minorHAnsi" w:cs="Arial"/>
          <w:b/>
          <w:color w:val="000000"/>
          <w:lang w:eastAsia="en-US"/>
        </w:rPr>
        <w:t xml:space="preserve">%) </w:t>
      </w:r>
      <w:r w:rsidR="001F4266" w:rsidRPr="00845BD2">
        <w:rPr>
          <w:rFonts w:asciiTheme="minorHAnsi" w:hAnsiTheme="minorHAnsi" w:cs="Arial"/>
          <w:color w:val="000000"/>
          <w:lang w:eastAsia="en-US"/>
        </w:rPr>
        <w:t>of these were also on a PPI</w:t>
      </w:r>
    </w:p>
    <w:p w:rsidR="00A574BE" w:rsidRPr="00845BD2" w:rsidRDefault="00110986" w:rsidP="00845BD2">
      <w:pPr>
        <w:jc w:val="both"/>
        <w:rPr>
          <w:rFonts w:asciiTheme="minorHAnsi" w:hAnsiTheme="minorHAnsi" w:cs="Arial"/>
          <w:color w:val="000000"/>
          <w:lang w:eastAsia="en-US"/>
        </w:rPr>
      </w:pPr>
      <w:r>
        <w:rPr>
          <w:rFonts w:asciiTheme="minorHAnsi" w:hAnsiTheme="minorHAnsi" w:cs="Arial"/>
          <w:b/>
          <w:color w:val="000000"/>
          <w:lang w:eastAsia="en-US"/>
        </w:rPr>
        <w:t>194</w:t>
      </w:r>
      <w:r w:rsidR="001F4266" w:rsidRPr="00845BD2">
        <w:rPr>
          <w:rFonts w:asciiTheme="minorHAnsi" w:hAnsiTheme="minorHAnsi" w:cs="Arial"/>
          <w:b/>
          <w:color w:val="000000"/>
          <w:lang w:eastAsia="en-US"/>
        </w:rPr>
        <w:t xml:space="preserve"> </w:t>
      </w:r>
      <w:r w:rsidR="001F4266" w:rsidRPr="00845BD2">
        <w:rPr>
          <w:rFonts w:asciiTheme="minorHAnsi" w:hAnsiTheme="minorHAnsi" w:cs="Arial"/>
          <w:color w:val="000000"/>
          <w:lang w:eastAsia="en-US"/>
        </w:rPr>
        <w:t>people were prescribe</w:t>
      </w:r>
      <w:r>
        <w:rPr>
          <w:rFonts w:asciiTheme="minorHAnsi" w:hAnsiTheme="minorHAnsi" w:cs="Arial"/>
          <w:color w:val="000000"/>
          <w:lang w:eastAsia="en-US"/>
        </w:rPr>
        <w:t xml:space="preserve">d high risk antibiotics for </w:t>
      </w:r>
      <w:r w:rsidR="001F4266" w:rsidRPr="00845BD2">
        <w:rPr>
          <w:rFonts w:asciiTheme="minorHAnsi" w:hAnsiTheme="minorHAnsi" w:cs="Arial"/>
          <w:color w:val="000000"/>
          <w:lang w:eastAsia="en-US"/>
        </w:rPr>
        <w:t>prophylaxis</w:t>
      </w:r>
      <w:r>
        <w:rPr>
          <w:rFonts w:asciiTheme="minorHAnsi" w:hAnsiTheme="minorHAnsi" w:cs="Arial"/>
          <w:color w:val="000000"/>
          <w:lang w:eastAsia="en-US"/>
        </w:rPr>
        <w:t xml:space="preserve"> (usually UTI)</w:t>
      </w:r>
    </w:p>
    <w:p w:rsidR="001F4266" w:rsidRPr="00845BD2" w:rsidRDefault="00110986" w:rsidP="00845BD2">
      <w:pPr>
        <w:jc w:val="both"/>
        <w:rPr>
          <w:rFonts w:asciiTheme="minorHAnsi" w:hAnsiTheme="minorHAnsi" w:cs="Arial"/>
          <w:color w:val="000000"/>
          <w:lang w:eastAsia="en-US"/>
        </w:rPr>
      </w:pPr>
      <w:r>
        <w:rPr>
          <w:rFonts w:asciiTheme="minorHAnsi" w:hAnsiTheme="minorHAnsi" w:cs="Arial"/>
          <w:b/>
          <w:color w:val="000000"/>
          <w:lang w:eastAsia="en-US"/>
        </w:rPr>
        <w:t>2153</w:t>
      </w:r>
      <w:r w:rsidR="001F4266" w:rsidRPr="00845BD2">
        <w:rPr>
          <w:rFonts w:asciiTheme="minorHAnsi" w:hAnsiTheme="minorHAnsi" w:cs="Arial"/>
          <w:b/>
          <w:color w:val="000000"/>
          <w:lang w:eastAsia="en-US"/>
        </w:rPr>
        <w:t xml:space="preserve"> </w:t>
      </w:r>
      <w:r w:rsidR="008859F2" w:rsidRPr="00845BD2">
        <w:rPr>
          <w:rFonts w:asciiTheme="minorHAnsi" w:hAnsiTheme="minorHAnsi" w:cs="Arial"/>
          <w:color w:val="000000"/>
          <w:lang w:eastAsia="en-US"/>
        </w:rPr>
        <w:t>p</w:t>
      </w:r>
      <w:r w:rsidR="001F4266" w:rsidRPr="00845BD2">
        <w:rPr>
          <w:rFonts w:asciiTheme="minorHAnsi" w:hAnsiTheme="minorHAnsi" w:cs="Arial"/>
          <w:color w:val="000000"/>
          <w:lang w:eastAsia="en-US"/>
        </w:rPr>
        <w:t>eople were prescribed a topical antibiotic</w:t>
      </w:r>
    </w:p>
    <w:p w:rsidR="001F4266" w:rsidRPr="00845BD2" w:rsidRDefault="001F4266" w:rsidP="00845BD2">
      <w:pPr>
        <w:jc w:val="both"/>
        <w:rPr>
          <w:rFonts w:asciiTheme="minorHAnsi" w:hAnsiTheme="minorHAnsi" w:cs="Arial"/>
          <w:lang w:eastAsia="en-US"/>
        </w:rPr>
      </w:pPr>
    </w:p>
    <w:p w:rsidR="001F4266" w:rsidRPr="00845BD2" w:rsidRDefault="001F4266" w:rsidP="00845BD2">
      <w:pPr>
        <w:keepNext/>
        <w:pBdr>
          <w:top w:val="single" w:sz="4" w:space="1" w:color="auto"/>
          <w:left w:val="single" w:sz="4" w:space="4" w:color="auto"/>
          <w:bottom w:val="single" w:sz="4" w:space="1" w:color="auto"/>
          <w:right w:val="single" w:sz="4" w:space="4" w:color="auto"/>
        </w:pBdr>
        <w:shd w:val="clear" w:color="auto" w:fill="CCCCCC"/>
        <w:jc w:val="both"/>
        <w:outlineLvl w:val="1"/>
        <w:rPr>
          <w:rFonts w:asciiTheme="minorHAnsi" w:hAnsiTheme="minorHAnsi" w:cs="Arial"/>
          <w:b/>
          <w:bCs/>
          <w:lang w:eastAsia="en-US"/>
        </w:rPr>
      </w:pPr>
      <w:r w:rsidRPr="00845BD2">
        <w:rPr>
          <w:rFonts w:asciiTheme="minorHAnsi" w:hAnsiTheme="minorHAnsi" w:cs="Arial"/>
          <w:b/>
          <w:bCs/>
          <w:lang w:eastAsia="en-US"/>
        </w:rPr>
        <w:t>Information from data collection</w:t>
      </w:r>
    </w:p>
    <w:p w:rsidR="001F4266" w:rsidRPr="00845BD2" w:rsidRDefault="001F4266" w:rsidP="00845BD2">
      <w:pPr>
        <w:jc w:val="both"/>
        <w:rPr>
          <w:rFonts w:asciiTheme="minorHAnsi" w:hAnsiTheme="minorHAnsi" w:cs="Arial"/>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6"/>
        <w:gridCol w:w="5103"/>
      </w:tblGrid>
      <w:tr w:rsidR="001F4266" w:rsidRPr="00845BD2" w:rsidTr="008C3359">
        <w:tc>
          <w:tcPr>
            <w:tcW w:w="4786" w:type="dxa"/>
          </w:tcPr>
          <w:p w:rsidR="001F4266" w:rsidRPr="00845BD2" w:rsidRDefault="001F4266" w:rsidP="00845BD2">
            <w:pPr>
              <w:jc w:val="both"/>
              <w:rPr>
                <w:rFonts w:asciiTheme="minorHAnsi" w:hAnsiTheme="minorHAnsi" w:cs="Calibri"/>
                <w:lang w:eastAsia="en-US"/>
              </w:rPr>
            </w:pPr>
            <w:r w:rsidRPr="00845BD2">
              <w:rPr>
                <w:rFonts w:asciiTheme="minorHAnsi" w:hAnsiTheme="minorHAnsi" w:cs="Calibri"/>
                <w:lang w:eastAsia="en-US"/>
              </w:rPr>
              <w:t>Age group a</w:t>
            </w:r>
            <w:r w:rsidR="00510E32" w:rsidRPr="00845BD2">
              <w:rPr>
                <w:rFonts w:asciiTheme="minorHAnsi" w:hAnsiTheme="minorHAnsi" w:cs="Calibri"/>
                <w:lang w:eastAsia="en-US"/>
              </w:rPr>
              <w:t xml:space="preserve">nd antibiotics prescribed  = </w:t>
            </w:r>
            <w:r w:rsidRPr="00845BD2">
              <w:rPr>
                <w:rFonts w:asciiTheme="minorHAnsi" w:hAnsiTheme="minorHAnsi" w:cs="Calibri"/>
                <w:lang w:eastAsia="en-US"/>
              </w:rPr>
              <w:t xml:space="preserve"> </w:t>
            </w:r>
            <w:r w:rsidR="00BD2726" w:rsidRPr="00845BD2">
              <w:rPr>
                <w:rFonts w:asciiTheme="minorHAnsi" w:hAnsiTheme="minorHAnsi" w:cs="Calibri"/>
                <w:lang w:eastAsia="en-US"/>
              </w:rPr>
              <w:t>3909</w:t>
            </w:r>
          </w:p>
          <w:p w:rsidR="001F4266" w:rsidRPr="00845BD2" w:rsidRDefault="001F4266" w:rsidP="00845BD2">
            <w:pPr>
              <w:jc w:val="both"/>
              <w:rPr>
                <w:rFonts w:asciiTheme="minorHAnsi" w:hAnsiTheme="minorHAnsi" w:cs="Calibri"/>
                <w:lang w:eastAsia="en-US"/>
              </w:rPr>
            </w:pPr>
          </w:p>
        </w:tc>
        <w:tc>
          <w:tcPr>
            <w:tcW w:w="5103" w:type="dxa"/>
          </w:tcPr>
          <w:p w:rsidR="001F4266" w:rsidRPr="00845BD2" w:rsidRDefault="00510E32" w:rsidP="00845BD2">
            <w:pPr>
              <w:jc w:val="both"/>
              <w:rPr>
                <w:rFonts w:asciiTheme="minorHAnsi" w:hAnsiTheme="minorHAnsi" w:cs="Calibri"/>
                <w:lang w:eastAsia="en-US"/>
              </w:rPr>
            </w:pPr>
            <w:r w:rsidRPr="00845BD2">
              <w:rPr>
                <w:rFonts w:asciiTheme="minorHAnsi" w:hAnsiTheme="minorHAnsi" w:cs="Calibri"/>
                <w:lang w:eastAsia="en-US"/>
              </w:rPr>
              <w:t xml:space="preserve">0-4 =  </w:t>
            </w:r>
            <w:r w:rsidR="00990F40" w:rsidRPr="00845BD2">
              <w:rPr>
                <w:rFonts w:asciiTheme="minorHAnsi" w:hAnsiTheme="minorHAnsi" w:cs="Calibri"/>
                <w:lang w:eastAsia="en-US"/>
              </w:rPr>
              <w:t xml:space="preserve">    </w:t>
            </w:r>
            <w:r w:rsidR="00BD2726" w:rsidRPr="00845BD2">
              <w:rPr>
                <w:rFonts w:asciiTheme="minorHAnsi" w:hAnsiTheme="minorHAnsi" w:cs="Calibri"/>
                <w:lang w:eastAsia="en-US"/>
              </w:rPr>
              <w:t>73</w:t>
            </w:r>
            <w:r w:rsidRPr="00845BD2">
              <w:rPr>
                <w:rFonts w:asciiTheme="minorHAnsi" w:hAnsiTheme="minorHAnsi" w:cs="Calibri"/>
                <w:lang w:eastAsia="en-US"/>
              </w:rPr>
              <w:t xml:space="preserve">          </w:t>
            </w:r>
            <w:r w:rsidR="00990F40" w:rsidRPr="00845BD2">
              <w:rPr>
                <w:rFonts w:asciiTheme="minorHAnsi" w:hAnsiTheme="minorHAnsi" w:cs="Calibri"/>
                <w:lang w:eastAsia="en-US"/>
              </w:rPr>
              <w:t xml:space="preserve"> </w:t>
            </w:r>
          </w:p>
          <w:p w:rsidR="001F4266" w:rsidRPr="00845BD2" w:rsidRDefault="00510E32" w:rsidP="00845BD2">
            <w:pPr>
              <w:jc w:val="both"/>
              <w:rPr>
                <w:rFonts w:asciiTheme="minorHAnsi" w:hAnsiTheme="minorHAnsi" w:cs="Calibri"/>
                <w:lang w:eastAsia="en-US"/>
              </w:rPr>
            </w:pPr>
            <w:r w:rsidRPr="00845BD2">
              <w:rPr>
                <w:rFonts w:asciiTheme="minorHAnsi" w:hAnsiTheme="minorHAnsi" w:cs="Calibri"/>
                <w:lang w:eastAsia="en-US"/>
              </w:rPr>
              <w:t xml:space="preserve">5-14 =    </w:t>
            </w:r>
            <w:r w:rsidR="00BD2726" w:rsidRPr="00845BD2">
              <w:rPr>
                <w:rFonts w:asciiTheme="minorHAnsi" w:hAnsiTheme="minorHAnsi" w:cs="Calibri"/>
                <w:lang w:eastAsia="en-US"/>
              </w:rPr>
              <w:t>135</w:t>
            </w:r>
            <w:r w:rsidRPr="00845BD2">
              <w:rPr>
                <w:rFonts w:asciiTheme="minorHAnsi" w:hAnsiTheme="minorHAnsi" w:cs="Calibri"/>
                <w:lang w:eastAsia="en-US"/>
              </w:rPr>
              <w:t xml:space="preserve">       </w:t>
            </w:r>
            <w:r w:rsidR="00990F40" w:rsidRPr="00845BD2">
              <w:rPr>
                <w:rFonts w:asciiTheme="minorHAnsi" w:hAnsiTheme="minorHAnsi" w:cs="Calibri"/>
                <w:lang w:eastAsia="en-US"/>
              </w:rPr>
              <w:t xml:space="preserve"> </w:t>
            </w:r>
          </w:p>
          <w:p w:rsidR="001F4266" w:rsidRPr="00845BD2" w:rsidRDefault="00510E32" w:rsidP="00845BD2">
            <w:pPr>
              <w:jc w:val="both"/>
              <w:rPr>
                <w:rFonts w:asciiTheme="minorHAnsi" w:hAnsiTheme="minorHAnsi" w:cs="Calibri"/>
                <w:lang w:eastAsia="en-US"/>
              </w:rPr>
            </w:pPr>
            <w:r w:rsidRPr="00845BD2">
              <w:rPr>
                <w:rFonts w:asciiTheme="minorHAnsi" w:hAnsiTheme="minorHAnsi" w:cs="Calibri"/>
                <w:lang w:eastAsia="en-US"/>
              </w:rPr>
              <w:t xml:space="preserve">15-29 = </w:t>
            </w:r>
            <w:r w:rsidR="00990F40" w:rsidRPr="00845BD2">
              <w:rPr>
                <w:rFonts w:asciiTheme="minorHAnsi" w:hAnsiTheme="minorHAnsi" w:cs="Calibri"/>
                <w:lang w:eastAsia="en-US"/>
              </w:rPr>
              <w:t xml:space="preserve"> </w:t>
            </w:r>
            <w:r w:rsidR="00BD2726" w:rsidRPr="00845BD2">
              <w:rPr>
                <w:rFonts w:asciiTheme="minorHAnsi" w:hAnsiTheme="minorHAnsi" w:cs="Calibri"/>
                <w:lang w:eastAsia="en-US"/>
              </w:rPr>
              <w:t>416</w:t>
            </w:r>
            <w:r w:rsidR="001F4266" w:rsidRPr="00845BD2">
              <w:rPr>
                <w:rFonts w:asciiTheme="minorHAnsi" w:hAnsiTheme="minorHAnsi" w:cs="Calibri"/>
                <w:lang w:eastAsia="en-US"/>
              </w:rPr>
              <w:t xml:space="preserve">     </w:t>
            </w:r>
            <w:r w:rsidR="00990F40" w:rsidRPr="00845BD2">
              <w:rPr>
                <w:rFonts w:asciiTheme="minorHAnsi" w:hAnsiTheme="minorHAnsi" w:cs="Calibri"/>
                <w:lang w:eastAsia="en-US"/>
              </w:rPr>
              <w:t xml:space="preserve">  </w:t>
            </w:r>
            <w:r w:rsidRPr="00845BD2">
              <w:rPr>
                <w:rFonts w:asciiTheme="minorHAnsi" w:hAnsiTheme="minorHAnsi" w:cs="Calibri"/>
                <w:lang w:eastAsia="en-US"/>
              </w:rPr>
              <w:t xml:space="preserve"> </w:t>
            </w:r>
          </w:p>
          <w:p w:rsidR="004707A1" w:rsidRPr="00845BD2" w:rsidRDefault="004707A1" w:rsidP="00845BD2">
            <w:pPr>
              <w:jc w:val="both"/>
              <w:rPr>
                <w:rFonts w:asciiTheme="minorHAnsi" w:hAnsiTheme="minorHAnsi" w:cs="Calibri"/>
                <w:lang w:eastAsia="en-US"/>
              </w:rPr>
            </w:pPr>
            <w:r w:rsidRPr="00845BD2">
              <w:rPr>
                <w:rFonts w:asciiTheme="minorHAnsi" w:hAnsiTheme="minorHAnsi" w:cs="Calibri"/>
                <w:lang w:eastAsia="en-US"/>
              </w:rPr>
              <w:t xml:space="preserve">30-44 = 517 </w:t>
            </w:r>
          </w:p>
          <w:p w:rsidR="004707A1" w:rsidRPr="00845BD2" w:rsidRDefault="004707A1" w:rsidP="00845BD2">
            <w:pPr>
              <w:jc w:val="both"/>
              <w:rPr>
                <w:rFonts w:asciiTheme="minorHAnsi" w:hAnsiTheme="minorHAnsi" w:cs="Calibri"/>
                <w:lang w:eastAsia="en-US"/>
              </w:rPr>
            </w:pPr>
            <w:r w:rsidRPr="00845BD2">
              <w:rPr>
                <w:rFonts w:asciiTheme="minorHAnsi" w:hAnsiTheme="minorHAnsi" w:cs="Calibri"/>
                <w:lang w:eastAsia="en-US"/>
              </w:rPr>
              <w:t>45-59 = 720</w:t>
            </w:r>
          </w:p>
          <w:p w:rsidR="004707A1" w:rsidRPr="00845BD2" w:rsidRDefault="004707A1" w:rsidP="00845BD2">
            <w:pPr>
              <w:jc w:val="both"/>
              <w:rPr>
                <w:rFonts w:asciiTheme="minorHAnsi" w:hAnsiTheme="minorHAnsi" w:cs="Calibri"/>
                <w:lang w:eastAsia="en-US"/>
              </w:rPr>
            </w:pPr>
            <w:r w:rsidRPr="00845BD2">
              <w:rPr>
                <w:rFonts w:asciiTheme="minorHAnsi" w:hAnsiTheme="minorHAnsi" w:cs="Calibri"/>
                <w:lang w:eastAsia="en-US"/>
              </w:rPr>
              <w:t>60-74 = 1088</w:t>
            </w:r>
            <w:r w:rsidR="001F4266" w:rsidRPr="00845BD2">
              <w:rPr>
                <w:rFonts w:asciiTheme="minorHAnsi" w:hAnsiTheme="minorHAnsi" w:cs="Calibri"/>
                <w:lang w:eastAsia="en-US"/>
              </w:rPr>
              <w:t xml:space="preserve">                           </w:t>
            </w:r>
            <w:r w:rsidR="00990F40" w:rsidRPr="00845BD2">
              <w:rPr>
                <w:rFonts w:asciiTheme="minorHAnsi" w:hAnsiTheme="minorHAnsi" w:cs="Calibri"/>
                <w:lang w:eastAsia="en-US"/>
              </w:rPr>
              <w:t xml:space="preserve">  </w:t>
            </w:r>
          </w:p>
          <w:p w:rsidR="001F4266" w:rsidRPr="00845BD2" w:rsidRDefault="001F4266" w:rsidP="00845BD2">
            <w:pPr>
              <w:jc w:val="both"/>
              <w:rPr>
                <w:rFonts w:asciiTheme="minorHAnsi" w:hAnsiTheme="minorHAnsi" w:cs="Calibri"/>
                <w:bCs/>
                <w:lang w:eastAsia="en-US"/>
              </w:rPr>
            </w:pPr>
            <w:r w:rsidRPr="00845BD2">
              <w:rPr>
                <w:rFonts w:asciiTheme="minorHAnsi" w:hAnsiTheme="minorHAnsi" w:cs="Calibri"/>
                <w:lang w:eastAsia="en-US"/>
              </w:rPr>
              <w:t xml:space="preserve">Over 75 = </w:t>
            </w:r>
            <w:r w:rsidR="00BD2726" w:rsidRPr="00845BD2">
              <w:rPr>
                <w:rFonts w:asciiTheme="minorHAnsi" w:hAnsiTheme="minorHAnsi" w:cs="Calibri"/>
                <w:lang w:eastAsia="en-US"/>
              </w:rPr>
              <w:t>960</w:t>
            </w:r>
          </w:p>
        </w:tc>
      </w:tr>
      <w:tr w:rsidR="001F4266" w:rsidRPr="00845BD2" w:rsidTr="008C3359">
        <w:trPr>
          <w:trHeight w:val="187"/>
        </w:trPr>
        <w:tc>
          <w:tcPr>
            <w:tcW w:w="4786" w:type="dxa"/>
          </w:tcPr>
          <w:p w:rsidR="001F4266" w:rsidRPr="00845BD2" w:rsidRDefault="001F4266" w:rsidP="00845BD2">
            <w:pPr>
              <w:jc w:val="both"/>
              <w:rPr>
                <w:rFonts w:asciiTheme="minorHAnsi" w:hAnsiTheme="minorHAnsi" w:cs="Calibri"/>
                <w:lang w:eastAsia="en-US"/>
              </w:rPr>
            </w:pPr>
            <w:r w:rsidRPr="00845BD2">
              <w:rPr>
                <w:rFonts w:asciiTheme="minorHAnsi" w:hAnsiTheme="minorHAnsi" w:cs="Calibri"/>
                <w:lang w:eastAsia="en-US"/>
              </w:rPr>
              <w:t>Courses of ant</w:t>
            </w:r>
            <w:r w:rsidR="00BD2726" w:rsidRPr="00845BD2">
              <w:rPr>
                <w:rFonts w:asciiTheme="minorHAnsi" w:hAnsiTheme="minorHAnsi" w:cs="Calibri"/>
                <w:lang w:eastAsia="en-US"/>
              </w:rPr>
              <w:t>ibiotics prescribed total =  5122</w:t>
            </w:r>
          </w:p>
          <w:p w:rsidR="001F4266" w:rsidRPr="00845BD2" w:rsidRDefault="001F4266" w:rsidP="00845BD2">
            <w:pPr>
              <w:jc w:val="both"/>
              <w:rPr>
                <w:rFonts w:asciiTheme="minorHAnsi" w:hAnsiTheme="minorHAnsi" w:cs="Calibri"/>
                <w:lang w:eastAsia="en-US"/>
              </w:rPr>
            </w:pPr>
          </w:p>
        </w:tc>
        <w:tc>
          <w:tcPr>
            <w:tcW w:w="5103" w:type="dxa"/>
          </w:tcPr>
          <w:p w:rsidR="001F4266" w:rsidRPr="00845BD2" w:rsidRDefault="00510E32" w:rsidP="00845BD2">
            <w:pPr>
              <w:jc w:val="both"/>
              <w:rPr>
                <w:rFonts w:asciiTheme="minorHAnsi" w:hAnsiTheme="minorHAnsi" w:cs="Calibri"/>
                <w:lang w:eastAsia="en-US"/>
              </w:rPr>
            </w:pPr>
            <w:proofErr w:type="spellStart"/>
            <w:r w:rsidRPr="00845BD2">
              <w:rPr>
                <w:rFonts w:asciiTheme="minorHAnsi" w:hAnsiTheme="minorHAnsi" w:cs="Calibri"/>
                <w:lang w:eastAsia="en-US"/>
              </w:rPr>
              <w:t>Cefalosporins</w:t>
            </w:r>
            <w:proofErr w:type="spellEnd"/>
            <w:r w:rsidRPr="00845BD2">
              <w:rPr>
                <w:rFonts w:asciiTheme="minorHAnsi" w:hAnsiTheme="minorHAnsi" w:cs="Calibri"/>
                <w:lang w:eastAsia="en-US"/>
              </w:rPr>
              <w:t xml:space="preserve"> = </w:t>
            </w:r>
            <w:r w:rsidR="00BD2726" w:rsidRPr="00845BD2">
              <w:rPr>
                <w:rFonts w:asciiTheme="minorHAnsi" w:hAnsiTheme="minorHAnsi" w:cs="Calibri"/>
                <w:lang w:eastAsia="en-US"/>
              </w:rPr>
              <w:t>1635</w:t>
            </w:r>
          </w:p>
          <w:p w:rsidR="001F4266" w:rsidRPr="00845BD2" w:rsidRDefault="00510E32" w:rsidP="00845BD2">
            <w:pPr>
              <w:jc w:val="both"/>
              <w:rPr>
                <w:rFonts w:asciiTheme="minorHAnsi" w:hAnsiTheme="minorHAnsi" w:cs="Calibri"/>
                <w:lang w:eastAsia="en-US"/>
              </w:rPr>
            </w:pPr>
            <w:r w:rsidRPr="00845BD2">
              <w:rPr>
                <w:rFonts w:asciiTheme="minorHAnsi" w:hAnsiTheme="minorHAnsi" w:cs="Calibri"/>
                <w:lang w:eastAsia="en-US"/>
              </w:rPr>
              <w:t xml:space="preserve">Co-amoxiclav  = </w:t>
            </w:r>
            <w:r w:rsidR="00BD2726" w:rsidRPr="00845BD2">
              <w:rPr>
                <w:rFonts w:asciiTheme="minorHAnsi" w:hAnsiTheme="minorHAnsi" w:cs="Calibri"/>
                <w:lang w:eastAsia="en-US"/>
              </w:rPr>
              <w:t>1694</w:t>
            </w:r>
          </w:p>
          <w:p w:rsidR="001F4266" w:rsidRPr="00845BD2" w:rsidRDefault="00510E32" w:rsidP="00845BD2">
            <w:pPr>
              <w:jc w:val="both"/>
              <w:rPr>
                <w:rFonts w:asciiTheme="minorHAnsi" w:hAnsiTheme="minorHAnsi" w:cs="Calibri"/>
                <w:lang w:eastAsia="en-US"/>
              </w:rPr>
            </w:pPr>
            <w:r w:rsidRPr="00845BD2">
              <w:rPr>
                <w:rFonts w:asciiTheme="minorHAnsi" w:hAnsiTheme="minorHAnsi" w:cs="Calibri"/>
                <w:lang w:eastAsia="en-US"/>
              </w:rPr>
              <w:t>Ciprofloxacin =</w:t>
            </w:r>
            <w:r w:rsidR="00A1169B" w:rsidRPr="00845BD2">
              <w:rPr>
                <w:rFonts w:asciiTheme="minorHAnsi" w:hAnsiTheme="minorHAnsi" w:cs="Calibri"/>
                <w:lang w:eastAsia="en-US"/>
              </w:rPr>
              <w:t xml:space="preserve"> 1157</w:t>
            </w:r>
          </w:p>
          <w:p w:rsidR="001F4266" w:rsidRPr="00845BD2" w:rsidRDefault="001F4266" w:rsidP="00845BD2">
            <w:pPr>
              <w:jc w:val="both"/>
              <w:rPr>
                <w:rFonts w:asciiTheme="minorHAnsi" w:hAnsiTheme="minorHAnsi" w:cs="Calibri"/>
                <w:lang w:eastAsia="en-US"/>
              </w:rPr>
            </w:pPr>
            <w:r w:rsidRPr="00845BD2">
              <w:rPr>
                <w:rFonts w:asciiTheme="minorHAnsi" w:hAnsiTheme="minorHAnsi" w:cs="Calibri"/>
                <w:lang w:eastAsia="en-US"/>
              </w:rPr>
              <w:t xml:space="preserve">Others = </w:t>
            </w:r>
            <w:r w:rsidR="00A1169B" w:rsidRPr="00845BD2">
              <w:rPr>
                <w:rFonts w:asciiTheme="minorHAnsi" w:hAnsiTheme="minorHAnsi" w:cs="Calibri"/>
                <w:lang w:eastAsia="en-US"/>
              </w:rPr>
              <w:t>577</w:t>
            </w:r>
          </w:p>
        </w:tc>
      </w:tr>
      <w:tr w:rsidR="001F4266" w:rsidRPr="00845BD2" w:rsidTr="008C3359">
        <w:trPr>
          <w:trHeight w:val="187"/>
        </w:trPr>
        <w:tc>
          <w:tcPr>
            <w:tcW w:w="4786" w:type="dxa"/>
          </w:tcPr>
          <w:p w:rsidR="00A574BE" w:rsidRPr="00845BD2" w:rsidRDefault="001F4266" w:rsidP="00845BD2">
            <w:pPr>
              <w:jc w:val="both"/>
              <w:rPr>
                <w:rFonts w:asciiTheme="minorHAnsi" w:hAnsiTheme="minorHAnsi" w:cs="Calibri"/>
                <w:lang w:eastAsia="en-US"/>
              </w:rPr>
            </w:pPr>
            <w:r w:rsidRPr="00845BD2">
              <w:rPr>
                <w:rFonts w:asciiTheme="minorHAnsi" w:hAnsiTheme="minorHAnsi" w:cs="Calibri"/>
                <w:lang w:eastAsia="en-US"/>
              </w:rPr>
              <w:t>No of people also prescribed a PPI</w:t>
            </w:r>
          </w:p>
        </w:tc>
        <w:tc>
          <w:tcPr>
            <w:tcW w:w="5103" w:type="dxa"/>
          </w:tcPr>
          <w:p w:rsidR="001F4266" w:rsidRPr="00845BD2" w:rsidRDefault="001F4266" w:rsidP="00845BD2">
            <w:pPr>
              <w:jc w:val="both"/>
              <w:rPr>
                <w:rFonts w:asciiTheme="minorHAnsi" w:hAnsiTheme="minorHAnsi" w:cs="Calibri"/>
                <w:lang w:eastAsia="en-US"/>
              </w:rPr>
            </w:pPr>
            <w:r w:rsidRPr="00845BD2">
              <w:rPr>
                <w:rFonts w:asciiTheme="minorHAnsi" w:hAnsiTheme="minorHAnsi" w:cs="Calibri"/>
                <w:lang w:eastAsia="en-US"/>
              </w:rPr>
              <w:t xml:space="preserve">= </w:t>
            </w:r>
            <w:r w:rsidR="00A1169B" w:rsidRPr="00845BD2">
              <w:rPr>
                <w:rFonts w:asciiTheme="minorHAnsi" w:hAnsiTheme="minorHAnsi" w:cs="Calibri"/>
                <w:lang w:eastAsia="en-US"/>
              </w:rPr>
              <w:t>1334</w:t>
            </w:r>
          </w:p>
        </w:tc>
      </w:tr>
    </w:tbl>
    <w:p w:rsidR="008859F2" w:rsidRPr="00845BD2" w:rsidRDefault="008859F2" w:rsidP="00845BD2">
      <w:pPr>
        <w:spacing w:after="180"/>
        <w:ind w:left="720"/>
        <w:jc w:val="both"/>
        <w:rPr>
          <w:rFonts w:asciiTheme="minorHAnsi" w:hAnsiTheme="minorHAnsi" w:cs="Arial"/>
          <w:lang w:eastAsia="en-US"/>
        </w:rPr>
      </w:pPr>
    </w:p>
    <w:p w:rsidR="00845BD2" w:rsidRDefault="00990F40" w:rsidP="00845BD2">
      <w:pPr>
        <w:numPr>
          <w:ilvl w:val="0"/>
          <w:numId w:val="9"/>
        </w:numPr>
        <w:spacing w:after="180"/>
        <w:jc w:val="both"/>
        <w:rPr>
          <w:rFonts w:asciiTheme="minorHAnsi" w:hAnsiTheme="minorHAnsi" w:cs="Arial"/>
          <w:lang w:eastAsia="en-US"/>
        </w:rPr>
      </w:pPr>
      <w:r w:rsidRPr="00845BD2">
        <w:rPr>
          <w:rFonts w:asciiTheme="minorHAnsi" w:eastAsiaTheme="minorEastAsia" w:hAnsiTheme="minorHAnsi" w:cs="Arial"/>
          <w:kern w:val="24"/>
          <w:lang w:val="en-US"/>
        </w:rPr>
        <w:t>2.8% of patients were prescribed a high risk antibiotic in the past year = 3909 patients</w:t>
      </w:r>
      <w:r w:rsidRPr="00845BD2">
        <w:rPr>
          <w:rFonts w:asciiTheme="minorHAnsi" w:hAnsiTheme="minorHAnsi" w:cs="Arial"/>
          <w:lang w:eastAsia="en-US"/>
        </w:rPr>
        <w:t xml:space="preserve">. </w:t>
      </w:r>
    </w:p>
    <w:p w:rsidR="00990F40" w:rsidRPr="00845BD2" w:rsidRDefault="00990F40" w:rsidP="00845BD2">
      <w:pPr>
        <w:spacing w:after="180"/>
        <w:jc w:val="both"/>
        <w:rPr>
          <w:rFonts w:asciiTheme="minorHAnsi" w:hAnsiTheme="minorHAnsi" w:cs="Arial"/>
          <w:lang w:eastAsia="en-US"/>
        </w:rPr>
      </w:pPr>
      <w:r w:rsidRPr="00845BD2">
        <w:rPr>
          <w:rFonts w:asciiTheme="minorHAnsi" w:eastAsiaTheme="minorEastAsia" w:hAnsiTheme="minorHAnsi" w:cs="Arial"/>
          <w:kern w:val="24"/>
          <w:lang w:val="en-US"/>
        </w:rPr>
        <w:t>These were as shown in the table below:</w:t>
      </w:r>
    </w:p>
    <w:tbl>
      <w:tblPr>
        <w:tblW w:w="9735" w:type="dxa"/>
        <w:jc w:val="center"/>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3"/>
        <w:gridCol w:w="850"/>
        <w:gridCol w:w="1559"/>
        <w:gridCol w:w="851"/>
        <w:gridCol w:w="1701"/>
        <w:gridCol w:w="850"/>
        <w:gridCol w:w="1324"/>
        <w:gridCol w:w="857"/>
      </w:tblGrid>
      <w:tr w:rsidR="00845BD2" w:rsidRPr="00845BD2" w:rsidTr="00845BD2">
        <w:trPr>
          <w:trHeight w:val="416"/>
          <w:jc w:val="center"/>
        </w:trPr>
        <w:tc>
          <w:tcPr>
            <w:tcW w:w="1743" w:type="dxa"/>
            <w:shd w:val="clear" w:color="000000" w:fill="D9D2E9"/>
            <w:noWrap/>
            <w:vAlign w:val="bottom"/>
            <w:hideMark/>
          </w:tcPr>
          <w:p w:rsidR="00990F40" w:rsidRPr="00845BD2" w:rsidRDefault="00990F40" w:rsidP="00845BD2">
            <w:pPr>
              <w:jc w:val="both"/>
              <w:rPr>
                <w:rFonts w:asciiTheme="minorHAnsi" w:hAnsiTheme="minorHAnsi" w:cs="Arial"/>
                <w:b/>
                <w:bCs/>
              </w:rPr>
            </w:pPr>
            <w:proofErr w:type="spellStart"/>
            <w:r w:rsidRPr="00845BD2">
              <w:rPr>
                <w:rFonts w:asciiTheme="minorHAnsi" w:hAnsiTheme="minorHAnsi" w:cs="Arial"/>
                <w:b/>
                <w:bCs/>
              </w:rPr>
              <w:t>Cefalosporins</w:t>
            </w:r>
            <w:proofErr w:type="spellEnd"/>
          </w:p>
        </w:tc>
        <w:tc>
          <w:tcPr>
            <w:tcW w:w="850" w:type="dxa"/>
            <w:shd w:val="clear" w:color="000000" w:fill="D9D2E9"/>
            <w:noWrap/>
            <w:vAlign w:val="bottom"/>
            <w:hideMark/>
          </w:tcPr>
          <w:p w:rsidR="00990F40" w:rsidRPr="00845BD2" w:rsidRDefault="00990F40" w:rsidP="00845BD2">
            <w:pPr>
              <w:jc w:val="both"/>
              <w:rPr>
                <w:rFonts w:asciiTheme="minorHAnsi" w:hAnsiTheme="minorHAnsi" w:cs="Arial"/>
                <w:b/>
                <w:bCs/>
              </w:rPr>
            </w:pPr>
            <w:r w:rsidRPr="00845BD2">
              <w:rPr>
                <w:rFonts w:asciiTheme="minorHAnsi" w:hAnsiTheme="minorHAnsi" w:cs="Arial"/>
                <w:b/>
                <w:bCs/>
              </w:rPr>
              <w:t>% of total</w:t>
            </w:r>
          </w:p>
        </w:tc>
        <w:tc>
          <w:tcPr>
            <w:tcW w:w="1559" w:type="dxa"/>
            <w:shd w:val="clear" w:color="000000" w:fill="D9D2E9"/>
            <w:noWrap/>
            <w:vAlign w:val="bottom"/>
            <w:hideMark/>
          </w:tcPr>
          <w:p w:rsidR="00990F40" w:rsidRPr="00845BD2" w:rsidRDefault="00990F40" w:rsidP="00845BD2">
            <w:pPr>
              <w:jc w:val="both"/>
              <w:rPr>
                <w:rFonts w:asciiTheme="minorHAnsi" w:hAnsiTheme="minorHAnsi" w:cs="Arial"/>
                <w:b/>
                <w:bCs/>
              </w:rPr>
            </w:pPr>
            <w:r w:rsidRPr="00845BD2">
              <w:rPr>
                <w:rFonts w:asciiTheme="minorHAnsi" w:hAnsiTheme="minorHAnsi" w:cs="Arial"/>
                <w:b/>
                <w:bCs/>
              </w:rPr>
              <w:t>Co-amoxiclav</w:t>
            </w:r>
          </w:p>
        </w:tc>
        <w:tc>
          <w:tcPr>
            <w:tcW w:w="851" w:type="dxa"/>
            <w:shd w:val="clear" w:color="000000" w:fill="D9D2E9"/>
            <w:noWrap/>
            <w:vAlign w:val="bottom"/>
            <w:hideMark/>
          </w:tcPr>
          <w:p w:rsidR="00990F40" w:rsidRPr="00845BD2" w:rsidRDefault="00990F40" w:rsidP="00845BD2">
            <w:pPr>
              <w:jc w:val="both"/>
              <w:rPr>
                <w:rFonts w:asciiTheme="minorHAnsi" w:hAnsiTheme="minorHAnsi" w:cs="Arial"/>
                <w:b/>
                <w:bCs/>
              </w:rPr>
            </w:pPr>
            <w:r w:rsidRPr="00845BD2">
              <w:rPr>
                <w:rFonts w:asciiTheme="minorHAnsi" w:hAnsiTheme="minorHAnsi" w:cs="Arial"/>
                <w:b/>
                <w:bCs/>
              </w:rPr>
              <w:t>% of total</w:t>
            </w:r>
          </w:p>
        </w:tc>
        <w:tc>
          <w:tcPr>
            <w:tcW w:w="1701" w:type="dxa"/>
            <w:shd w:val="clear" w:color="000000" w:fill="D9D2E9"/>
            <w:noWrap/>
            <w:vAlign w:val="bottom"/>
            <w:hideMark/>
          </w:tcPr>
          <w:p w:rsidR="00990F40" w:rsidRPr="00845BD2" w:rsidRDefault="00990F40" w:rsidP="00845BD2">
            <w:pPr>
              <w:jc w:val="both"/>
              <w:rPr>
                <w:rFonts w:asciiTheme="minorHAnsi" w:hAnsiTheme="minorHAnsi" w:cs="Arial"/>
                <w:b/>
                <w:bCs/>
              </w:rPr>
            </w:pPr>
            <w:r w:rsidRPr="00845BD2">
              <w:rPr>
                <w:rFonts w:asciiTheme="minorHAnsi" w:hAnsiTheme="minorHAnsi" w:cs="Arial"/>
                <w:b/>
                <w:bCs/>
              </w:rPr>
              <w:t>Ciprofloxacin</w:t>
            </w:r>
          </w:p>
        </w:tc>
        <w:tc>
          <w:tcPr>
            <w:tcW w:w="850" w:type="dxa"/>
            <w:shd w:val="clear" w:color="000000" w:fill="D9D2E9"/>
            <w:noWrap/>
            <w:vAlign w:val="bottom"/>
            <w:hideMark/>
          </w:tcPr>
          <w:p w:rsidR="00990F40" w:rsidRPr="00845BD2" w:rsidRDefault="00990F40" w:rsidP="00845BD2">
            <w:pPr>
              <w:jc w:val="both"/>
              <w:rPr>
                <w:rFonts w:asciiTheme="minorHAnsi" w:hAnsiTheme="minorHAnsi" w:cs="Arial"/>
                <w:b/>
                <w:bCs/>
              </w:rPr>
            </w:pPr>
            <w:r w:rsidRPr="00845BD2">
              <w:rPr>
                <w:rFonts w:asciiTheme="minorHAnsi" w:hAnsiTheme="minorHAnsi" w:cs="Arial"/>
                <w:b/>
                <w:bCs/>
              </w:rPr>
              <w:t>% of total</w:t>
            </w:r>
          </w:p>
        </w:tc>
        <w:tc>
          <w:tcPr>
            <w:tcW w:w="1276" w:type="dxa"/>
            <w:shd w:val="clear" w:color="000000" w:fill="D9D2E9"/>
            <w:noWrap/>
            <w:vAlign w:val="bottom"/>
            <w:hideMark/>
          </w:tcPr>
          <w:p w:rsidR="00990F40" w:rsidRPr="00845BD2" w:rsidRDefault="00990F40" w:rsidP="00845BD2">
            <w:pPr>
              <w:jc w:val="both"/>
              <w:rPr>
                <w:rFonts w:asciiTheme="minorHAnsi" w:hAnsiTheme="minorHAnsi" w:cs="Arial"/>
                <w:b/>
                <w:bCs/>
              </w:rPr>
            </w:pPr>
            <w:r w:rsidRPr="00845BD2">
              <w:rPr>
                <w:rFonts w:asciiTheme="minorHAnsi" w:hAnsiTheme="minorHAnsi" w:cs="Arial"/>
                <w:b/>
                <w:bCs/>
              </w:rPr>
              <w:t>Other</w:t>
            </w:r>
            <w:r w:rsidR="00F92E08">
              <w:rPr>
                <w:rFonts w:asciiTheme="minorHAnsi" w:hAnsiTheme="minorHAnsi" w:cs="Arial"/>
                <w:b/>
                <w:bCs/>
              </w:rPr>
              <w:t xml:space="preserve"> quinolones</w:t>
            </w:r>
          </w:p>
        </w:tc>
        <w:tc>
          <w:tcPr>
            <w:tcW w:w="905" w:type="dxa"/>
            <w:shd w:val="clear" w:color="000000" w:fill="D9D2E9"/>
          </w:tcPr>
          <w:p w:rsidR="00990F40" w:rsidRPr="00845BD2" w:rsidRDefault="00990F40" w:rsidP="00845BD2">
            <w:pPr>
              <w:jc w:val="both"/>
              <w:rPr>
                <w:rFonts w:asciiTheme="minorHAnsi" w:hAnsiTheme="minorHAnsi" w:cs="Arial"/>
                <w:b/>
                <w:bCs/>
              </w:rPr>
            </w:pPr>
          </w:p>
          <w:p w:rsidR="00990F40" w:rsidRPr="00845BD2" w:rsidRDefault="00990F40" w:rsidP="00845BD2">
            <w:pPr>
              <w:jc w:val="both"/>
              <w:rPr>
                <w:rFonts w:asciiTheme="minorHAnsi" w:hAnsiTheme="minorHAnsi" w:cs="Arial"/>
                <w:b/>
                <w:bCs/>
              </w:rPr>
            </w:pPr>
            <w:r w:rsidRPr="00845BD2">
              <w:rPr>
                <w:rFonts w:asciiTheme="minorHAnsi" w:hAnsiTheme="minorHAnsi" w:cs="Arial"/>
                <w:b/>
                <w:bCs/>
              </w:rPr>
              <w:t>% of total</w:t>
            </w:r>
          </w:p>
        </w:tc>
      </w:tr>
      <w:tr w:rsidR="00845BD2" w:rsidRPr="00845BD2" w:rsidTr="00845BD2">
        <w:trPr>
          <w:trHeight w:val="504"/>
          <w:jc w:val="center"/>
        </w:trPr>
        <w:tc>
          <w:tcPr>
            <w:tcW w:w="1743" w:type="dxa"/>
            <w:shd w:val="clear" w:color="auto" w:fill="auto"/>
            <w:vAlign w:val="bottom"/>
            <w:hideMark/>
          </w:tcPr>
          <w:p w:rsidR="00990F40" w:rsidRPr="00845BD2" w:rsidRDefault="00990F40" w:rsidP="00845BD2">
            <w:pPr>
              <w:jc w:val="both"/>
              <w:rPr>
                <w:rFonts w:asciiTheme="minorHAnsi" w:hAnsiTheme="minorHAnsi" w:cs="Arial"/>
                <w:color w:val="000000"/>
              </w:rPr>
            </w:pPr>
            <w:r w:rsidRPr="00845BD2">
              <w:rPr>
                <w:rFonts w:asciiTheme="minorHAnsi" w:hAnsiTheme="minorHAnsi" w:cs="Arial"/>
                <w:color w:val="000000"/>
              </w:rPr>
              <w:t>1635</w:t>
            </w:r>
          </w:p>
          <w:p w:rsidR="00990F40" w:rsidRPr="00845BD2" w:rsidRDefault="00990F40" w:rsidP="00845BD2">
            <w:pPr>
              <w:jc w:val="both"/>
              <w:rPr>
                <w:rFonts w:asciiTheme="minorHAnsi" w:hAnsiTheme="minorHAnsi" w:cs="Arial"/>
                <w:color w:val="000000"/>
              </w:rPr>
            </w:pPr>
          </w:p>
        </w:tc>
        <w:tc>
          <w:tcPr>
            <w:tcW w:w="850" w:type="dxa"/>
            <w:shd w:val="clear" w:color="auto" w:fill="auto"/>
            <w:vAlign w:val="bottom"/>
            <w:hideMark/>
          </w:tcPr>
          <w:p w:rsidR="00990F40" w:rsidRPr="00845BD2" w:rsidRDefault="00990F40" w:rsidP="00845BD2">
            <w:pPr>
              <w:jc w:val="both"/>
              <w:rPr>
                <w:rFonts w:asciiTheme="minorHAnsi" w:hAnsiTheme="minorHAnsi" w:cs="Arial"/>
                <w:color w:val="000000"/>
              </w:rPr>
            </w:pPr>
            <w:r w:rsidRPr="00845BD2">
              <w:rPr>
                <w:rFonts w:asciiTheme="minorHAnsi" w:hAnsiTheme="minorHAnsi" w:cs="Arial"/>
                <w:color w:val="000000"/>
              </w:rPr>
              <w:t>34%</w:t>
            </w:r>
          </w:p>
          <w:p w:rsidR="00990F40" w:rsidRPr="00845BD2" w:rsidRDefault="00990F40" w:rsidP="00845BD2">
            <w:pPr>
              <w:jc w:val="both"/>
              <w:rPr>
                <w:rFonts w:asciiTheme="minorHAnsi" w:hAnsiTheme="minorHAnsi" w:cs="Arial"/>
                <w:color w:val="000000"/>
              </w:rPr>
            </w:pPr>
          </w:p>
        </w:tc>
        <w:tc>
          <w:tcPr>
            <w:tcW w:w="1559" w:type="dxa"/>
            <w:shd w:val="clear" w:color="auto" w:fill="auto"/>
            <w:vAlign w:val="bottom"/>
            <w:hideMark/>
          </w:tcPr>
          <w:p w:rsidR="00990F40" w:rsidRPr="00845BD2" w:rsidRDefault="00990F40" w:rsidP="00845BD2">
            <w:pPr>
              <w:jc w:val="both"/>
              <w:rPr>
                <w:rFonts w:asciiTheme="minorHAnsi" w:hAnsiTheme="minorHAnsi" w:cs="Arial"/>
                <w:color w:val="000000"/>
              </w:rPr>
            </w:pPr>
            <w:r w:rsidRPr="00845BD2">
              <w:rPr>
                <w:rFonts w:asciiTheme="minorHAnsi" w:hAnsiTheme="minorHAnsi" w:cs="Arial"/>
                <w:color w:val="000000"/>
              </w:rPr>
              <w:t>1694</w:t>
            </w:r>
          </w:p>
          <w:p w:rsidR="00990F40" w:rsidRPr="00845BD2" w:rsidRDefault="00990F40" w:rsidP="00845BD2">
            <w:pPr>
              <w:jc w:val="both"/>
              <w:rPr>
                <w:rFonts w:asciiTheme="minorHAnsi" w:hAnsiTheme="minorHAnsi" w:cs="Arial"/>
                <w:color w:val="000000"/>
              </w:rPr>
            </w:pPr>
          </w:p>
        </w:tc>
        <w:tc>
          <w:tcPr>
            <w:tcW w:w="851" w:type="dxa"/>
            <w:shd w:val="clear" w:color="auto" w:fill="auto"/>
            <w:vAlign w:val="bottom"/>
            <w:hideMark/>
          </w:tcPr>
          <w:p w:rsidR="00990F40" w:rsidRPr="00845BD2" w:rsidRDefault="00990F40" w:rsidP="00845BD2">
            <w:pPr>
              <w:jc w:val="both"/>
              <w:rPr>
                <w:rFonts w:asciiTheme="minorHAnsi" w:hAnsiTheme="minorHAnsi" w:cs="Arial"/>
                <w:color w:val="000000"/>
              </w:rPr>
            </w:pPr>
            <w:r w:rsidRPr="00845BD2">
              <w:rPr>
                <w:rFonts w:asciiTheme="minorHAnsi" w:hAnsiTheme="minorHAnsi" w:cs="Arial"/>
                <w:color w:val="000000"/>
              </w:rPr>
              <w:t>31%</w:t>
            </w:r>
          </w:p>
          <w:p w:rsidR="00990F40" w:rsidRPr="00845BD2" w:rsidRDefault="00990F40" w:rsidP="00845BD2">
            <w:pPr>
              <w:jc w:val="both"/>
              <w:rPr>
                <w:rFonts w:asciiTheme="minorHAnsi" w:hAnsiTheme="minorHAnsi" w:cs="Arial"/>
                <w:color w:val="000000"/>
              </w:rPr>
            </w:pPr>
          </w:p>
        </w:tc>
        <w:tc>
          <w:tcPr>
            <w:tcW w:w="1701" w:type="dxa"/>
            <w:shd w:val="clear" w:color="auto" w:fill="auto"/>
            <w:vAlign w:val="bottom"/>
            <w:hideMark/>
          </w:tcPr>
          <w:p w:rsidR="00990F40" w:rsidRPr="00845BD2" w:rsidRDefault="00990F40" w:rsidP="00845BD2">
            <w:pPr>
              <w:jc w:val="both"/>
              <w:rPr>
                <w:rFonts w:asciiTheme="minorHAnsi" w:hAnsiTheme="minorHAnsi" w:cs="Arial"/>
                <w:color w:val="000000"/>
              </w:rPr>
            </w:pPr>
            <w:r w:rsidRPr="00845BD2">
              <w:rPr>
                <w:rFonts w:asciiTheme="minorHAnsi" w:hAnsiTheme="minorHAnsi" w:cs="Arial"/>
                <w:color w:val="000000"/>
              </w:rPr>
              <w:t>1157</w:t>
            </w:r>
          </w:p>
          <w:p w:rsidR="00990F40" w:rsidRPr="00845BD2" w:rsidRDefault="00990F40" w:rsidP="00845BD2">
            <w:pPr>
              <w:jc w:val="both"/>
              <w:rPr>
                <w:rFonts w:asciiTheme="minorHAnsi" w:hAnsiTheme="minorHAnsi" w:cs="Arial"/>
                <w:color w:val="000000"/>
              </w:rPr>
            </w:pPr>
          </w:p>
        </w:tc>
        <w:tc>
          <w:tcPr>
            <w:tcW w:w="850" w:type="dxa"/>
            <w:shd w:val="clear" w:color="auto" w:fill="auto"/>
            <w:vAlign w:val="bottom"/>
            <w:hideMark/>
          </w:tcPr>
          <w:p w:rsidR="00990F40" w:rsidRPr="00845BD2" w:rsidRDefault="00990F40" w:rsidP="00845BD2">
            <w:pPr>
              <w:jc w:val="both"/>
              <w:rPr>
                <w:rFonts w:asciiTheme="minorHAnsi" w:hAnsiTheme="minorHAnsi" w:cs="Arial"/>
                <w:color w:val="000000"/>
              </w:rPr>
            </w:pPr>
            <w:r w:rsidRPr="00845BD2">
              <w:rPr>
                <w:rFonts w:asciiTheme="minorHAnsi" w:hAnsiTheme="minorHAnsi" w:cs="Arial"/>
                <w:color w:val="000000"/>
              </w:rPr>
              <w:t>23%</w:t>
            </w:r>
          </w:p>
          <w:p w:rsidR="00990F40" w:rsidRPr="00845BD2" w:rsidRDefault="00990F40" w:rsidP="00845BD2">
            <w:pPr>
              <w:jc w:val="both"/>
              <w:rPr>
                <w:rFonts w:asciiTheme="minorHAnsi" w:hAnsiTheme="minorHAnsi" w:cs="Arial"/>
                <w:color w:val="000000"/>
              </w:rPr>
            </w:pPr>
          </w:p>
        </w:tc>
        <w:tc>
          <w:tcPr>
            <w:tcW w:w="1276" w:type="dxa"/>
            <w:shd w:val="clear" w:color="auto" w:fill="auto"/>
            <w:vAlign w:val="bottom"/>
            <w:hideMark/>
          </w:tcPr>
          <w:p w:rsidR="00990F40" w:rsidRPr="00845BD2" w:rsidRDefault="00990F40" w:rsidP="00845BD2">
            <w:pPr>
              <w:jc w:val="both"/>
              <w:rPr>
                <w:rFonts w:asciiTheme="minorHAnsi" w:hAnsiTheme="minorHAnsi" w:cs="Arial"/>
                <w:color w:val="000000"/>
              </w:rPr>
            </w:pPr>
          </w:p>
          <w:p w:rsidR="00990F40" w:rsidRPr="00845BD2" w:rsidRDefault="00990F40" w:rsidP="00845BD2">
            <w:pPr>
              <w:jc w:val="both"/>
              <w:rPr>
                <w:rFonts w:asciiTheme="minorHAnsi" w:hAnsiTheme="minorHAnsi" w:cs="Arial"/>
                <w:color w:val="000000"/>
              </w:rPr>
            </w:pPr>
            <w:r w:rsidRPr="00845BD2">
              <w:rPr>
                <w:rFonts w:asciiTheme="minorHAnsi" w:hAnsiTheme="minorHAnsi" w:cs="Arial"/>
                <w:color w:val="000000"/>
              </w:rPr>
              <w:t>577</w:t>
            </w:r>
          </w:p>
          <w:p w:rsidR="00990F40" w:rsidRPr="00845BD2" w:rsidRDefault="00990F40" w:rsidP="00845BD2">
            <w:pPr>
              <w:jc w:val="both"/>
              <w:rPr>
                <w:rFonts w:asciiTheme="minorHAnsi" w:hAnsiTheme="minorHAnsi" w:cs="Arial"/>
                <w:color w:val="000000"/>
              </w:rPr>
            </w:pPr>
          </w:p>
        </w:tc>
        <w:tc>
          <w:tcPr>
            <w:tcW w:w="905" w:type="dxa"/>
          </w:tcPr>
          <w:p w:rsidR="00990F40" w:rsidRPr="00845BD2" w:rsidRDefault="00990F40" w:rsidP="00845BD2">
            <w:pPr>
              <w:jc w:val="both"/>
              <w:rPr>
                <w:rFonts w:asciiTheme="minorHAnsi" w:hAnsiTheme="minorHAnsi" w:cs="Arial"/>
                <w:color w:val="000000"/>
              </w:rPr>
            </w:pPr>
          </w:p>
          <w:p w:rsidR="00990F40" w:rsidRPr="00845BD2" w:rsidRDefault="00990F40" w:rsidP="00845BD2">
            <w:pPr>
              <w:jc w:val="both"/>
              <w:rPr>
                <w:rFonts w:asciiTheme="minorHAnsi" w:hAnsiTheme="minorHAnsi" w:cs="Arial"/>
                <w:color w:val="000000"/>
              </w:rPr>
            </w:pPr>
            <w:r w:rsidRPr="00845BD2">
              <w:rPr>
                <w:rFonts w:asciiTheme="minorHAnsi" w:hAnsiTheme="minorHAnsi" w:cs="Arial"/>
                <w:color w:val="000000"/>
              </w:rPr>
              <w:t>11%</w:t>
            </w:r>
          </w:p>
        </w:tc>
      </w:tr>
      <w:tr w:rsidR="00845BD2" w:rsidRPr="00845BD2" w:rsidTr="00845BD2">
        <w:trPr>
          <w:trHeight w:val="504"/>
          <w:jc w:val="center"/>
        </w:trPr>
        <w:tc>
          <w:tcPr>
            <w:tcW w:w="9735" w:type="dxa"/>
            <w:gridSpan w:val="8"/>
            <w:shd w:val="clear" w:color="auto" w:fill="auto"/>
            <w:vAlign w:val="bottom"/>
          </w:tcPr>
          <w:p w:rsidR="00845BD2" w:rsidRPr="00845BD2" w:rsidRDefault="00845BD2" w:rsidP="00845BD2">
            <w:pPr>
              <w:jc w:val="both"/>
              <w:rPr>
                <w:rFonts w:asciiTheme="minorHAnsi" w:hAnsiTheme="minorHAnsi" w:cs="Arial"/>
                <w:color w:val="000000"/>
              </w:rPr>
            </w:pPr>
            <w:r w:rsidRPr="00845BD2">
              <w:rPr>
                <w:rFonts w:asciiTheme="minorHAnsi" w:hAnsiTheme="minorHAnsi"/>
                <w:noProof/>
              </w:rPr>
              <w:drawing>
                <wp:inline distT="0" distB="0" distL="0" distR="0" wp14:anchorId="5D5ED7A9" wp14:editId="1A8463BC">
                  <wp:extent cx="6019800" cy="161925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bl>
    <w:p w:rsidR="00990F40" w:rsidRPr="00845BD2" w:rsidRDefault="00990F40" w:rsidP="00845BD2">
      <w:pPr>
        <w:spacing w:after="180"/>
        <w:jc w:val="both"/>
        <w:rPr>
          <w:rFonts w:asciiTheme="minorHAnsi" w:hAnsiTheme="minorHAnsi" w:cs="Arial"/>
          <w:color w:val="000000"/>
          <w:lang w:eastAsia="en-US"/>
        </w:rPr>
      </w:pPr>
    </w:p>
    <w:p w:rsidR="00990F40" w:rsidRPr="00845BD2" w:rsidRDefault="00990F40" w:rsidP="00845BD2">
      <w:pPr>
        <w:jc w:val="both"/>
        <w:rPr>
          <w:rFonts w:asciiTheme="minorHAnsi" w:hAnsiTheme="minorHAnsi"/>
          <w:b/>
        </w:rPr>
      </w:pPr>
    </w:p>
    <w:p w:rsidR="00990F40" w:rsidRDefault="00990F40" w:rsidP="00845BD2">
      <w:pPr>
        <w:jc w:val="both"/>
        <w:rPr>
          <w:rFonts w:asciiTheme="minorHAnsi" w:hAnsiTheme="minorHAnsi"/>
          <w:b/>
        </w:rPr>
      </w:pPr>
    </w:p>
    <w:p w:rsidR="00845BD2" w:rsidRPr="00845BD2" w:rsidRDefault="00845BD2" w:rsidP="00845BD2">
      <w:pPr>
        <w:jc w:val="both"/>
        <w:rPr>
          <w:rFonts w:asciiTheme="minorHAnsi" w:hAnsiTheme="minorHAnsi"/>
          <w:b/>
        </w:rPr>
      </w:pPr>
    </w:p>
    <w:p w:rsidR="001F4266" w:rsidRPr="00845BD2" w:rsidRDefault="008859F2" w:rsidP="00845BD2">
      <w:pPr>
        <w:numPr>
          <w:ilvl w:val="0"/>
          <w:numId w:val="9"/>
        </w:numPr>
        <w:spacing w:after="180"/>
        <w:jc w:val="both"/>
        <w:rPr>
          <w:rFonts w:asciiTheme="minorHAnsi" w:hAnsiTheme="minorHAnsi" w:cs="Arial"/>
          <w:lang w:eastAsia="en-US"/>
        </w:rPr>
      </w:pPr>
      <w:r w:rsidRPr="00845BD2">
        <w:rPr>
          <w:rFonts w:asciiTheme="minorHAnsi" w:hAnsiTheme="minorHAnsi" w:cs="Arial"/>
          <w:lang w:eastAsia="en-US"/>
        </w:rPr>
        <w:t>A</w:t>
      </w:r>
      <w:r w:rsidR="00A1169B" w:rsidRPr="00845BD2">
        <w:rPr>
          <w:rFonts w:asciiTheme="minorHAnsi" w:hAnsiTheme="minorHAnsi" w:cs="Arial"/>
          <w:lang w:eastAsia="en-US"/>
        </w:rPr>
        <w:t xml:space="preserve"> low percentage </w:t>
      </w:r>
      <w:r w:rsidR="001F4266" w:rsidRPr="00845BD2">
        <w:rPr>
          <w:rFonts w:asciiTheme="minorHAnsi" w:hAnsiTheme="minorHAnsi" w:cs="Arial"/>
          <w:lang w:eastAsia="en-US"/>
        </w:rPr>
        <w:t xml:space="preserve">of patients were prescribed high risk antibiotics </w:t>
      </w:r>
      <w:r w:rsidR="00990F40" w:rsidRPr="00845BD2">
        <w:rPr>
          <w:rFonts w:asciiTheme="minorHAnsi" w:hAnsiTheme="minorHAnsi" w:cs="Arial"/>
          <w:lang w:eastAsia="en-US"/>
        </w:rPr>
        <w:t xml:space="preserve">as indicated in </w:t>
      </w:r>
      <w:r w:rsidR="00A1169B" w:rsidRPr="00845BD2">
        <w:rPr>
          <w:rFonts w:asciiTheme="minorHAnsi" w:hAnsiTheme="minorHAnsi" w:cs="Arial"/>
          <w:lang w:eastAsia="en-US"/>
        </w:rPr>
        <w:t>the formulary</w:t>
      </w:r>
      <w:r w:rsidRPr="00845BD2">
        <w:rPr>
          <w:rFonts w:asciiTheme="minorHAnsi" w:hAnsiTheme="minorHAnsi" w:cs="Arial"/>
          <w:lang w:eastAsia="en-US"/>
        </w:rPr>
        <w:t>.</w:t>
      </w:r>
      <w:r w:rsidR="00A1169B" w:rsidRPr="00845BD2">
        <w:rPr>
          <w:rFonts w:asciiTheme="minorHAnsi" w:hAnsiTheme="minorHAnsi" w:cs="Arial"/>
          <w:lang w:eastAsia="en-US"/>
        </w:rPr>
        <w:t xml:space="preserve"> </w:t>
      </w:r>
    </w:p>
    <w:p w:rsidR="001A2049" w:rsidRPr="00845BD2" w:rsidRDefault="00990F40" w:rsidP="00845BD2">
      <w:pPr>
        <w:numPr>
          <w:ilvl w:val="0"/>
          <w:numId w:val="9"/>
        </w:numPr>
        <w:spacing w:after="180"/>
        <w:jc w:val="both"/>
        <w:rPr>
          <w:rFonts w:asciiTheme="minorHAnsi" w:hAnsiTheme="minorHAnsi" w:cs="Arial"/>
          <w:lang w:eastAsia="en-US"/>
        </w:rPr>
      </w:pPr>
      <w:r w:rsidRPr="00845BD2">
        <w:rPr>
          <w:rFonts w:asciiTheme="minorHAnsi" w:hAnsiTheme="minorHAnsi" w:cs="Arial"/>
          <w:lang w:eastAsia="en-US"/>
        </w:rPr>
        <w:t>42% of the</w:t>
      </w:r>
      <w:r w:rsidR="001A2049" w:rsidRPr="00845BD2">
        <w:rPr>
          <w:rFonts w:asciiTheme="minorHAnsi" w:hAnsiTheme="minorHAnsi" w:cs="Arial"/>
          <w:lang w:eastAsia="en-US"/>
        </w:rPr>
        <w:t xml:space="preserve"> </w:t>
      </w:r>
      <w:r w:rsidR="00E96AA1" w:rsidRPr="00845BD2">
        <w:rPr>
          <w:rFonts w:asciiTheme="minorHAnsi" w:hAnsiTheme="minorHAnsi" w:cs="Arial"/>
          <w:lang w:eastAsia="en-US"/>
        </w:rPr>
        <w:t xml:space="preserve">high risk antibiotic </w:t>
      </w:r>
      <w:r w:rsidR="00E96AA1">
        <w:rPr>
          <w:rFonts w:asciiTheme="minorHAnsi" w:hAnsiTheme="minorHAnsi" w:cs="Arial"/>
          <w:lang w:eastAsia="en-US"/>
        </w:rPr>
        <w:t xml:space="preserve">was in the 15-60 age </w:t>
      </w:r>
      <w:proofErr w:type="gramStart"/>
      <w:r w:rsidR="00E96AA1">
        <w:rPr>
          <w:rFonts w:asciiTheme="minorHAnsi" w:hAnsiTheme="minorHAnsi" w:cs="Arial"/>
          <w:lang w:eastAsia="en-US"/>
        </w:rPr>
        <w:t>group</w:t>
      </w:r>
      <w:proofErr w:type="gramEnd"/>
      <w:r w:rsidRPr="00845BD2">
        <w:rPr>
          <w:rFonts w:asciiTheme="minorHAnsi" w:hAnsiTheme="minorHAnsi" w:cs="Arial"/>
          <w:lang w:eastAsia="en-US"/>
        </w:rPr>
        <w:t>, despite being</w:t>
      </w:r>
      <w:r w:rsidR="001A2049" w:rsidRPr="00845BD2">
        <w:rPr>
          <w:rFonts w:asciiTheme="minorHAnsi" w:hAnsiTheme="minorHAnsi" w:cs="Arial"/>
          <w:lang w:eastAsia="en-US"/>
        </w:rPr>
        <w:t xml:space="preserve"> likely to have </w:t>
      </w:r>
      <w:r w:rsidRPr="00845BD2">
        <w:rPr>
          <w:rFonts w:asciiTheme="minorHAnsi" w:hAnsiTheme="minorHAnsi" w:cs="Arial"/>
          <w:lang w:eastAsia="en-US"/>
        </w:rPr>
        <w:t xml:space="preserve">the </w:t>
      </w:r>
      <w:r w:rsidR="001A2049" w:rsidRPr="00845BD2">
        <w:rPr>
          <w:rFonts w:asciiTheme="minorHAnsi" w:hAnsiTheme="minorHAnsi" w:cs="Arial"/>
          <w:lang w:eastAsia="en-US"/>
        </w:rPr>
        <w:t>low</w:t>
      </w:r>
      <w:r w:rsidRPr="00845BD2">
        <w:rPr>
          <w:rFonts w:asciiTheme="minorHAnsi" w:hAnsiTheme="minorHAnsi" w:cs="Arial"/>
          <w:lang w:eastAsia="en-US"/>
        </w:rPr>
        <w:t>est co-morbidity.</w:t>
      </w:r>
    </w:p>
    <w:p w:rsidR="00A574BE" w:rsidRPr="00845BD2" w:rsidRDefault="00990F40" w:rsidP="00845BD2">
      <w:pPr>
        <w:spacing w:after="180"/>
        <w:jc w:val="both"/>
        <w:rPr>
          <w:rFonts w:asciiTheme="minorHAnsi" w:hAnsiTheme="minorHAnsi" w:cs="Arial"/>
          <w:lang w:eastAsia="en-US"/>
        </w:rPr>
      </w:pPr>
      <w:r w:rsidRPr="00845BD2">
        <w:rPr>
          <w:rFonts w:asciiTheme="minorHAnsi" w:hAnsiTheme="minorHAnsi"/>
          <w:noProof/>
        </w:rPr>
        <w:drawing>
          <wp:inline distT="0" distB="0" distL="0" distR="0" wp14:anchorId="19FC1F1D" wp14:editId="784266E9">
            <wp:extent cx="2981325" cy="1905000"/>
            <wp:effectExtent l="0" t="0" r="9525" b="190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A574BE" w:rsidRPr="00845BD2">
        <w:rPr>
          <w:rFonts w:asciiTheme="minorHAnsi" w:hAnsiTheme="minorHAnsi" w:cs="Arial"/>
          <w:lang w:eastAsia="en-US"/>
        </w:rPr>
        <w:t xml:space="preserve">    </w:t>
      </w:r>
      <w:r w:rsidR="00A574BE" w:rsidRPr="00845BD2">
        <w:rPr>
          <w:rFonts w:asciiTheme="minorHAnsi" w:hAnsiTheme="minorHAnsi"/>
          <w:noProof/>
        </w:rPr>
        <w:drawing>
          <wp:inline distT="0" distB="0" distL="0" distR="0" wp14:anchorId="2672EE82" wp14:editId="2234C06E">
            <wp:extent cx="2771775" cy="1905000"/>
            <wp:effectExtent l="0" t="0" r="9525" b="1905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1A2049" w:rsidRPr="00845BD2" w:rsidRDefault="00FB3765" w:rsidP="00845BD2">
      <w:pPr>
        <w:numPr>
          <w:ilvl w:val="0"/>
          <w:numId w:val="9"/>
        </w:numPr>
        <w:spacing w:after="180"/>
        <w:jc w:val="both"/>
        <w:rPr>
          <w:rFonts w:asciiTheme="minorHAnsi" w:hAnsiTheme="minorHAnsi" w:cs="Arial"/>
          <w:lang w:eastAsia="en-US"/>
        </w:rPr>
      </w:pPr>
      <w:r w:rsidRPr="00845BD2">
        <w:rPr>
          <w:rFonts w:asciiTheme="minorHAnsi" w:eastAsiaTheme="minorEastAsia" w:hAnsiTheme="minorHAnsi" w:cs="Arial"/>
          <w:kern w:val="24"/>
          <w:lang w:val="en-US"/>
        </w:rPr>
        <w:t>1745 topical antibiotics were prescribed</w:t>
      </w:r>
      <w:r w:rsidR="001A2049" w:rsidRPr="00845BD2">
        <w:rPr>
          <w:rFonts w:asciiTheme="minorHAnsi" w:eastAsiaTheme="minorEastAsia" w:hAnsiTheme="minorHAnsi" w:cs="Arial"/>
          <w:kern w:val="24"/>
          <w:lang w:val="en-US"/>
        </w:rPr>
        <w:t xml:space="preserve">. </w:t>
      </w:r>
      <w:r w:rsidR="00990F40" w:rsidRPr="00845BD2">
        <w:rPr>
          <w:rFonts w:asciiTheme="minorHAnsi" w:eastAsiaTheme="minorEastAsia" w:hAnsiTheme="minorHAnsi" w:cs="Arial"/>
          <w:kern w:val="24"/>
          <w:lang w:val="en-US"/>
        </w:rPr>
        <w:t>There is i</w:t>
      </w:r>
      <w:r w:rsidR="00D50D71" w:rsidRPr="00845BD2">
        <w:rPr>
          <w:rFonts w:asciiTheme="minorHAnsi" w:eastAsiaTheme="minorEastAsia" w:hAnsiTheme="minorHAnsi" w:cs="Arial"/>
          <w:kern w:val="24"/>
          <w:lang w:val="en-US"/>
        </w:rPr>
        <w:t>ncreased risk of resistance when prescribing topical antibiotics. They are especially risky to use in non-healing wounds such as leg ulcers. Systemic antibiotics should be used following swab analysis.</w:t>
      </w:r>
      <w:r w:rsidR="001A2049" w:rsidRPr="00845BD2">
        <w:rPr>
          <w:rFonts w:asciiTheme="minorHAnsi" w:eastAsiaTheme="minorEastAsia" w:hAnsiTheme="minorHAnsi" w:cs="Arial"/>
          <w:kern w:val="24"/>
          <w:lang w:val="en-US"/>
        </w:rPr>
        <w:t xml:space="preserve"> </w:t>
      </w:r>
      <w:r w:rsidR="00C71264" w:rsidRPr="00845BD2">
        <w:rPr>
          <w:rFonts w:asciiTheme="minorHAnsi" w:eastAsiaTheme="minorEastAsia" w:hAnsiTheme="minorHAnsi" w:cs="Arial"/>
          <w:kern w:val="24"/>
          <w:lang w:val="en-US"/>
        </w:rPr>
        <w:t xml:space="preserve">The </w:t>
      </w:r>
      <w:r w:rsidR="00990F40" w:rsidRPr="00845BD2">
        <w:rPr>
          <w:rFonts w:asciiTheme="minorHAnsi" w:eastAsiaTheme="minorEastAsia" w:hAnsiTheme="minorHAnsi" w:cs="Arial"/>
          <w:kern w:val="24"/>
          <w:lang w:val="en-US"/>
        </w:rPr>
        <w:t xml:space="preserve">formulary </w:t>
      </w:r>
      <w:r w:rsidR="00C71264" w:rsidRPr="00845BD2">
        <w:rPr>
          <w:rFonts w:asciiTheme="minorHAnsi" w:eastAsiaTheme="minorEastAsia" w:hAnsiTheme="minorHAnsi" w:cs="Arial"/>
          <w:kern w:val="24"/>
          <w:lang w:val="en-US"/>
        </w:rPr>
        <w:t>indications for prescribing topical antibiotics are limited to</w:t>
      </w:r>
      <w:r w:rsidR="00990F40" w:rsidRPr="00845BD2">
        <w:rPr>
          <w:rFonts w:asciiTheme="minorHAnsi" w:eastAsiaTheme="minorEastAsia" w:hAnsiTheme="minorHAnsi" w:cs="Arial"/>
          <w:kern w:val="24"/>
          <w:lang w:val="en-US"/>
        </w:rPr>
        <w:t xml:space="preserve"> i</w:t>
      </w:r>
      <w:r w:rsidR="00C71264" w:rsidRPr="00845BD2">
        <w:rPr>
          <w:rFonts w:asciiTheme="minorHAnsi" w:eastAsiaTheme="minorEastAsia" w:hAnsiTheme="minorHAnsi" w:cs="Arial"/>
          <w:kern w:val="24"/>
          <w:lang w:val="en-US"/>
        </w:rPr>
        <w:t>mpetigo</w:t>
      </w:r>
      <w:r w:rsidR="001A2049" w:rsidRPr="00845BD2">
        <w:rPr>
          <w:rFonts w:asciiTheme="minorHAnsi" w:eastAsiaTheme="minorEastAsia" w:hAnsiTheme="minorHAnsi" w:cs="Arial"/>
          <w:kern w:val="24"/>
          <w:lang w:val="en-US"/>
        </w:rPr>
        <w:t xml:space="preserve"> and acne</w:t>
      </w:r>
      <w:r w:rsidR="00990F40" w:rsidRPr="00845BD2">
        <w:rPr>
          <w:rFonts w:asciiTheme="minorHAnsi" w:eastAsiaTheme="minorEastAsia" w:hAnsiTheme="minorHAnsi" w:cs="Arial"/>
          <w:kern w:val="24"/>
          <w:lang w:val="en-US"/>
        </w:rPr>
        <w:t xml:space="preserve">. An information sheet is being prepared to </w:t>
      </w:r>
      <w:proofErr w:type="gramStart"/>
      <w:r w:rsidR="00990F40" w:rsidRPr="00845BD2">
        <w:rPr>
          <w:rFonts w:asciiTheme="minorHAnsi" w:eastAsiaTheme="minorEastAsia" w:hAnsiTheme="minorHAnsi" w:cs="Arial"/>
          <w:kern w:val="24"/>
          <w:lang w:val="en-US"/>
        </w:rPr>
        <w:t>advised</w:t>
      </w:r>
      <w:proofErr w:type="gramEnd"/>
      <w:r w:rsidR="00990F40" w:rsidRPr="00845BD2">
        <w:rPr>
          <w:rFonts w:asciiTheme="minorHAnsi" w:eastAsiaTheme="minorEastAsia" w:hAnsiTheme="minorHAnsi" w:cs="Arial"/>
          <w:kern w:val="24"/>
          <w:lang w:val="en-US"/>
        </w:rPr>
        <w:t xml:space="preserve"> clinical staff of appropriate prescribing.</w:t>
      </w:r>
    </w:p>
    <w:p w:rsidR="001A2049" w:rsidRPr="00845BD2" w:rsidRDefault="00FB3765" w:rsidP="00845BD2">
      <w:pPr>
        <w:numPr>
          <w:ilvl w:val="0"/>
          <w:numId w:val="9"/>
        </w:numPr>
        <w:spacing w:after="180"/>
        <w:jc w:val="both"/>
        <w:rPr>
          <w:rFonts w:asciiTheme="minorHAnsi" w:hAnsiTheme="minorHAnsi" w:cs="Arial"/>
          <w:lang w:eastAsia="en-US"/>
        </w:rPr>
      </w:pPr>
      <w:r w:rsidRPr="00845BD2">
        <w:rPr>
          <w:rFonts w:asciiTheme="minorHAnsi" w:eastAsiaTheme="minorEastAsia" w:hAnsiTheme="minorHAnsi" w:cs="Arial"/>
          <w:kern w:val="24"/>
          <w:lang w:val="en-US"/>
        </w:rPr>
        <w:t>251 people had prophylactic courses of high risk antibiotics in the past year</w:t>
      </w:r>
      <w:r w:rsidR="008859F2" w:rsidRPr="00845BD2">
        <w:rPr>
          <w:rFonts w:asciiTheme="minorHAnsi" w:eastAsiaTheme="minorEastAsia" w:hAnsiTheme="minorHAnsi" w:cs="Arial"/>
          <w:kern w:val="24"/>
          <w:lang w:val="en-US"/>
        </w:rPr>
        <w:t>, usually for UTI</w:t>
      </w:r>
      <w:r w:rsidR="00593E55" w:rsidRPr="00845BD2">
        <w:rPr>
          <w:rFonts w:asciiTheme="minorHAnsi" w:eastAsiaTheme="minorEastAsia" w:hAnsiTheme="minorHAnsi" w:cs="Arial"/>
          <w:kern w:val="24"/>
          <w:lang w:val="en-US"/>
        </w:rPr>
        <w:t>. Microbiologists advise that these should be stopped every 6-12 months and MSU checked for infection.</w:t>
      </w:r>
    </w:p>
    <w:p w:rsidR="001A2049" w:rsidRPr="00845BD2" w:rsidRDefault="00990F40" w:rsidP="00845BD2">
      <w:pPr>
        <w:numPr>
          <w:ilvl w:val="0"/>
          <w:numId w:val="9"/>
        </w:numPr>
        <w:spacing w:after="180"/>
        <w:jc w:val="both"/>
        <w:rPr>
          <w:rFonts w:asciiTheme="minorHAnsi" w:hAnsiTheme="minorHAnsi" w:cs="Arial"/>
          <w:lang w:eastAsia="en-US"/>
        </w:rPr>
      </w:pPr>
      <w:r w:rsidRPr="00845BD2">
        <w:rPr>
          <w:rFonts w:asciiTheme="minorHAnsi" w:eastAsiaTheme="minorEastAsia" w:hAnsiTheme="minorHAnsi" w:cs="Arial"/>
          <w:kern w:val="24"/>
          <w:lang w:val="en-US"/>
        </w:rPr>
        <w:t>PPI link with CDI. Unfortunately, there is currently</w:t>
      </w:r>
      <w:r w:rsidR="00D50D71" w:rsidRPr="00845BD2">
        <w:rPr>
          <w:rFonts w:asciiTheme="minorHAnsi" w:eastAsiaTheme="minorEastAsia" w:hAnsiTheme="minorHAnsi" w:cs="Arial"/>
          <w:kern w:val="24"/>
          <w:lang w:val="en-US"/>
        </w:rPr>
        <w:t xml:space="preserve"> no strong evidence, but guidance suggests </w:t>
      </w:r>
      <w:r w:rsidR="00593E55" w:rsidRPr="00845BD2">
        <w:rPr>
          <w:rFonts w:asciiTheme="minorHAnsi" w:eastAsiaTheme="minorEastAsia" w:hAnsiTheme="minorHAnsi" w:cs="Arial"/>
          <w:kern w:val="24"/>
          <w:lang w:val="en-US"/>
        </w:rPr>
        <w:t>stopping or reducing</w:t>
      </w:r>
      <w:r w:rsidR="008859F2" w:rsidRPr="00845BD2">
        <w:rPr>
          <w:rFonts w:asciiTheme="minorHAnsi" w:eastAsiaTheme="minorEastAsia" w:hAnsiTheme="minorHAnsi" w:cs="Arial"/>
          <w:kern w:val="24"/>
          <w:lang w:val="en-US"/>
        </w:rPr>
        <w:t xml:space="preserve"> PPIs</w:t>
      </w:r>
      <w:r w:rsidR="00D50D71" w:rsidRPr="00845BD2">
        <w:rPr>
          <w:rFonts w:asciiTheme="minorHAnsi" w:eastAsiaTheme="minorEastAsia" w:hAnsiTheme="minorHAnsi" w:cs="Arial"/>
          <w:kern w:val="24"/>
          <w:lang w:val="en-US"/>
        </w:rPr>
        <w:t xml:space="preserve"> if </w:t>
      </w:r>
      <w:r w:rsidR="00593E55" w:rsidRPr="00845BD2">
        <w:rPr>
          <w:rFonts w:asciiTheme="minorHAnsi" w:eastAsiaTheme="minorEastAsia" w:hAnsiTheme="minorHAnsi" w:cs="Arial"/>
          <w:kern w:val="24"/>
          <w:lang w:val="en-US"/>
        </w:rPr>
        <w:t xml:space="preserve">there is </w:t>
      </w:r>
      <w:r w:rsidR="00D50D71" w:rsidRPr="00845BD2">
        <w:rPr>
          <w:rFonts w:asciiTheme="minorHAnsi" w:eastAsiaTheme="minorEastAsia" w:hAnsiTheme="minorHAnsi" w:cs="Arial"/>
          <w:kern w:val="24"/>
          <w:lang w:val="en-US"/>
        </w:rPr>
        <w:t>no clear indication for use</w:t>
      </w:r>
      <w:r w:rsidR="00D50D71" w:rsidRPr="00845BD2">
        <w:rPr>
          <w:rFonts w:asciiTheme="minorHAnsi" w:hAnsiTheme="minorHAnsi"/>
        </w:rPr>
        <w:t xml:space="preserve">. </w:t>
      </w:r>
      <w:r w:rsidR="00D50D71" w:rsidRPr="00845BD2">
        <w:rPr>
          <w:rFonts w:asciiTheme="minorHAnsi" w:eastAsiaTheme="minorEastAsia" w:hAnsiTheme="minorHAnsi" w:cs="Arial"/>
          <w:kern w:val="24"/>
          <w:lang w:val="en-US"/>
        </w:rPr>
        <w:t xml:space="preserve">Many other risks of PPI use </w:t>
      </w:r>
      <w:r w:rsidR="00593E55" w:rsidRPr="00845BD2">
        <w:rPr>
          <w:rFonts w:asciiTheme="minorHAnsi" w:eastAsiaTheme="minorEastAsia" w:hAnsiTheme="minorHAnsi" w:cs="Arial"/>
          <w:kern w:val="24"/>
          <w:lang w:val="en-US"/>
        </w:rPr>
        <w:t xml:space="preserve">are </w:t>
      </w:r>
      <w:r w:rsidR="00D50D71" w:rsidRPr="00845BD2">
        <w:rPr>
          <w:rFonts w:asciiTheme="minorHAnsi" w:eastAsiaTheme="minorEastAsia" w:hAnsiTheme="minorHAnsi" w:cs="Arial"/>
          <w:kern w:val="24"/>
          <w:lang w:val="en-US"/>
        </w:rPr>
        <w:t>emerging.</w:t>
      </w:r>
    </w:p>
    <w:p w:rsidR="00D50D71" w:rsidRPr="00845BD2" w:rsidRDefault="00D50D71" w:rsidP="00FB3765">
      <w:pPr>
        <w:rPr>
          <w:rFonts w:asciiTheme="minorHAnsi" w:eastAsiaTheme="minorEastAsia" w:hAnsiTheme="minorHAnsi" w:cs="Arial"/>
          <w:kern w:val="24"/>
          <w:lang w:val="en-US"/>
        </w:rPr>
      </w:pPr>
    </w:p>
    <w:p w:rsidR="00D50D71" w:rsidRPr="00845BD2" w:rsidRDefault="00D50D71" w:rsidP="00FB3765">
      <w:pPr>
        <w:rPr>
          <w:rFonts w:asciiTheme="minorHAnsi" w:eastAsiaTheme="minorEastAsia" w:hAnsiTheme="minorHAnsi" w:cs="Arial"/>
          <w:color w:val="3A3A3A"/>
          <w:kern w:val="24"/>
          <w:lang w:val="en-US"/>
        </w:rPr>
      </w:pPr>
    </w:p>
    <w:p w:rsidR="00D50D71" w:rsidRPr="00845BD2" w:rsidRDefault="00D50D71" w:rsidP="00FB3765">
      <w:pPr>
        <w:rPr>
          <w:rFonts w:asciiTheme="minorHAnsi" w:eastAsiaTheme="minorEastAsia" w:hAnsiTheme="minorHAnsi" w:cs="Arial"/>
          <w:color w:val="3A3A3A"/>
          <w:kern w:val="24"/>
          <w:lang w:val="en-US"/>
        </w:rPr>
      </w:pPr>
    </w:p>
    <w:p w:rsidR="008547AB" w:rsidRPr="00845BD2" w:rsidRDefault="008547AB">
      <w:pPr>
        <w:rPr>
          <w:rFonts w:asciiTheme="minorHAnsi" w:hAnsiTheme="minorHAnsi"/>
          <w:b/>
          <w:sz w:val="40"/>
          <w:szCs w:val="40"/>
        </w:rPr>
      </w:pPr>
      <w:r w:rsidRPr="00845BD2">
        <w:rPr>
          <w:rFonts w:asciiTheme="minorHAnsi" w:hAnsiTheme="minorHAnsi"/>
          <w:b/>
          <w:sz w:val="40"/>
          <w:szCs w:val="40"/>
        </w:rPr>
        <w:br w:type="page"/>
      </w:r>
    </w:p>
    <w:p w:rsidR="008547AB" w:rsidRPr="00845BD2" w:rsidRDefault="008547AB" w:rsidP="008547AB">
      <w:pPr>
        <w:rPr>
          <w:rFonts w:asciiTheme="minorHAnsi" w:hAnsiTheme="minorHAnsi"/>
          <w:b/>
          <w:sz w:val="40"/>
          <w:szCs w:val="40"/>
        </w:rPr>
      </w:pPr>
      <w:proofErr w:type="gramStart"/>
      <w:r w:rsidRPr="00845BD2">
        <w:rPr>
          <w:rFonts w:asciiTheme="minorHAnsi" w:hAnsiTheme="minorHAnsi"/>
          <w:b/>
          <w:sz w:val="40"/>
          <w:szCs w:val="40"/>
        </w:rPr>
        <w:lastRenderedPageBreak/>
        <w:t>Results  -</w:t>
      </w:r>
      <w:proofErr w:type="gramEnd"/>
      <w:r w:rsidRPr="00845BD2">
        <w:rPr>
          <w:rFonts w:asciiTheme="minorHAnsi" w:hAnsiTheme="minorHAnsi"/>
          <w:b/>
          <w:sz w:val="40"/>
          <w:szCs w:val="40"/>
        </w:rPr>
        <w:t xml:space="preserve"> part 2</w:t>
      </w:r>
    </w:p>
    <w:p w:rsidR="008547AB" w:rsidRPr="00845BD2" w:rsidRDefault="008547AB" w:rsidP="008547AB">
      <w:pPr>
        <w:rPr>
          <w:rFonts w:asciiTheme="minorHAnsi" w:hAnsiTheme="minorHAnsi"/>
          <w:b/>
          <w:sz w:val="40"/>
          <w:szCs w:val="40"/>
        </w:rPr>
      </w:pPr>
    </w:p>
    <w:p w:rsidR="008547AB" w:rsidRPr="00845BD2" w:rsidRDefault="008547AB" w:rsidP="008547AB">
      <w:pPr>
        <w:jc w:val="both"/>
        <w:rPr>
          <w:rFonts w:asciiTheme="minorHAnsi" w:hAnsiTheme="minorHAnsi"/>
        </w:rPr>
      </w:pPr>
      <w:r w:rsidRPr="00845BD2">
        <w:rPr>
          <w:rFonts w:asciiTheme="minorHAnsi" w:hAnsiTheme="minorHAnsi"/>
        </w:rPr>
        <w:t>The second part of the audit looked at the conditions that the antibiotics</w:t>
      </w:r>
      <w:r w:rsidR="00C95ECB" w:rsidRPr="00845BD2">
        <w:rPr>
          <w:rFonts w:asciiTheme="minorHAnsi" w:hAnsiTheme="minorHAnsi"/>
        </w:rPr>
        <w:t xml:space="preserve"> were prescribed for and whether</w:t>
      </w:r>
      <w:r w:rsidRPr="00845BD2">
        <w:rPr>
          <w:rFonts w:asciiTheme="minorHAnsi" w:hAnsiTheme="minorHAnsi"/>
        </w:rPr>
        <w:t xml:space="preserve"> these had been prescribed according to </w:t>
      </w:r>
      <w:r w:rsidR="00C95ECB" w:rsidRPr="00845BD2">
        <w:rPr>
          <w:rFonts w:asciiTheme="minorHAnsi" w:hAnsiTheme="minorHAnsi"/>
        </w:rPr>
        <w:t xml:space="preserve">the </w:t>
      </w:r>
      <w:r w:rsidRPr="00845BD2">
        <w:rPr>
          <w:rFonts w:asciiTheme="minorHAnsi" w:hAnsiTheme="minorHAnsi"/>
        </w:rPr>
        <w:t xml:space="preserve">formulary. </w:t>
      </w:r>
    </w:p>
    <w:p w:rsidR="008547AB" w:rsidRPr="00845BD2" w:rsidRDefault="008547AB" w:rsidP="008547AB">
      <w:pPr>
        <w:jc w:val="both"/>
        <w:rPr>
          <w:rFonts w:asciiTheme="minorHAnsi" w:hAnsiTheme="minorHAnsi"/>
          <w:b/>
        </w:rPr>
      </w:pPr>
    </w:p>
    <w:p w:rsidR="008547AB" w:rsidRPr="00845BD2" w:rsidRDefault="00845BD2" w:rsidP="008547AB">
      <w:pPr>
        <w:jc w:val="both"/>
        <w:rPr>
          <w:rFonts w:asciiTheme="minorHAnsi" w:hAnsiTheme="minorHAnsi"/>
        </w:rPr>
      </w:pPr>
      <w:r>
        <w:rPr>
          <w:rFonts w:asciiTheme="minorHAnsi" w:hAnsiTheme="minorHAnsi"/>
        </w:rPr>
        <w:t xml:space="preserve">There were also </w:t>
      </w:r>
      <w:r w:rsidR="008547AB" w:rsidRPr="00845BD2">
        <w:rPr>
          <w:rFonts w:asciiTheme="minorHAnsi" w:hAnsiTheme="minorHAnsi"/>
        </w:rPr>
        <w:t>other elements</w:t>
      </w:r>
      <w:r>
        <w:rPr>
          <w:rFonts w:asciiTheme="minorHAnsi" w:hAnsiTheme="minorHAnsi"/>
        </w:rPr>
        <w:t xml:space="preserve"> considered</w:t>
      </w:r>
      <w:r w:rsidR="008547AB" w:rsidRPr="00845BD2">
        <w:rPr>
          <w:rFonts w:asciiTheme="minorHAnsi" w:hAnsiTheme="minorHAnsi"/>
        </w:rPr>
        <w:t>:</w:t>
      </w:r>
    </w:p>
    <w:p w:rsidR="008547AB" w:rsidRPr="00845BD2" w:rsidRDefault="008547AB" w:rsidP="008547AB">
      <w:pPr>
        <w:jc w:val="both"/>
        <w:rPr>
          <w:rFonts w:asciiTheme="minorHAnsi" w:hAnsiTheme="minorHAnsi"/>
        </w:rPr>
      </w:pPr>
      <w:r w:rsidRPr="00845BD2">
        <w:rPr>
          <w:rFonts w:asciiTheme="minorHAnsi" w:hAnsiTheme="minorHAnsi"/>
        </w:rPr>
        <w:t>If a non-formulary antibiotic had been prescribed, was there some other reason why this was chosen?</w:t>
      </w:r>
    </w:p>
    <w:p w:rsidR="008547AB" w:rsidRPr="00845BD2" w:rsidRDefault="008547AB" w:rsidP="008547AB">
      <w:pPr>
        <w:jc w:val="both"/>
        <w:rPr>
          <w:rFonts w:asciiTheme="minorHAnsi" w:hAnsiTheme="minorHAnsi"/>
        </w:rPr>
      </w:pPr>
      <w:proofErr w:type="gramStart"/>
      <w:r w:rsidRPr="00845BD2">
        <w:rPr>
          <w:rFonts w:asciiTheme="minorHAnsi" w:hAnsiTheme="minorHAnsi"/>
        </w:rPr>
        <w:t>e.g</w:t>
      </w:r>
      <w:proofErr w:type="gramEnd"/>
      <w:r w:rsidRPr="00845BD2">
        <w:rPr>
          <w:rFonts w:asciiTheme="minorHAnsi" w:hAnsiTheme="minorHAnsi"/>
        </w:rPr>
        <w:t xml:space="preserve">. a sample had been sent off and an organism identified which was sensitive to the antibiotic prescribed; microbiologists had been consulted for advice; conditions not in formulary were treated and the antibiotic chosen was the usual first line choice. </w:t>
      </w:r>
    </w:p>
    <w:p w:rsidR="00D50D71" w:rsidRPr="00845BD2" w:rsidRDefault="00D50D71" w:rsidP="00FB3765">
      <w:pPr>
        <w:rPr>
          <w:rFonts w:asciiTheme="minorHAnsi" w:eastAsiaTheme="minorEastAsia" w:hAnsiTheme="minorHAnsi" w:cs="Arial"/>
          <w:color w:val="3A3A3A"/>
          <w:kern w:val="24"/>
          <w:lang w:val="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6"/>
        <w:gridCol w:w="5103"/>
      </w:tblGrid>
      <w:tr w:rsidR="00A761DA" w:rsidRPr="00A761DA" w:rsidTr="00781870">
        <w:trPr>
          <w:trHeight w:val="187"/>
        </w:trPr>
        <w:tc>
          <w:tcPr>
            <w:tcW w:w="9889" w:type="dxa"/>
            <w:gridSpan w:val="2"/>
          </w:tcPr>
          <w:p w:rsidR="008547AB" w:rsidRPr="00A761DA" w:rsidRDefault="00A761DA" w:rsidP="00A761DA">
            <w:pPr>
              <w:rPr>
                <w:rFonts w:asciiTheme="minorHAnsi" w:hAnsiTheme="minorHAnsi" w:cs="Calibri"/>
                <w:b/>
                <w:lang w:eastAsia="en-US"/>
              </w:rPr>
            </w:pPr>
            <w:r>
              <w:rPr>
                <w:rFonts w:asciiTheme="minorHAnsi" w:hAnsiTheme="minorHAnsi" w:cs="Calibri"/>
                <w:b/>
                <w:lang w:eastAsia="en-US"/>
              </w:rPr>
              <w:t xml:space="preserve">Results for 20 practices </w:t>
            </w:r>
            <w:r w:rsidRPr="00A761DA">
              <w:rPr>
                <w:rFonts w:asciiTheme="minorHAnsi" w:hAnsiTheme="minorHAnsi" w:cs="Calibri"/>
                <w:lang w:eastAsia="en-US"/>
              </w:rPr>
              <w:t>(</w:t>
            </w:r>
            <w:r>
              <w:rPr>
                <w:rFonts w:asciiTheme="minorHAnsi" w:hAnsiTheme="minorHAnsi" w:cs="Calibri"/>
                <w:lang w:eastAsia="en-US"/>
              </w:rPr>
              <w:t>a</w:t>
            </w:r>
            <w:r w:rsidR="008547AB" w:rsidRPr="00A761DA">
              <w:rPr>
                <w:rFonts w:asciiTheme="minorHAnsi" w:hAnsiTheme="minorHAnsi" w:cs="Calibri"/>
                <w:lang w:eastAsia="en-US"/>
              </w:rPr>
              <w:t xml:space="preserve"> sample of 50/100 issues were audited for each practice</w:t>
            </w:r>
            <w:r w:rsidRPr="00A761DA">
              <w:rPr>
                <w:rFonts w:asciiTheme="minorHAnsi" w:hAnsiTheme="minorHAnsi" w:cs="Calibri"/>
                <w:lang w:eastAsia="en-US"/>
              </w:rPr>
              <w:t>)</w:t>
            </w:r>
          </w:p>
        </w:tc>
      </w:tr>
      <w:tr w:rsidR="00A761DA" w:rsidRPr="00A761DA" w:rsidTr="00781870">
        <w:trPr>
          <w:trHeight w:val="187"/>
        </w:trPr>
        <w:tc>
          <w:tcPr>
            <w:tcW w:w="4786" w:type="dxa"/>
          </w:tcPr>
          <w:p w:rsidR="008547AB" w:rsidRPr="00A761DA" w:rsidRDefault="008547AB" w:rsidP="00781870">
            <w:pPr>
              <w:rPr>
                <w:rFonts w:asciiTheme="minorHAnsi" w:hAnsiTheme="minorHAnsi" w:cs="Calibri"/>
                <w:lang w:eastAsia="en-US"/>
              </w:rPr>
            </w:pPr>
            <w:r w:rsidRPr="00A761DA">
              <w:rPr>
                <w:rFonts w:asciiTheme="minorHAnsi" w:hAnsiTheme="minorHAnsi" w:cs="Calibri"/>
                <w:lang w:eastAsia="en-US"/>
              </w:rPr>
              <w:t>Percentage of antibiotics in formulary</w:t>
            </w:r>
          </w:p>
        </w:tc>
        <w:tc>
          <w:tcPr>
            <w:tcW w:w="5103" w:type="dxa"/>
          </w:tcPr>
          <w:p w:rsidR="008547AB" w:rsidRPr="00A761DA" w:rsidRDefault="008547AB" w:rsidP="00781870">
            <w:pPr>
              <w:rPr>
                <w:rFonts w:asciiTheme="minorHAnsi" w:hAnsiTheme="minorHAnsi" w:cs="Calibri"/>
                <w:lang w:eastAsia="en-US"/>
              </w:rPr>
            </w:pPr>
            <w:r w:rsidRPr="00A761DA">
              <w:rPr>
                <w:rFonts w:asciiTheme="minorHAnsi" w:hAnsiTheme="minorHAnsi" w:cs="Calibri"/>
                <w:lang w:eastAsia="en-US"/>
              </w:rPr>
              <w:t xml:space="preserve">= </w:t>
            </w:r>
            <w:r w:rsidR="00110986" w:rsidRPr="00A761DA">
              <w:rPr>
                <w:rFonts w:asciiTheme="minorHAnsi" w:hAnsiTheme="minorHAnsi" w:cs="Calibri"/>
                <w:lang w:eastAsia="en-US"/>
              </w:rPr>
              <w:t>18</w:t>
            </w:r>
          </w:p>
        </w:tc>
      </w:tr>
      <w:tr w:rsidR="00A761DA" w:rsidRPr="00A761DA" w:rsidTr="00781870">
        <w:trPr>
          <w:trHeight w:val="187"/>
        </w:trPr>
        <w:tc>
          <w:tcPr>
            <w:tcW w:w="4786" w:type="dxa"/>
          </w:tcPr>
          <w:p w:rsidR="008547AB" w:rsidRPr="00A761DA" w:rsidRDefault="008547AB" w:rsidP="00781870">
            <w:pPr>
              <w:rPr>
                <w:rFonts w:asciiTheme="minorHAnsi" w:hAnsiTheme="minorHAnsi" w:cs="Calibri"/>
                <w:bCs/>
                <w:lang w:eastAsia="en-US"/>
              </w:rPr>
            </w:pPr>
            <w:r w:rsidRPr="00A761DA">
              <w:rPr>
                <w:rFonts w:asciiTheme="minorHAnsi" w:hAnsiTheme="minorHAnsi" w:cs="Calibri"/>
                <w:bCs/>
                <w:lang w:eastAsia="en-US"/>
              </w:rPr>
              <w:t>Percentage of lab tests sensitive for antibiotic prescribed</w:t>
            </w:r>
          </w:p>
        </w:tc>
        <w:tc>
          <w:tcPr>
            <w:tcW w:w="5103" w:type="dxa"/>
          </w:tcPr>
          <w:p w:rsidR="008547AB" w:rsidRPr="00A761DA" w:rsidRDefault="008547AB" w:rsidP="00781870">
            <w:pPr>
              <w:rPr>
                <w:rFonts w:asciiTheme="minorHAnsi" w:hAnsiTheme="minorHAnsi" w:cs="Calibri"/>
                <w:lang w:eastAsia="en-US"/>
              </w:rPr>
            </w:pPr>
            <w:r w:rsidRPr="00A761DA">
              <w:rPr>
                <w:rFonts w:asciiTheme="minorHAnsi" w:hAnsiTheme="minorHAnsi" w:cs="Calibri"/>
                <w:lang w:eastAsia="en-US"/>
              </w:rPr>
              <w:t xml:space="preserve">= </w:t>
            </w:r>
            <w:r w:rsidR="004B4199" w:rsidRPr="00A761DA">
              <w:rPr>
                <w:rFonts w:asciiTheme="minorHAnsi" w:hAnsiTheme="minorHAnsi" w:cs="Calibri"/>
                <w:lang w:eastAsia="en-US"/>
              </w:rPr>
              <w:t>5</w:t>
            </w:r>
          </w:p>
        </w:tc>
      </w:tr>
      <w:tr w:rsidR="00A761DA" w:rsidRPr="00A761DA" w:rsidTr="00781870">
        <w:trPr>
          <w:trHeight w:val="187"/>
        </w:trPr>
        <w:tc>
          <w:tcPr>
            <w:tcW w:w="4786" w:type="dxa"/>
            <w:tcBorders>
              <w:bottom w:val="single" w:sz="4" w:space="0" w:color="auto"/>
            </w:tcBorders>
          </w:tcPr>
          <w:p w:rsidR="008547AB" w:rsidRPr="00A761DA" w:rsidRDefault="008547AB" w:rsidP="00781870">
            <w:pPr>
              <w:rPr>
                <w:rFonts w:asciiTheme="minorHAnsi" w:hAnsiTheme="minorHAnsi" w:cs="Calibri"/>
                <w:b/>
                <w:bCs/>
                <w:lang w:eastAsia="en-US"/>
              </w:rPr>
            </w:pPr>
            <w:r w:rsidRPr="00A761DA">
              <w:rPr>
                <w:rFonts w:asciiTheme="minorHAnsi" w:hAnsiTheme="minorHAnsi" w:cs="Calibri"/>
                <w:b/>
                <w:bCs/>
                <w:lang w:eastAsia="en-US"/>
              </w:rPr>
              <w:t>Percentage of antibiotics indicated</w:t>
            </w:r>
          </w:p>
        </w:tc>
        <w:tc>
          <w:tcPr>
            <w:tcW w:w="5103" w:type="dxa"/>
            <w:tcBorders>
              <w:bottom w:val="single" w:sz="4" w:space="0" w:color="auto"/>
            </w:tcBorders>
          </w:tcPr>
          <w:p w:rsidR="008547AB" w:rsidRPr="00A761DA" w:rsidRDefault="008547AB" w:rsidP="00781870">
            <w:pPr>
              <w:rPr>
                <w:rFonts w:asciiTheme="minorHAnsi" w:hAnsiTheme="minorHAnsi" w:cs="Calibri"/>
                <w:b/>
                <w:lang w:eastAsia="en-US"/>
              </w:rPr>
            </w:pPr>
            <w:r w:rsidRPr="00A761DA">
              <w:rPr>
                <w:rFonts w:asciiTheme="minorHAnsi" w:hAnsiTheme="minorHAnsi" w:cs="Calibri"/>
                <w:b/>
                <w:lang w:eastAsia="en-US"/>
              </w:rPr>
              <w:t xml:space="preserve">= </w:t>
            </w:r>
            <w:r w:rsidR="00110986" w:rsidRPr="00A761DA">
              <w:rPr>
                <w:rFonts w:asciiTheme="minorHAnsi" w:hAnsiTheme="minorHAnsi" w:cs="Calibri"/>
                <w:b/>
                <w:lang w:eastAsia="en-US"/>
              </w:rPr>
              <w:t>23</w:t>
            </w:r>
          </w:p>
        </w:tc>
      </w:tr>
    </w:tbl>
    <w:p w:rsidR="00D50D71" w:rsidRPr="00845BD2" w:rsidRDefault="00D50D71" w:rsidP="00FB3765">
      <w:pPr>
        <w:rPr>
          <w:rFonts w:asciiTheme="minorHAnsi" w:eastAsiaTheme="minorEastAsia" w:hAnsiTheme="minorHAnsi" w:cs="Arial"/>
          <w:color w:val="3A3A3A"/>
          <w:kern w:val="24"/>
          <w:lang w:val="en-US"/>
        </w:rPr>
      </w:pPr>
    </w:p>
    <w:p w:rsidR="008859F2" w:rsidRPr="00845BD2" w:rsidRDefault="008547AB" w:rsidP="00845BD2">
      <w:pPr>
        <w:pStyle w:val="NoSpacing"/>
        <w:numPr>
          <w:ilvl w:val="0"/>
          <w:numId w:val="17"/>
        </w:numPr>
        <w:ind w:left="360"/>
        <w:rPr>
          <w:rFonts w:asciiTheme="minorHAnsi" w:hAnsiTheme="minorHAnsi"/>
          <w:lang w:eastAsia="en-US"/>
        </w:rPr>
      </w:pPr>
      <w:r w:rsidRPr="00845BD2">
        <w:rPr>
          <w:rFonts w:asciiTheme="minorHAnsi" w:eastAsiaTheme="minorEastAsia" w:hAnsiTheme="minorHAnsi"/>
          <w:lang w:val="en-US"/>
        </w:rPr>
        <w:t>Prescribing for indicated high risk antibiotics in formulary conditions such as prostatitis or when sensitivities were reported was well documented and a clear rationale was provided</w:t>
      </w:r>
      <w:r w:rsidR="008859F2" w:rsidRPr="00845BD2">
        <w:rPr>
          <w:rFonts w:asciiTheme="minorHAnsi" w:eastAsiaTheme="minorEastAsia" w:hAnsiTheme="minorHAnsi"/>
          <w:lang w:val="en-US"/>
        </w:rPr>
        <w:t>.</w:t>
      </w:r>
    </w:p>
    <w:p w:rsidR="008859F2" w:rsidRPr="00845BD2" w:rsidRDefault="008859F2" w:rsidP="00845BD2">
      <w:pPr>
        <w:pStyle w:val="NoSpacing"/>
        <w:rPr>
          <w:rFonts w:asciiTheme="minorHAnsi" w:hAnsiTheme="minorHAnsi"/>
          <w:sz w:val="8"/>
          <w:szCs w:val="8"/>
          <w:lang w:eastAsia="en-US"/>
        </w:rPr>
      </w:pPr>
    </w:p>
    <w:p w:rsidR="008859F2" w:rsidRPr="00845BD2" w:rsidRDefault="008859F2" w:rsidP="00845BD2">
      <w:pPr>
        <w:pStyle w:val="NoSpacing"/>
        <w:numPr>
          <w:ilvl w:val="0"/>
          <w:numId w:val="17"/>
        </w:numPr>
        <w:ind w:left="360"/>
        <w:rPr>
          <w:rFonts w:asciiTheme="minorHAnsi" w:hAnsiTheme="minorHAnsi"/>
          <w:lang w:eastAsia="en-US"/>
        </w:rPr>
      </w:pPr>
      <w:r w:rsidRPr="00845BD2">
        <w:rPr>
          <w:rFonts w:asciiTheme="minorHAnsi" w:hAnsiTheme="minorHAnsi"/>
          <w:lang w:eastAsia="en-US"/>
        </w:rPr>
        <w:t xml:space="preserve">There were a wide range of conditions </w:t>
      </w:r>
      <w:r w:rsidR="00CB2FD3" w:rsidRPr="00845BD2">
        <w:rPr>
          <w:rFonts w:asciiTheme="minorHAnsi" w:hAnsiTheme="minorHAnsi"/>
          <w:lang w:eastAsia="en-US"/>
        </w:rPr>
        <w:t xml:space="preserve">not in the formulary and </w:t>
      </w:r>
      <w:r w:rsidRPr="00845BD2">
        <w:rPr>
          <w:rFonts w:asciiTheme="minorHAnsi" w:hAnsiTheme="minorHAnsi"/>
          <w:lang w:eastAsia="en-US"/>
        </w:rPr>
        <w:t>where high risk antibiotic prescribing was not appropriate. Standard antibiotics should have been prescribed if treatment was needed.</w:t>
      </w:r>
      <w:r w:rsidR="00694D65" w:rsidRPr="00845BD2">
        <w:rPr>
          <w:rFonts w:asciiTheme="minorHAnsi" w:hAnsiTheme="minorHAnsi"/>
          <w:lang w:eastAsia="en-US"/>
        </w:rPr>
        <w:t xml:space="preserve"> X practices had particularly low results</w:t>
      </w:r>
    </w:p>
    <w:p w:rsidR="008547AB" w:rsidRPr="00845BD2" w:rsidRDefault="008547AB" w:rsidP="00845BD2">
      <w:pPr>
        <w:pStyle w:val="NoSpacing"/>
        <w:numPr>
          <w:ilvl w:val="0"/>
          <w:numId w:val="17"/>
        </w:numPr>
        <w:ind w:left="360"/>
        <w:rPr>
          <w:rFonts w:asciiTheme="minorHAnsi" w:hAnsiTheme="minorHAnsi"/>
          <w:lang w:eastAsia="en-US"/>
        </w:rPr>
      </w:pPr>
      <w:r w:rsidRPr="00845BD2">
        <w:rPr>
          <w:rFonts w:asciiTheme="minorHAnsi" w:hAnsiTheme="minorHAnsi"/>
          <w:lang w:eastAsia="en-US"/>
        </w:rPr>
        <w:t>Lab testing was not carried out consistently where this was appropriate e.g. for UTI/LRTI</w:t>
      </w:r>
      <w:r w:rsidR="008859F2" w:rsidRPr="00845BD2">
        <w:rPr>
          <w:rFonts w:asciiTheme="minorHAnsi" w:hAnsiTheme="minorHAnsi"/>
          <w:lang w:eastAsia="en-US"/>
        </w:rPr>
        <w:t>.</w:t>
      </w:r>
    </w:p>
    <w:p w:rsidR="008547AB" w:rsidRPr="00845BD2" w:rsidRDefault="008547AB" w:rsidP="00845BD2">
      <w:pPr>
        <w:pStyle w:val="NoSpacing"/>
        <w:numPr>
          <w:ilvl w:val="0"/>
          <w:numId w:val="17"/>
        </w:numPr>
        <w:ind w:left="360"/>
        <w:rPr>
          <w:rFonts w:asciiTheme="minorHAnsi" w:hAnsiTheme="minorHAnsi"/>
          <w:lang w:eastAsia="en-US"/>
        </w:rPr>
      </w:pPr>
      <w:r w:rsidRPr="00845BD2">
        <w:rPr>
          <w:rFonts w:asciiTheme="minorHAnsi" w:hAnsiTheme="minorHAnsi"/>
          <w:lang w:eastAsia="en-US"/>
        </w:rPr>
        <w:t xml:space="preserve">From the case studies it was noted that microbiologists were not frequently contacted </w:t>
      </w:r>
      <w:r w:rsidR="008859F2" w:rsidRPr="00845BD2">
        <w:rPr>
          <w:rFonts w:asciiTheme="minorHAnsi" w:hAnsiTheme="minorHAnsi"/>
          <w:lang w:eastAsia="en-US"/>
        </w:rPr>
        <w:t xml:space="preserve">for UTI/LRTI </w:t>
      </w:r>
      <w:r w:rsidRPr="00845BD2">
        <w:rPr>
          <w:rFonts w:asciiTheme="minorHAnsi" w:hAnsiTheme="minorHAnsi"/>
          <w:lang w:eastAsia="en-US"/>
        </w:rPr>
        <w:t>as advised in the formulary</w:t>
      </w:r>
      <w:r w:rsidR="008859F2" w:rsidRPr="00845BD2">
        <w:rPr>
          <w:rFonts w:asciiTheme="minorHAnsi" w:hAnsiTheme="minorHAnsi"/>
          <w:lang w:eastAsia="en-US"/>
        </w:rPr>
        <w:t>.</w:t>
      </w:r>
      <w:r w:rsidR="00A761DA" w:rsidRPr="00A761DA">
        <w:t xml:space="preserve"> </w:t>
      </w:r>
      <w:r w:rsidR="00A761DA">
        <w:t>difficult to contact microbiology and also that specimen results do not list all sensitivities so GPs encouraged to ask ahead of prescribing a high risk AB</w:t>
      </w:r>
    </w:p>
    <w:p w:rsidR="008859F2" w:rsidRPr="00845BD2" w:rsidRDefault="008859F2" w:rsidP="00845BD2">
      <w:pPr>
        <w:pStyle w:val="NoSpacing"/>
        <w:numPr>
          <w:ilvl w:val="0"/>
          <w:numId w:val="17"/>
        </w:numPr>
        <w:ind w:left="360"/>
        <w:rPr>
          <w:rFonts w:asciiTheme="minorHAnsi" w:hAnsiTheme="minorHAnsi"/>
          <w:lang w:eastAsia="en-US"/>
        </w:rPr>
      </w:pPr>
      <w:r w:rsidRPr="00845BD2">
        <w:rPr>
          <w:rFonts w:asciiTheme="minorHAnsi" w:eastAsiaTheme="minorEastAsia" w:hAnsiTheme="minorHAnsi"/>
          <w:lang w:val="en-US"/>
        </w:rPr>
        <w:t xml:space="preserve">UTI was the </w:t>
      </w:r>
      <w:r w:rsidR="00694D65" w:rsidRPr="00845BD2">
        <w:rPr>
          <w:rFonts w:asciiTheme="minorHAnsi" w:eastAsiaTheme="minorEastAsia" w:hAnsiTheme="minorHAnsi"/>
          <w:lang w:val="en-US"/>
        </w:rPr>
        <w:t xml:space="preserve">most frequently identified </w:t>
      </w:r>
      <w:r w:rsidRPr="00845BD2">
        <w:rPr>
          <w:rFonts w:asciiTheme="minorHAnsi" w:eastAsiaTheme="minorEastAsia" w:hAnsiTheme="minorHAnsi"/>
          <w:lang w:val="en-US"/>
        </w:rPr>
        <w:t>condition that was poorly managed and where high risk antibiotics could have been avoided</w:t>
      </w:r>
    </w:p>
    <w:p w:rsidR="008859F2" w:rsidRPr="00A761DA" w:rsidRDefault="008859F2" w:rsidP="00845BD2">
      <w:pPr>
        <w:pStyle w:val="NoSpacing"/>
        <w:numPr>
          <w:ilvl w:val="0"/>
          <w:numId w:val="17"/>
        </w:numPr>
        <w:ind w:left="360"/>
        <w:rPr>
          <w:rFonts w:asciiTheme="minorHAnsi" w:hAnsiTheme="minorHAnsi"/>
          <w:lang w:eastAsia="en-US"/>
        </w:rPr>
      </w:pPr>
      <w:r w:rsidRPr="00A761DA">
        <w:rPr>
          <w:rFonts w:asciiTheme="minorHAnsi" w:eastAsiaTheme="minorEastAsia" w:hAnsiTheme="minorHAnsi"/>
          <w:lang w:val="en-US"/>
        </w:rPr>
        <w:t>There was evidence to su</w:t>
      </w:r>
      <w:r w:rsidR="00A761DA" w:rsidRPr="00A761DA">
        <w:rPr>
          <w:rFonts w:asciiTheme="minorHAnsi" w:eastAsiaTheme="minorEastAsia" w:hAnsiTheme="minorHAnsi"/>
          <w:lang w:val="en-US"/>
        </w:rPr>
        <w:t xml:space="preserve">ggest that: nurses may in a few cases </w:t>
      </w:r>
      <w:r w:rsidR="00A761DA">
        <w:rPr>
          <w:rFonts w:asciiTheme="minorHAnsi" w:eastAsiaTheme="minorEastAsia" w:hAnsiTheme="minorHAnsi"/>
          <w:lang w:val="en-US"/>
        </w:rPr>
        <w:t>have mad</w:t>
      </w:r>
      <w:r w:rsidR="00A761DA" w:rsidRPr="00A761DA">
        <w:rPr>
          <w:rFonts w:asciiTheme="minorHAnsi" w:eastAsiaTheme="minorEastAsia" w:hAnsiTheme="minorHAnsi"/>
          <w:lang w:val="en-US"/>
        </w:rPr>
        <w:t>e</w:t>
      </w:r>
      <w:r w:rsidRPr="00A761DA">
        <w:rPr>
          <w:rFonts w:asciiTheme="minorHAnsi" w:eastAsiaTheme="minorEastAsia" w:hAnsiTheme="minorHAnsi"/>
          <w:lang w:val="en-US"/>
        </w:rPr>
        <w:t xml:space="preserve"> assessm</w:t>
      </w:r>
      <w:r w:rsidR="00A761DA">
        <w:rPr>
          <w:rFonts w:asciiTheme="minorHAnsi" w:eastAsiaTheme="minorEastAsia" w:hAnsiTheme="minorHAnsi"/>
          <w:lang w:val="en-US"/>
        </w:rPr>
        <w:t>ents of patients and then asked</w:t>
      </w:r>
      <w:r w:rsidRPr="00A761DA">
        <w:rPr>
          <w:rFonts w:asciiTheme="minorHAnsi" w:eastAsiaTheme="minorEastAsia" w:hAnsiTheme="minorHAnsi"/>
          <w:lang w:val="en-US"/>
        </w:rPr>
        <w:t xml:space="preserve"> GPs to prescribe</w:t>
      </w:r>
      <w:r w:rsidR="00A761DA" w:rsidRPr="00A761DA">
        <w:rPr>
          <w:rFonts w:asciiTheme="minorHAnsi" w:eastAsiaTheme="minorEastAsia" w:hAnsiTheme="minorHAnsi"/>
          <w:lang w:val="en-US"/>
        </w:rPr>
        <w:t xml:space="preserve">; </w:t>
      </w:r>
      <w:r w:rsidR="00A761DA">
        <w:rPr>
          <w:rFonts w:asciiTheme="minorHAnsi" w:eastAsiaTheme="minorEastAsia" w:hAnsiTheme="minorHAnsi"/>
          <w:lang w:val="en-US"/>
        </w:rPr>
        <w:t xml:space="preserve">there was some </w:t>
      </w:r>
      <w:r w:rsidR="00A761DA" w:rsidRPr="00A761DA">
        <w:rPr>
          <w:rFonts w:asciiTheme="minorHAnsi" w:hAnsiTheme="minorHAnsi"/>
        </w:rPr>
        <w:t xml:space="preserve">prescribing via phone; </w:t>
      </w:r>
      <w:r w:rsidR="00A761DA">
        <w:rPr>
          <w:rFonts w:asciiTheme="minorHAnsi" w:hAnsiTheme="minorHAnsi"/>
        </w:rPr>
        <w:t>on some occasions the</w:t>
      </w:r>
      <w:r w:rsidR="00A761DA" w:rsidRPr="00A761DA">
        <w:rPr>
          <w:rFonts w:asciiTheme="minorHAnsi" w:hAnsiTheme="minorHAnsi"/>
        </w:rPr>
        <w:t xml:space="preserve"> patie</w:t>
      </w:r>
      <w:r w:rsidR="00A761DA">
        <w:rPr>
          <w:rFonts w:asciiTheme="minorHAnsi" w:hAnsiTheme="minorHAnsi"/>
        </w:rPr>
        <w:t>nt has asked (insisted) for a particular antibiotic.</w:t>
      </w:r>
    </w:p>
    <w:p w:rsidR="00694D65" w:rsidRPr="00845BD2" w:rsidRDefault="008859F2" w:rsidP="00845BD2">
      <w:pPr>
        <w:pStyle w:val="NoSpacing"/>
        <w:numPr>
          <w:ilvl w:val="0"/>
          <w:numId w:val="17"/>
        </w:numPr>
        <w:ind w:left="360"/>
        <w:rPr>
          <w:rFonts w:asciiTheme="minorHAnsi" w:hAnsiTheme="minorHAnsi"/>
          <w:lang w:eastAsia="en-US"/>
        </w:rPr>
      </w:pPr>
      <w:r w:rsidRPr="00845BD2">
        <w:rPr>
          <w:rFonts w:asciiTheme="minorHAnsi" w:eastAsiaTheme="minorEastAsia" w:hAnsiTheme="minorHAnsi"/>
          <w:lang w:val="en-US"/>
        </w:rPr>
        <w:t>There was evidence to suggest that no diagnosis had been recorded for a small number of instances of prescribing.</w:t>
      </w:r>
    </w:p>
    <w:p w:rsidR="00694D65" w:rsidRPr="00845BD2" w:rsidRDefault="00694D65" w:rsidP="00694D65">
      <w:pPr>
        <w:pStyle w:val="NoSpacing"/>
        <w:ind w:left="720"/>
        <w:rPr>
          <w:rFonts w:asciiTheme="minorHAnsi" w:hAnsiTheme="minorHAnsi"/>
          <w:lang w:eastAsia="en-US"/>
        </w:rPr>
      </w:pPr>
    </w:p>
    <w:tbl>
      <w:tblPr>
        <w:tblStyle w:val="TableGrid"/>
        <w:tblW w:w="0" w:type="auto"/>
        <w:tblInd w:w="250" w:type="dxa"/>
        <w:tblLook w:val="04A0" w:firstRow="1" w:lastRow="0" w:firstColumn="1" w:lastColumn="0" w:noHBand="0" w:noVBand="1"/>
      </w:tblPr>
      <w:tblGrid>
        <w:gridCol w:w="5954"/>
        <w:gridCol w:w="1275"/>
        <w:gridCol w:w="1134"/>
        <w:gridCol w:w="1136"/>
      </w:tblGrid>
      <w:tr w:rsidR="00E06573" w:rsidRPr="00845BD2" w:rsidTr="00845BD2">
        <w:tc>
          <w:tcPr>
            <w:tcW w:w="5954" w:type="dxa"/>
          </w:tcPr>
          <w:p w:rsidR="00E06573" w:rsidRPr="00845BD2" w:rsidRDefault="00E06573" w:rsidP="0064039B">
            <w:pPr>
              <w:pStyle w:val="ListParagraph"/>
              <w:spacing w:line="276" w:lineRule="auto"/>
              <w:ind w:left="0"/>
              <w:jc w:val="both"/>
              <w:rPr>
                <w:rFonts w:asciiTheme="minorHAnsi" w:hAnsiTheme="minorHAnsi"/>
                <w:b/>
              </w:rPr>
            </w:pPr>
            <w:r w:rsidRPr="00845BD2">
              <w:rPr>
                <w:rFonts w:asciiTheme="minorHAnsi" w:hAnsiTheme="minorHAnsi"/>
                <w:b/>
              </w:rPr>
              <w:t>Outcomes of standards</w:t>
            </w:r>
          </w:p>
        </w:tc>
        <w:tc>
          <w:tcPr>
            <w:tcW w:w="1275" w:type="dxa"/>
          </w:tcPr>
          <w:p w:rsidR="00E06573" w:rsidRPr="00845BD2" w:rsidRDefault="00E06573" w:rsidP="0064039B">
            <w:pPr>
              <w:pStyle w:val="ListParagraph"/>
              <w:spacing w:line="276" w:lineRule="auto"/>
              <w:ind w:left="0"/>
              <w:jc w:val="center"/>
              <w:rPr>
                <w:rFonts w:asciiTheme="minorHAnsi" w:hAnsiTheme="minorHAnsi"/>
                <w:b/>
              </w:rPr>
            </w:pPr>
            <w:r w:rsidRPr="00845BD2">
              <w:rPr>
                <w:rFonts w:asciiTheme="minorHAnsi" w:hAnsiTheme="minorHAnsi"/>
                <w:b/>
              </w:rPr>
              <w:t>Target</w:t>
            </w:r>
          </w:p>
        </w:tc>
        <w:tc>
          <w:tcPr>
            <w:tcW w:w="1134" w:type="dxa"/>
          </w:tcPr>
          <w:p w:rsidR="00E06573" w:rsidRPr="00845BD2" w:rsidRDefault="00E06573" w:rsidP="0064039B">
            <w:pPr>
              <w:pStyle w:val="ListParagraph"/>
              <w:spacing w:line="276" w:lineRule="auto"/>
              <w:ind w:left="0"/>
              <w:jc w:val="center"/>
              <w:rPr>
                <w:rFonts w:asciiTheme="minorHAnsi" w:hAnsiTheme="minorHAnsi"/>
                <w:b/>
              </w:rPr>
            </w:pPr>
            <w:r w:rsidRPr="00845BD2">
              <w:rPr>
                <w:rFonts w:asciiTheme="minorHAnsi" w:hAnsiTheme="minorHAnsi"/>
                <w:b/>
              </w:rPr>
              <w:t>Result</w:t>
            </w:r>
          </w:p>
        </w:tc>
        <w:tc>
          <w:tcPr>
            <w:tcW w:w="1136" w:type="dxa"/>
          </w:tcPr>
          <w:p w:rsidR="00E06573" w:rsidRPr="00845BD2" w:rsidRDefault="00E06573" w:rsidP="0064039B">
            <w:pPr>
              <w:pStyle w:val="ListParagraph"/>
              <w:spacing w:line="276" w:lineRule="auto"/>
              <w:ind w:left="0"/>
              <w:jc w:val="center"/>
              <w:rPr>
                <w:rFonts w:asciiTheme="minorHAnsi" w:hAnsiTheme="minorHAnsi"/>
                <w:b/>
              </w:rPr>
            </w:pPr>
            <w:r w:rsidRPr="00845BD2">
              <w:rPr>
                <w:rFonts w:asciiTheme="minorHAnsi" w:hAnsiTheme="minorHAnsi"/>
                <w:b/>
              </w:rPr>
              <w:t>Outcome achieved</w:t>
            </w:r>
          </w:p>
        </w:tc>
      </w:tr>
      <w:tr w:rsidR="00957C26" w:rsidRPr="00845BD2" w:rsidTr="00845BD2">
        <w:tc>
          <w:tcPr>
            <w:tcW w:w="5954" w:type="dxa"/>
          </w:tcPr>
          <w:p w:rsidR="00957C26" w:rsidRPr="00845BD2" w:rsidRDefault="00A761DA" w:rsidP="006240E8">
            <w:pPr>
              <w:pStyle w:val="ListParagraph"/>
              <w:spacing w:line="276" w:lineRule="auto"/>
              <w:ind w:left="0"/>
              <w:jc w:val="both"/>
              <w:rPr>
                <w:rFonts w:asciiTheme="minorHAnsi" w:hAnsiTheme="minorHAnsi"/>
              </w:rPr>
            </w:pPr>
            <w:r>
              <w:rPr>
                <w:rFonts w:asciiTheme="minorHAnsi" w:hAnsiTheme="minorHAnsi"/>
              </w:rPr>
              <w:t>Standard 1, p</w:t>
            </w:r>
            <w:r w:rsidR="00957C26" w:rsidRPr="00845BD2">
              <w:rPr>
                <w:rFonts w:asciiTheme="minorHAnsi" w:hAnsiTheme="minorHAnsi"/>
              </w:rPr>
              <w:t>art 1 – the prescribing of high risk antibiotics is below the 25</w:t>
            </w:r>
            <w:r w:rsidR="00957C26" w:rsidRPr="00845BD2">
              <w:rPr>
                <w:rFonts w:asciiTheme="minorHAnsi" w:hAnsiTheme="minorHAnsi"/>
                <w:vertAlign w:val="superscript"/>
              </w:rPr>
              <w:t>th</w:t>
            </w:r>
            <w:r w:rsidR="00957C26" w:rsidRPr="00845BD2">
              <w:rPr>
                <w:rFonts w:asciiTheme="minorHAnsi" w:hAnsiTheme="minorHAnsi"/>
              </w:rPr>
              <w:t xml:space="preserve"> national centile (Q2)</w:t>
            </w:r>
          </w:p>
        </w:tc>
        <w:tc>
          <w:tcPr>
            <w:tcW w:w="1275" w:type="dxa"/>
          </w:tcPr>
          <w:p w:rsidR="00957C26" w:rsidRPr="00845BD2" w:rsidRDefault="00957C26" w:rsidP="006240E8">
            <w:pPr>
              <w:pStyle w:val="ListParagraph"/>
              <w:spacing w:line="276" w:lineRule="auto"/>
              <w:ind w:left="0"/>
              <w:jc w:val="center"/>
              <w:rPr>
                <w:rFonts w:asciiTheme="minorHAnsi" w:hAnsiTheme="minorHAnsi"/>
              </w:rPr>
            </w:pPr>
            <w:r w:rsidRPr="00845BD2">
              <w:rPr>
                <w:rFonts w:asciiTheme="minorHAnsi" w:hAnsiTheme="minorHAnsi"/>
              </w:rPr>
              <w:t>Below 4.74%</w:t>
            </w:r>
          </w:p>
        </w:tc>
        <w:tc>
          <w:tcPr>
            <w:tcW w:w="1134" w:type="dxa"/>
          </w:tcPr>
          <w:p w:rsidR="00957C26" w:rsidRPr="00845BD2" w:rsidRDefault="00957C26" w:rsidP="0064039B">
            <w:pPr>
              <w:pStyle w:val="ListParagraph"/>
              <w:spacing w:line="276" w:lineRule="auto"/>
              <w:ind w:left="0"/>
              <w:jc w:val="center"/>
              <w:rPr>
                <w:rFonts w:asciiTheme="minorHAnsi" w:hAnsiTheme="minorHAnsi"/>
              </w:rPr>
            </w:pPr>
            <w:r w:rsidRPr="00845BD2">
              <w:rPr>
                <w:rFonts w:asciiTheme="minorHAnsi" w:hAnsiTheme="minorHAnsi"/>
              </w:rPr>
              <w:t>4.77%</w:t>
            </w:r>
          </w:p>
        </w:tc>
        <w:tc>
          <w:tcPr>
            <w:tcW w:w="1136" w:type="dxa"/>
          </w:tcPr>
          <w:p w:rsidR="00957C26" w:rsidRPr="00845BD2" w:rsidRDefault="00957C26" w:rsidP="0064039B">
            <w:pPr>
              <w:pStyle w:val="ListParagraph"/>
              <w:spacing w:line="276" w:lineRule="auto"/>
              <w:ind w:left="0"/>
              <w:jc w:val="center"/>
              <w:rPr>
                <w:rFonts w:asciiTheme="minorHAnsi" w:hAnsiTheme="minorHAnsi"/>
              </w:rPr>
            </w:pPr>
            <w:r w:rsidRPr="00845BD2">
              <w:rPr>
                <w:rFonts w:asciiTheme="minorHAnsi" w:hAnsiTheme="minorHAnsi"/>
              </w:rPr>
              <w:t>Almost</w:t>
            </w:r>
          </w:p>
        </w:tc>
      </w:tr>
      <w:tr w:rsidR="005A3282" w:rsidRPr="00845BD2" w:rsidTr="00845BD2">
        <w:tc>
          <w:tcPr>
            <w:tcW w:w="5954" w:type="dxa"/>
          </w:tcPr>
          <w:p w:rsidR="005A3282" w:rsidRPr="00845BD2" w:rsidRDefault="00A761DA" w:rsidP="00AB45DB">
            <w:pPr>
              <w:pStyle w:val="ListParagraph"/>
              <w:spacing w:line="276" w:lineRule="auto"/>
              <w:ind w:left="0"/>
              <w:jc w:val="both"/>
              <w:rPr>
                <w:rFonts w:asciiTheme="minorHAnsi" w:hAnsiTheme="minorHAnsi"/>
              </w:rPr>
            </w:pPr>
            <w:r>
              <w:rPr>
                <w:rFonts w:asciiTheme="minorHAnsi" w:hAnsiTheme="minorHAnsi"/>
              </w:rPr>
              <w:t xml:space="preserve">Standard </w:t>
            </w:r>
            <w:r w:rsidR="00AC3627">
              <w:rPr>
                <w:rFonts w:asciiTheme="minorHAnsi" w:hAnsiTheme="minorHAnsi"/>
              </w:rPr>
              <w:t>2, p</w:t>
            </w:r>
            <w:r w:rsidR="005A3282" w:rsidRPr="00845BD2">
              <w:rPr>
                <w:rFonts w:asciiTheme="minorHAnsi" w:hAnsiTheme="minorHAnsi"/>
              </w:rPr>
              <w:t>a</w:t>
            </w:r>
            <w:r>
              <w:rPr>
                <w:rFonts w:asciiTheme="minorHAnsi" w:hAnsiTheme="minorHAnsi"/>
              </w:rPr>
              <w:t>r</w:t>
            </w:r>
            <w:r w:rsidR="005A3282" w:rsidRPr="00845BD2">
              <w:rPr>
                <w:rFonts w:asciiTheme="minorHAnsi" w:hAnsiTheme="minorHAnsi"/>
              </w:rPr>
              <w:t>t 1 – the prescribing of topical antibiotics is not carried out unless for accepted conditions not in formulary or at the request of dermatologists</w:t>
            </w:r>
          </w:p>
        </w:tc>
        <w:tc>
          <w:tcPr>
            <w:tcW w:w="1275" w:type="dxa"/>
          </w:tcPr>
          <w:p w:rsidR="005A3282" w:rsidRPr="00845BD2" w:rsidRDefault="005A3282" w:rsidP="00AB45DB">
            <w:pPr>
              <w:pStyle w:val="ListParagraph"/>
              <w:spacing w:line="276" w:lineRule="auto"/>
              <w:ind w:left="0"/>
              <w:jc w:val="center"/>
              <w:rPr>
                <w:rFonts w:asciiTheme="minorHAnsi" w:hAnsiTheme="minorHAnsi"/>
              </w:rPr>
            </w:pPr>
            <w:r w:rsidRPr="00845BD2">
              <w:rPr>
                <w:rFonts w:asciiTheme="minorHAnsi" w:hAnsiTheme="minorHAnsi"/>
              </w:rPr>
              <w:t>0 patients</w:t>
            </w:r>
          </w:p>
        </w:tc>
        <w:tc>
          <w:tcPr>
            <w:tcW w:w="1134" w:type="dxa"/>
          </w:tcPr>
          <w:p w:rsidR="005A3282" w:rsidRPr="00845BD2" w:rsidRDefault="005A3282" w:rsidP="00AB45DB">
            <w:pPr>
              <w:pStyle w:val="ListParagraph"/>
              <w:spacing w:line="276" w:lineRule="auto"/>
              <w:ind w:left="0"/>
              <w:jc w:val="center"/>
              <w:rPr>
                <w:rFonts w:asciiTheme="minorHAnsi" w:hAnsiTheme="minorHAnsi"/>
              </w:rPr>
            </w:pPr>
          </w:p>
        </w:tc>
        <w:tc>
          <w:tcPr>
            <w:tcW w:w="1136" w:type="dxa"/>
          </w:tcPr>
          <w:p w:rsidR="005A3282" w:rsidRPr="00845BD2" w:rsidRDefault="005A3282" w:rsidP="00AB45DB">
            <w:pPr>
              <w:pStyle w:val="ListParagraph"/>
              <w:spacing w:line="276" w:lineRule="auto"/>
              <w:ind w:left="0"/>
              <w:jc w:val="center"/>
              <w:rPr>
                <w:rFonts w:asciiTheme="minorHAnsi" w:hAnsiTheme="minorHAnsi"/>
              </w:rPr>
            </w:pPr>
            <w:r w:rsidRPr="00845BD2">
              <w:rPr>
                <w:rFonts w:asciiTheme="minorHAnsi" w:hAnsiTheme="minorHAnsi"/>
              </w:rPr>
              <w:t>No</w:t>
            </w:r>
          </w:p>
        </w:tc>
      </w:tr>
      <w:tr w:rsidR="005A3282" w:rsidRPr="00845BD2" w:rsidTr="00845BD2">
        <w:tc>
          <w:tcPr>
            <w:tcW w:w="5954" w:type="dxa"/>
          </w:tcPr>
          <w:p w:rsidR="005A3282" w:rsidRPr="00845BD2" w:rsidRDefault="00A761DA" w:rsidP="00C45477">
            <w:pPr>
              <w:pStyle w:val="ListParagraph"/>
              <w:spacing w:line="276" w:lineRule="auto"/>
              <w:ind w:left="0"/>
              <w:jc w:val="both"/>
              <w:rPr>
                <w:rFonts w:asciiTheme="minorHAnsi" w:hAnsiTheme="minorHAnsi"/>
              </w:rPr>
            </w:pPr>
            <w:r>
              <w:rPr>
                <w:rFonts w:asciiTheme="minorHAnsi" w:hAnsiTheme="minorHAnsi"/>
              </w:rPr>
              <w:t xml:space="preserve">Standard </w:t>
            </w:r>
            <w:r w:rsidR="00AC3627">
              <w:rPr>
                <w:rFonts w:asciiTheme="minorHAnsi" w:hAnsiTheme="minorHAnsi"/>
              </w:rPr>
              <w:t>3, p</w:t>
            </w:r>
            <w:r w:rsidR="005A3282" w:rsidRPr="00845BD2">
              <w:rPr>
                <w:rFonts w:asciiTheme="minorHAnsi" w:hAnsiTheme="minorHAnsi"/>
              </w:rPr>
              <w:t xml:space="preserve">art 1 - there is minimal prescribing of high risk antibiotics for people with low risk (in younger age groups) </w:t>
            </w:r>
          </w:p>
        </w:tc>
        <w:tc>
          <w:tcPr>
            <w:tcW w:w="1275" w:type="dxa"/>
          </w:tcPr>
          <w:p w:rsidR="005A3282" w:rsidRPr="00845BD2" w:rsidRDefault="005A3282" w:rsidP="00C45477">
            <w:pPr>
              <w:pStyle w:val="ListParagraph"/>
              <w:spacing w:line="276" w:lineRule="auto"/>
              <w:ind w:left="0"/>
              <w:jc w:val="center"/>
              <w:rPr>
                <w:rFonts w:asciiTheme="minorHAnsi" w:hAnsiTheme="minorHAnsi"/>
              </w:rPr>
            </w:pPr>
            <w:r w:rsidRPr="00845BD2">
              <w:rPr>
                <w:rFonts w:asciiTheme="minorHAnsi" w:hAnsiTheme="minorHAnsi"/>
              </w:rPr>
              <w:t>30%</w:t>
            </w:r>
          </w:p>
        </w:tc>
        <w:tc>
          <w:tcPr>
            <w:tcW w:w="1134" w:type="dxa"/>
          </w:tcPr>
          <w:p w:rsidR="005A3282" w:rsidRPr="00845BD2" w:rsidRDefault="005A3282" w:rsidP="00C45477">
            <w:pPr>
              <w:pStyle w:val="ListParagraph"/>
              <w:spacing w:line="276" w:lineRule="auto"/>
              <w:ind w:left="0"/>
              <w:jc w:val="center"/>
              <w:rPr>
                <w:rFonts w:asciiTheme="minorHAnsi" w:hAnsiTheme="minorHAnsi"/>
              </w:rPr>
            </w:pPr>
            <w:r w:rsidRPr="00845BD2">
              <w:rPr>
                <w:rFonts w:asciiTheme="minorHAnsi" w:hAnsiTheme="minorHAnsi"/>
              </w:rPr>
              <w:t>42%</w:t>
            </w:r>
          </w:p>
        </w:tc>
        <w:tc>
          <w:tcPr>
            <w:tcW w:w="1136" w:type="dxa"/>
          </w:tcPr>
          <w:p w:rsidR="005A3282" w:rsidRPr="00845BD2" w:rsidRDefault="005A3282" w:rsidP="00C45477">
            <w:pPr>
              <w:pStyle w:val="ListParagraph"/>
              <w:spacing w:line="276" w:lineRule="auto"/>
              <w:ind w:left="0"/>
              <w:jc w:val="center"/>
              <w:rPr>
                <w:rFonts w:asciiTheme="minorHAnsi" w:hAnsiTheme="minorHAnsi"/>
              </w:rPr>
            </w:pPr>
            <w:r w:rsidRPr="00845BD2">
              <w:rPr>
                <w:rFonts w:asciiTheme="minorHAnsi" w:hAnsiTheme="minorHAnsi"/>
              </w:rPr>
              <w:t>No</w:t>
            </w:r>
          </w:p>
        </w:tc>
      </w:tr>
      <w:tr w:rsidR="005A3282" w:rsidRPr="00845BD2" w:rsidTr="00845BD2">
        <w:tc>
          <w:tcPr>
            <w:tcW w:w="5954" w:type="dxa"/>
          </w:tcPr>
          <w:p w:rsidR="005A3282" w:rsidRPr="00845BD2" w:rsidRDefault="00A761DA" w:rsidP="0064039B">
            <w:pPr>
              <w:pStyle w:val="ListParagraph"/>
              <w:spacing w:line="276" w:lineRule="auto"/>
              <w:ind w:left="0"/>
              <w:jc w:val="both"/>
              <w:rPr>
                <w:rFonts w:asciiTheme="minorHAnsi" w:hAnsiTheme="minorHAnsi"/>
              </w:rPr>
            </w:pPr>
            <w:r>
              <w:rPr>
                <w:rFonts w:asciiTheme="minorHAnsi" w:hAnsiTheme="minorHAnsi"/>
              </w:rPr>
              <w:t xml:space="preserve">Standard </w:t>
            </w:r>
            <w:r w:rsidR="00AC3627">
              <w:rPr>
                <w:rFonts w:asciiTheme="minorHAnsi" w:hAnsiTheme="minorHAnsi"/>
              </w:rPr>
              <w:t>4, p</w:t>
            </w:r>
            <w:r w:rsidR="005A3282" w:rsidRPr="00845BD2">
              <w:rPr>
                <w:rFonts w:asciiTheme="minorHAnsi" w:hAnsiTheme="minorHAnsi"/>
              </w:rPr>
              <w:t xml:space="preserve">art 2 -  the prescribing of high risk antibiotic is according to formulary or lab sensitivity </w:t>
            </w:r>
          </w:p>
        </w:tc>
        <w:tc>
          <w:tcPr>
            <w:tcW w:w="1275" w:type="dxa"/>
          </w:tcPr>
          <w:p w:rsidR="005A3282" w:rsidRPr="00845BD2" w:rsidRDefault="005A3282" w:rsidP="0064039B">
            <w:pPr>
              <w:pStyle w:val="ListParagraph"/>
              <w:spacing w:line="276" w:lineRule="auto"/>
              <w:ind w:left="0"/>
              <w:jc w:val="center"/>
              <w:rPr>
                <w:rFonts w:asciiTheme="minorHAnsi" w:hAnsiTheme="minorHAnsi"/>
              </w:rPr>
            </w:pPr>
            <w:r w:rsidRPr="00845BD2">
              <w:rPr>
                <w:rFonts w:asciiTheme="minorHAnsi" w:hAnsiTheme="minorHAnsi"/>
              </w:rPr>
              <w:t>50%</w:t>
            </w:r>
          </w:p>
        </w:tc>
        <w:tc>
          <w:tcPr>
            <w:tcW w:w="1134" w:type="dxa"/>
          </w:tcPr>
          <w:p w:rsidR="005A3282" w:rsidRPr="00845BD2" w:rsidRDefault="005A3282" w:rsidP="0064039B">
            <w:pPr>
              <w:pStyle w:val="ListParagraph"/>
              <w:spacing w:line="276" w:lineRule="auto"/>
              <w:ind w:left="0"/>
              <w:jc w:val="center"/>
              <w:rPr>
                <w:rFonts w:asciiTheme="minorHAnsi" w:hAnsiTheme="minorHAnsi"/>
              </w:rPr>
            </w:pPr>
          </w:p>
        </w:tc>
        <w:tc>
          <w:tcPr>
            <w:tcW w:w="1136" w:type="dxa"/>
          </w:tcPr>
          <w:p w:rsidR="005A3282" w:rsidRPr="00845BD2" w:rsidRDefault="005A3282" w:rsidP="0064039B">
            <w:pPr>
              <w:pStyle w:val="ListParagraph"/>
              <w:spacing w:line="276" w:lineRule="auto"/>
              <w:ind w:left="0"/>
              <w:jc w:val="center"/>
              <w:rPr>
                <w:rFonts w:asciiTheme="minorHAnsi" w:hAnsiTheme="minorHAnsi"/>
              </w:rPr>
            </w:pPr>
            <w:r w:rsidRPr="00845BD2">
              <w:rPr>
                <w:rFonts w:asciiTheme="minorHAnsi" w:hAnsiTheme="minorHAnsi"/>
              </w:rPr>
              <w:t>No</w:t>
            </w:r>
          </w:p>
        </w:tc>
      </w:tr>
    </w:tbl>
    <w:p w:rsidR="00860645" w:rsidRPr="00845BD2" w:rsidRDefault="00860645">
      <w:pPr>
        <w:rPr>
          <w:rFonts w:asciiTheme="minorHAnsi" w:hAnsiTheme="minorHAnsi"/>
          <w:b/>
          <w:sz w:val="40"/>
          <w:szCs w:val="40"/>
        </w:rPr>
      </w:pPr>
    </w:p>
    <w:p w:rsidR="00101671" w:rsidRPr="00845BD2" w:rsidRDefault="00101671">
      <w:pPr>
        <w:rPr>
          <w:rFonts w:asciiTheme="minorHAnsi" w:hAnsiTheme="minorHAnsi"/>
          <w:b/>
          <w:sz w:val="40"/>
          <w:szCs w:val="40"/>
        </w:rPr>
      </w:pPr>
      <w:r w:rsidRPr="00845BD2">
        <w:rPr>
          <w:rFonts w:asciiTheme="minorHAnsi" w:hAnsiTheme="minorHAnsi"/>
          <w:b/>
          <w:sz w:val="40"/>
          <w:szCs w:val="40"/>
        </w:rPr>
        <w:t>Conclusion</w:t>
      </w:r>
    </w:p>
    <w:p w:rsidR="00101671" w:rsidRPr="00845BD2" w:rsidRDefault="00101671">
      <w:pPr>
        <w:rPr>
          <w:rFonts w:asciiTheme="minorHAnsi" w:hAnsiTheme="minorHAnsi"/>
          <w:b/>
          <w:sz w:val="40"/>
          <w:szCs w:val="40"/>
        </w:rPr>
      </w:pPr>
    </w:p>
    <w:p w:rsidR="00AC3627" w:rsidRDefault="00957C26" w:rsidP="00A761DA">
      <w:pPr>
        <w:pStyle w:val="CommentText"/>
        <w:rPr>
          <w:rFonts w:asciiTheme="minorHAnsi" w:hAnsiTheme="minorHAnsi"/>
          <w:sz w:val="24"/>
          <w:szCs w:val="24"/>
        </w:rPr>
      </w:pPr>
      <w:r w:rsidRPr="00A761DA">
        <w:rPr>
          <w:rFonts w:asciiTheme="minorHAnsi" w:hAnsiTheme="minorHAnsi"/>
          <w:sz w:val="24"/>
          <w:szCs w:val="24"/>
        </w:rPr>
        <w:t>The CCG is performing well according to national standards. However, t</w:t>
      </w:r>
      <w:r w:rsidR="004B4199" w:rsidRPr="00A761DA">
        <w:rPr>
          <w:rFonts w:asciiTheme="minorHAnsi" w:hAnsiTheme="minorHAnsi"/>
          <w:sz w:val="24"/>
          <w:szCs w:val="24"/>
        </w:rPr>
        <w:t xml:space="preserve">he overall </w:t>
      </w:r>
      <w:r w:rsidRPr="00A761DA">
        <w:rPr>
          <w:rFonts w:asciiTheme="minorHAnsi" w:hAnsiTheme="minorHAnsi"/>
          <w:sz w:val="24"/>
          <w:szCs w:val="24"/>
        </w:rPr>
        <w:t xml:space="preserve">audit </w:t>
      </w:r>
      <w:r w:rsidR="004B4199" w:rsidRPr="00A761DA">
        <w:rPr>
          <w:rFonts w:asciiTheme="minorHAnsi" w:hAnsiTheme="minorHAnsi"/>
          <w:sz w:val="24"/>
          <w:szCs w:val="24"/>
        </w:rPr>
        <w:t xml:space="preserve">results were poor, showing that there is </w:t>
      </w:r>
      <w:r w:rsidR="005A3282" w:rsidRPr="00A761DA">
        <w:rPr>
          <w:rFonts w:asciiTheme="minorHAnsi" w:hAnsiTheme="minorHAnsi"/>
          <w:sz w:val="24"/>
          <w:szCs w:val="24"/>
        </w:rPr>
        <w:t xml:space="preserve">still </w:t>
      </w:r>
      <w:r w:rsidR="004B4199" w:rsidRPr="00A761DA">
        <w:rPr>
          <w:rFonts w:asciiTheme="minorHAnsi" w:hAnsiTheme="minorHAnsi"/>
          <w:sz w:val="24"/>
          <w:szCs w:val="24"/>
        </w:rPr>
        <w:t xml:space="preserve">much scope for improvement. </w:t>
      </w:r>
    </w:p>
    <w:p w:rsidR="00AC3627" w:rsidRDefault="00AC3627" w:rsidP="00A761DA">
      <w:pPr>
        <w:pStyle w:val="CommentText"/>
        <w:rPr>
          <w:rFonts w:asciiTheme="minorHAnsi" w:hAnsiTheme="minorHAnsi"/>
          <w:sz w:val="24"/>
          <w:szCs w:val="24"/>
        </w:rPr>
      </w:pPr>
    </w:p>
    <w:p w:rsidR="00AC3627" w:rsidRDefault="00A761DA" w:rsidP="00A761DA">
      <w:pPr>
        <w:pStyle w:val="CommentText"/>
        <w:rPr>
          <w:rFonts w:asciiTheme="minorHAnsi" w:hAnsiTheme="minorHAnsi"/>
          <w:sz w:val="24"/>
          <w:szCs w:val="24"/>
        </w:rPr>
      </w:pPr>
      <w:r w:rsidRPr="00A761DA">
        <w:rPr>
          <w:rFonts w:asciiTheme="minorHAnsi" w:hAnsiTheme="minorHAnsi"/>
          <w:sz w:val="24"/>
          <w:szCs w:val="24"/>
        </w:rPr>
        <w:t>There was considerable practice variation, with one practice showi</w:t>
      </w:r>
      <w:r w:rsidR="00AC3627">
        <w:rPr>
          <w:rFonts w:asciiTheme="minorHAnsi" w:hAnsiTheme="minorHAnsi"/>
          <w:sz w:val="24"/>
          <w:szCs w:val="24"/>
        </w:rPr>
        <w:t xml:space="preserve">ng outstanding results: </w:t>
      </w:r>
      <w:r w:rsidRPr="00A761DA">
        <w:rPr>
          <w:rFonts w:asciiTheme="minorHAnsi" w:hAnsiTheme="minorHAnsi"/>
          <w:sz w:val="24"/>
          <w:szCs w:val="24"/>
        </w:rPr>
        <w:t xml:space="preserve">standard 4 = 70%. This showed a </w:t>
      </w:r>
      <w:r w:rsidR="00AC3627">
        <w:rPr>
          <w:rFonts w:asciiTheme="minorHAnsi" w:hAnsiTheme="minorHAnsi"/>
          <w:sz w:val="24"/>
          <w:szCs w:val="24"/>
        </w:rPr>
        <w:t xml:space="preserve">greater than </w:t>
      </w:r>
      <w:r w:rsidR="00AC3627" w:rsidRPr="00A761DA">
        <w:rPr>
          <w:rFonts w:asciiTheme="minorHAnsi" w:hAnsiTheme="minorHAnsi"/>
          <w:sz w:val="24"/>
          <w:szCs w:val="24"/>
        </w:rPr>
        <w:t>tenfold</w:t>
      </w:r>
      <w:r w:rsidRPr="00A761DA">
        <w:rPr>
          <w:rFonts w:asciiTheme="minorHAnsi" w:hAnsiTheme="minorHAnsi"/>
          <w:sz w:val="24"/>
          <w:szCs w:val="24"/>
        </w:rPr>
        <w:t xml:space="preserve"> difference over the worst performing practice.</w:t>
      </w:r>
      <w:r w:rsidR="00AC3627">
        <w:rPr>
          <w:rFonts w:asciiTheme="minorHAnsi" w:hAnsiTheme="minorHAnsi"/>
          <w:sz w:val="24"/>
          <w:szCs w:val="24"/>
        </w:rPr>
        <w:t xml:space="preserve"> </w:t>
      </w:r>
    </w:p>
    <w:p w:rsidR="00AC3627" w:rsidRDefault="00AC3627" w:rsidP="00A761DA">
      <w:pPr>
        <w:pStyle w:val="CommentText"/>
        <w:rPr>
          <w:rFonts w:asciiTheme="minorHAnsi" w:hAnsiTheme="minorHAnsi"/>
          <w:sz w:val="24"/>
          <w:szCs w:val="24"/>
        </w:rPr>
      </w:pPr>
    </w:p>
    <w:p w:rsidR="00A761DA" w:rsidRDefault="00AC3627" w:rsidP="00A761DA">
      <w:pPr>
        <w:pStyle w:val="CommentText"/>
        <w:rPr>
          <w:rFonts w:asciiTheme="minorHAnsi" w:hAnsiTheme="minorHAnsi"/>
          <w:sz w:val="24"/>
          <w:szCs w:val="24"/>
        </w:rPr>
      </w:pPr>
      <w:r>
        <w:rPr>
          <w:rFonts w:asciiTheme="minorHAnsi" w:hAnsiTheme="minorHAnsi"/>
          <w:sz w:val="24"/>
          <w:szCs w:val="24"/>
        </w:rPr>
        <w:t xml:space="preserve">Continuous improvement is shown in high risk antibiotic prescribing for the majority of practices. Overall volume of all antibiotic prescribing still appears to be a challenge for nine practices. </w:t>
      </w:r>
    </w:p>
    <w:p w:rsidR="00AC3627" w:rsidRDefault="00AC3627" w:rsidP="00A761DA">
      <w:pPr>
        <w:pStyle w:val="CommentText"/>
        <w:rPr>
          <w:rFonts w:asciiTheme="minorHAnsi" w:hAnsiTheme="minorHAnsi"/>
          <w:sz w:val="24"/>
          <w:szCs w:val="24"/>
        </w:rPr>
      </w:pPr>
    </w:p>
    <w:p w:rsidR="00AC3627" w:rsidRPr="00A761DA" w:rsidRDefault="00AC3627" w:rsidP="00A761DA">
      <w:pPr>
        <w:pStyle w:val="CommentText"/>
        <w:rPr>
          <w:rFonts w:asciiTheme="minorHAnsi" w:hAnsiTheme="minorHAnsi"/>
          <w:sz w:val="24"/>
          <w:szCs w:val="24"/>
        </w:rPr>
      </w:pPr>
      <w:r>
        <w:rPr>
          <w:rFonts w:asciiTheme="minorHAnsi" w:hAnsiTheme="minorHAnsi"/>
          <w:sz w:val="24"/>
          <w:szCs w:val="24"/>
        </w:rPr>
        <w:t xml:space="preserve">Each practice is asked to develop an action plan to address any areas for improvement. </w:t>
      </w:r>
    </w:p>
    <w:p w:rsidR="004B4199" w:rsidRPr="00A761DA" w:rsidRDefault="004B4199" w:rsidP="005A3282">
      <w:pPr>
        <w:jc w:val="both"/>
        <w:rPr>
          <w:rFonts w:asciiTheme="minorHAnsi" w:hAnsiTheme="minorHAnsi"/>
        </w:rPr>
      </w:pPr>
    </w:p>
    <w:p w:rsidR="00101671" w:rsidRPr="00845BD2" w:rsidRDefault="00AC3627" w:rsidP="005A3282">
      <w:pPr>
        <w:jc w:val="both"/>
        <w:rPr>
          <w:rFonts w:asciiTheme="minorHAnsi" w:hAnsiTheme="minorHAnsi"/>
        </w:rPr>
      </w:pPr>
      <w:r>
        <w:rPr>
          <w:rFonts w:asciiTheme="minorHAnsi" w:hAnsiTheme="minorHAnsi"/>
        </w:rPr>
        <w:t>T</w:t>
      </w:r>
      <w:r w:rsidR="00101671" w:rsidRPr="00A761DA">
        <w:rPr>
          <w:rFonts w:asciiTheme="minorHAnsi" w:hAnsiTheme="minorHAnsi"/>
        </w:rPr>
        <w:t xml:space="preserve">he audit only considered high risk </w:t>
      </w:r>
      <w:r w:rsidR="004B4199" w:rsidRPr="00A761DA">
        <w:rPr>
          <w:rFonts w:asciiTheme="minorHAnsi" w:hAnsiTheme="minorHAnsi"/>
        </w:rPr>
        <w:t>antibiotics, a small percentage of antibiotic prescribing. The same principles addressed in the audit could be applied to all antibiotic prescribing and practices should consider if this is needed.</w:t>
      </w:r>
      <w:r w:rsidR="00101671" w:rsidRPr="00845BD2">
        <w:rPr>
          <w:rFonts w:asciiTheme="minorHAnsi" w:hAnsiTheme="minorHAnsi"/>
        </w:rPr>
        <w:br w:type="page"/>
      </w:r>
    </w:p>
    <w:p w:rsidR="00860645" w:rsidRPr="00845BD2" w:rsidRDefault="00860645" w:rsidP="00860645">
      <w:pPr>
        <w:spacing w:line="276" w:lineRule="auto"/>
        <w:jc w:val="both"/>
        <w:rPr>
          <w:rFonts w:asciiTheme="minorHAnsi" w:hAnsiTheme="minorHAnsi"/>
          <w:b/>
          <w:sz w:val="40"/>
          <w:szCs w:val="40"/>
        </w:rPr>
      </w:pPr>
      <w:r w:rsidRPr="00845BD2">
        <w:rPr>
          <w:rFonts w:asciiTheme="minorHAnsi" w:hAnsiTheme="minorHAnsi"/>
          <w:b/>
          <w:sz w:val="40"/>
          <w:szCs w:val="40"/>
        </w:rPr>
        <w:lastRenderedPageBreak/>
        <w:t>Suggested actions following the audit</w:t>
      </w:r>
    </w:p>
    <w:p w:rsidR="006C55F9" w:rsidRPr="00845BD2" w:rsidRDefault="006C55F9" w:rsidP="00860645">
      <w:pPr>
        <w:spacing w:line="276" w:lineRule="auto"/>
        <w:jc w:val="both"/>
        <w:rPr>
          <w:rFonts w:asciiTheme="minorHAnsi" w:hAnsiTheme="minorHAnsi"/>
          <w:b/>
        </w:rPr>
      </w:pPr>
    </w:p>
    <w:p w:rsidR="00860645" w:rsidRPr="00845BD2" w:rsidRDefault="008859F2" w:rsidP="00860645">
      <w:pPr>
        <w:spacing w:line="276" w:lineRule="auto"/>
        <w:jc w:val="both"/>
        <w:rPr>
          <w:rFonts w:asciiTheme="minorHAnsi" w:hAnsiTheme="minorHAnsi"/>
        </w:rPr>
      </w:pPr>
      <w:r w:rsidRPr="00845BD2">
        <w:rPr>
          <w:rFonts w:asciiTheme="minorHAnsi" w:hAnsiTheme="minorHAnsi"/>
        </w:rPr>
        <w:t xml:space="preserve">Whilst there have been </w:t>
      </w:r>
      <w:r w:rsidR="006C55F9" w:rsidRPr="00845BD2">
        <w:rPr>
          <w:rFonts w:asciiTheme="minorHAnsi" w:hAnsiTheme="minorHAnsi"/>
        </w:rPr>
        <w:t xml:space="preserve">successful </w:t>
      </w:r>
      <w:r w:rsidRPr="00845BD2">
        <w:rPr>
          <w:rFonts w:asciiTheme="minorHAnsi" w:hAnsiTheme="minorHAnsi"/>
        </w:rPr>
        <w:t xml:space="preserve">efforts made to reduce the prescribing of high risk antibiotics as evidenced by the indicators, there is still much room for improvement. Each practice has been asked to </w:t>
      </w:r>
      <w:r w:rsidR="006C55F9" w:rsidRPr="00845BD2">
        <w:rPr>
          <w:rFonts w:asciiTheme="minorHAnsi" w:hAnsiTheme="minorHAnsi"/>
        </w:rPr>
        <w:t xml:space="preserve">develop an action plan and re-audit where necessary. </w:t>
      </w:r>
    </w:p>
    <w:p w:rsidR="006C55F9" w:rsidRPr="00845BD2" w:rsidRDefault="006C55F9" w:rsidP="00860645">
      <w:pPr>
        <w:spacing w:line="276" w:lineRule="auto"/>
        <w:jc w:val="both"/>
        <w:rPr>
          <w:rFonts w:asciiTheme="minorHAnsi" w:hAnsiTheme="minorHAnsi"/>
          <w:sz w:val="40"/>
          <w:szCs w:val="40"/>
        </w:rPr>
      </w:pPr>
    </w:p>
    <w:p w:rsidR="00860645" w:rsidRPr="00845BD2" w:rsidRDefault="001A19DD" w:rsidP="00860645">
      <w:pPr>
        <w:pStyle w:val="ListParagraph"/>
        <w:numPr>
          <w:ilvl w:val="0"/>
          <w:numId w:val="10"/>
        </w:numPr>
        <w:spacing w:line="276" w:lineRule="auto"/>
        <w:jc w:val="both"/>
        <w:rPr>
          <w:rFonts w:asciiTheme="minorHAnsi" w:hAnsiTheme="minorHAnsi"/>
          <w:b/>
          <w:sz w:val="28"/>
          <w:szCs w:val="28"/>
        </w:rPr>
      </w:pPr>
      <w:r w:rsidRPr="00845BD2">
        <w:rPr>
          <w:rFonts w:asciiTheme="minorHAnsi" w:hAnsiTheme="minorHAnsi"/>
          <w:b/>
          <w:sz w:val="28"/>
          <w:szCs w:val="28"/>
        </w:rPr>
        <w:t>Supporting the improvement of</w:t>
      </w:r>
      <w:r w:rsidR="00860645" w:rsidRPr="00845BD2">
        <w:rPr>
          <w:rFonts w:asciiTheme="minorHAnsi" w:hAnsiTheme="minorHAnsi"/>
          <w:b/>
          <w:sz w:val="28"/>
          <w:szCs w:val="28"/>
        </w:rPr>
        <w:t xml:space="preserve"> antimicrobial stewardship</w:t>
      </w:r>
    </w:p>
    <w:p w:rsidR="00860645" w:rsidRPr="00845BD2" w:rsidRDefault="00860645" w:rsidP="00860645">
      <w:pPr>
        <w:rPr>
          <w:rFonts w:asciiTheme="minorHAnsi" w:hAnsiTheme="minorHAnsi"/>
        </w:rPr>
      </w:pPr>
    </w:p>
    <w:p w:rsidR="00860645" w:rsidRPr="00845BD2" w:rsidRDefault="00C23A55" w:rsidP="00860645">
      <w:pPr>
        <w:rPr>
          <w:rFonts w:asciiTheme="minorHAnsi" w:hAnsiTheme="minorHAnsi"/>
          <w:b/>
          <w:sz w:val="22"/>
          <w:szCs w:val="22"/>
        </w:rPr>
      </w:pPr>
      <w:hyperlink r:id="rId19" w:history="1">
        <w:r w:rsidR="00860645" w:rsidRPr="00845BD2">
          <w:rPr>
            <w:rStyle w:val="Hyperlink"/>
            <w:rFonts w:asciiTheme="minorHAnsi" w:hAnsiTheme="minorHAnsi"/>
            <w:b/>
            <w:sz w:val="22"/>
            <w:szCs w:val="22"/>
          </w:rPr>
          <w:t>http://www.nhs.uk/NHSEngland/ARC/Pages/AboutARC.aspx</w:t>
        </w:r>
      </w:hyperlink>
    </w:p>
    <w:p w:rsidR="00860645" w:rsidRPr="00845BD2" w:rsidRDefault="00860645" w:rsidP="00860645">
      <w:pPr>
        <w:spacing w:line="276" w:lineRule="auto"/>
        <w:jc w:val="both"/>
        <w:rPr>
          <w:rFonts w:asciiTheme="minorHAnsi" w:hAnsiTheme="minorHAnsi"/>
          <w:sz w:val="22"/>
          <w:szCs w:val="22"/>
        </w:rPr>
      </w:pPr>
    </w:p>
    <w:p w:rsidR="0096517F" w:rsidRPr="00845BD2" w:rsidRDefault="0096517F" w:rsidP="00860645">
      <w:pPr>
        <w:spacing w:line="276" w:lineRule="auto"/>
        <w:jc w:val="both"/>
        <w:rPr>
          <w:rFonts w:asciiTheme="minorHAnsi" w:hAnsiTheme="minorHAnsi"/>
          <w:sz w:val="22"/>
          <w:szCs w:val="22"/>
        </w:rPr>
      </w:pPr>
    </w:p>
    <w:p w:rsidR="00860645" w:rsidRPr="00845BD2" w:rsidRDefault="00860645" w:rsidP="00860645">
      <w:pPr>
        <w:pStyle w:val="ListParagraph"/>
        <w:numPr>
          <w:ilvl w:val="0"/>
          <w:numId w:val="10"/>
        </w:numPr>
        <w:spacing w:line="276" w:lineRule="auto"/>
        <w:jc w:val="both"/>
        <w:rPr>
          <w:rFonts w:asciiTheme="minorHAnsi" w:hAnsiTheme="minorHAnsi"/>
          <w:b/>
          <w:sz w:val="28"/>
          <w:szCs w:val="28"/>
        </w:rPr>
      </w:pPr>
      <w:r w:rsidRPr="00845BD2">
        <w:rPr>
          <w:rFonts w:asciiTheme="minorHAnsi" w:hAnsiTheme="minorHAnsi"/>
          <w:b/>
          <w:sz w:val="28"/>
          <w:szCs w:val="28"/>
        </w:rPr>
        <w:t xml:space="preserve">Agreeing </w:t>
      </w:r>
      <w:r w:rsidR="00C27448" w:rsidRPr="00845BD2">
        <w:rPr>
          <w:rFonts w:asciiTheme="minorHAnsi" w:hAnsiTheme="minorHAnsi"/>
          <w:b/>
          <w:sz w:val="28"/>
          <w:szCs w:val="28"/>
        </w:rPr>
        <w:t xml:space="preserve">individual </w:t>
      </w:r>
      <w:r w:rsidRPr="00845BD2">
        <w:rPr>
          <w:rFonts w:asciiTheme="minorHAnsi" w:hAnsiTheme="minorHAnsi"/>
          <w:b/>
          <w:sz w:val="28"/>
          <w:szCs w:val="28"/>
        </w:rPr>
        <w:t xml:space="preserve">practice </w:t>
      </w:r>
      <w:r w:rsidR="001A19DD" w:rsidRPr="00845BD2">
        <w:rPr>
          <w:rFonts w:asciiTheme="minorHAnsi" w:hAnsiTheme="minorHAnsi"/>
          <w:b/>
          <w:sz w:val="28"/>
          <w:szCs w:val="28"/>
        </w:rPr>
        <w:t xml:space="preserve">clinical </w:t>
      </w:r>
      <w:r w:rsidR="00C27448" w:rsidRPr="00845BD2">
        <w:rPr>
          <w:rFonts w:asciiTheme="minorHAnsi" w:hAnsiTheme="minorHAnsi"/>
          <w:b/>
          <w:sz w:val="28"/>
          <w:szCs w:val="28"/>
        </w:rPr>
        <w:t>change</w:t>
      </w:r>
    </w:p>
    <w:p w:rsidR="0096517F" w:rsidRPr="00845BD2" w:rsidRDefault="0096517F" w:rsidP="00C27448">
      <w:pPr>
        <w:spacing w:after="180"/>
        <w:rPr>
          <w:rFonts w:asciiTheme="minorHAnsi" w:hAnsiTheme="minorHAnsi"/>
          <w:b/>
          <w:sz w:val="22"/>
          <w:szCs w:val="22"/>
        </w:rPr>
      </w:pPr>
    </w:p>
    <w:p w:rsidR="00C27448" w:rsidRPr="00845BD2" w:rsidRDefault="00101671" w:rsidP="00C27448">
      <w:pPr>
        <w:spacing w:after="180"/>
        <w:rPr>
          <w:rFonts w:asciiTheme="minorHAnsi" w:hAnsiTheme="minorHAnsi"/>
          <w:b/>
          <w:sz w:val="22"/>
          <w:szCs w:val="22"/>
        </w:rPr>
      </w:pPr>
      <w:r w:rsidRPr="00845BD2">
        <w:rPr>
          <w:rFonts w:asciiTheme="minorHAnsi" w:hAnsiTheme="minorHAnsi"/>
          <w:b/>
          <w:sz w:val="22"/>
          <w:szCs w:val="22"/>
        </w:rPr>
        <w:t>Suggested</w:t>
      </w:r>
      <w:r w:rsidR="0096517F" w:rsidRPr="00845BD2">
        <w:rPr>
          <w:rFonts w:asciiTheme="minorHAnsi" w:hAnsiTheme="minorHAnsi"/>
          <w:b/>
          <w:sz w:val="22"/>
          <w:szCs w:val="22"/>
        </w:rPr>
        <w:t xml:space="preserve"> a</w:t>
      </w:r>
      <w:r w:rsidR="00C27448" w:rsidRPr="00845BD2">
        <w:rPr>
          <w:rFonts w:asciiTheme="minorHAnsi" w:hAnsiTheme="minorHAnsi"/>
          <w:b/>
          <w:sz w:val="22"/>
          <w:szCs w:val="22"/>
        </w:rPr>
        <w:t xml:space="preserve">ntibiotic practice plan  </w:t>
      </w:r>
    </w:p>
    <w:p w:rsidR="00C27448" w:rsidRPr="00845BD2" w:rsidRDefault="00C27448" w:rsidP="00C23A55">
      <w:pPr>
        <w:numPr>
          <w:ilvl w:val="0"/>
          <w:numId w:val="11"/>
        </w:numPr>
        <w:spacing w:line="360" w:lineRule="auto"/>
        <w:rPr>
          <w:rFonts w:asciiTheme="minorHAnsi" w:hAnsiTheme="minorHAnsi" w:cs="Arial"/>
          <w:color w:val="000000"/>
        </w:rPr>
      </w:pPr>
      <w:r w:rsidRPr="00845BD2">
        <w:rPr>
          <w:rFonts w:asciiTheme="minorHAnsi" w:hAnsiTheme="minorHAnsi" w:cs="Arial"/>
          <w:color w:val="000000"/>
        </w:rPr>
        <w:t>15-60 age groups - discuss in practice clinical meeting and agree strategy e</w:t>
      </w:r>
      <w:r w:rsidR="00101671" w:rsidRPr="00845BD2">
        <w:rPr>
          <w:rFonts w:asciiTheme="minorHAnsi" w:hAnsiTheme="minorHAnsi" w:cs="Arial"/>
          <w:color w:val="000000"/>
        </w:rPr>
        <w:t>.</w:t>
      </w:r>
      <w:r w:rsidRPr="00845BD2">
        <w:rPr>
          <w:rFonts w:asciiTheme="minorHAnsi" w:hAnsiTheme="minorHAnsi" w:cs="Arial"/>
          <w:color w:val="000000"/>
        </w:rPr>
        <w:t>g</w:t>
      </w:r>
      <w:r w:rsidR="00101671" w:rsidRPr="00845BD2">
        <w:rPr>
          <w:rFonts w:asciiTheme="minorHAnsi" w:hAnsiTheme="minorHAnsi" w:cs="Arial"/>
          <w:color w:val="000000"/>
        </w:rPr>
        <w:t>.</w:t>
      </w:r>
      <w:r w:rsidRPr="00845BD2">
        <w:rPr>
          <w:rFonts w:asciiTheme="minorHAnsi" w:hAnsiTheme="minorHAnsi" w:cs="Arial"/>
          <w:color w:val="000000"/>
        </w:rPr>
        <w:t xml:space="preserve"> deferred scripts, no script leaflet</w:t>
      </w:r>
    </w:p>
    <w:p w:rsidR="00C27448" w:rsidRPr="00845BD2" w:rsidRDefault="00C27448" w:rsidP="00C23A55">
      <w:pPr>
        <w:numPr>
          <w:ilvl w:val="0"/>
          <w:numId w:val="11"/>
        </w:numPr>
        <w:spacing w:line="360" w:lineRule="auto"/>
        <w:rPr>
          <w:rFonts w:asciiTheme="minorHAnsi" w:hAnsiTheme="minorHAnsi"/>
        </w:rPr>
      </w:pPr>
      <w:r w:rsidRPr="00845BD2">
        <w:rPr>
          <w:rFonts w:asciiTheme="minorHAnsi" w:hAnsiTheme="minorHAnsi"/>
        </w:rPr>
        <w:t xml:space="preserve">Share antibiotic formulary </w:t>
      </w:r>
      <w:r w:rsidR="00101671" w:rsidRPr="00845BD2">
        <w:rPr>
          <w:rFonts w:asciiTheme="minorHAnsi" w:hAnsiTheme="minorHAnsi"/>
        </w:rPr>
        <w:t>with all clinical staff</w:t>
      </w:r>
    </w:p>
    <w:p w:rsidR="00C27448" w:rsidRPr="00845BD2" w:rsidRDefault="00C27448" w:rsidP="00C23A55">
      <w:pPr>
        <w:numPr>
          <w:ilvl w:val="0"/>
          <w:numId w:val="11"/>
        </w:numPr>
        <w:spacing w:line="360" w:lineRule="auto"/>
        <w:rPr>
          <w:rFonts w:asciiTheme="minorHAnsi" w:hAnsiTheme="minorHAnsi" w:cs="Arial"/>
          <w:color w:val="000000"/>
        </w:rPr>
      </w:pPr>
      <w:r w:rsidRPr="00845BD2">
        <w:rPr>
          <w:rFonts w:asciiTheme="minorHAnsi" w:hAnsiTheme="minorHAnsi" w:cs="Arial"/>
          <w:color w:val="000000"/>
        </w:rPr>
        <w:t>Agree practice policy for prescribing high risk antibiotics outside formulary</w:t>
      </w:r>
    </w:p>
    <w:p w:rsidR="00C27448" w:rsidRPr="00845BD2" w:rsidRDefault="00C27448" w:rsidP="00C23A55">
      <w:pPr>
        <w:numPr>
          <w:ilvl w:val="0"/>
          <w:numId w:val="11"/>
        </w:numPr>
        <w:spacing w:line="360" w:lineRule="auto"/>
        <w:rPr>
          <w:rFonts w:asciiTheme="minorHAnsi" w:hAnsiTheme="minorHAnsi"/>
        </w:rPr>
      </w:pPr>
      <w:r w:rsidRPr="00845BD2">
        <w:rPr>
          <w:rFonts w:asciiTheme="minorHAnsi" w:hAnsiTheme="minorHAnsi"/>
        </w:rPr>
        <w:t>Discuss audit outcome with nurses</w:t>
      </w:r>
      <w:r w:rsidR="00101671" w:rsidRPr="00845BD2">
        <w:rPr>
          <w:rFonts w:asciiTheme="minorHAnsi" w:hAnsiTheme="minorHAnsi"/>
        </w:rPr>
        <w:t xml:space="preserve"> and review practice protocols</w:t>
      </w:r>
    </w:p>
    <w:p w:rsidR="00C27448" w:rsidRPr="00845BD2" w:rsidRDefault="00C27448" w:rsidP="00C23A55">
      <w:pPr>
        <w:numPr>
          <w:ilvl w:val="0"/>
          <w:numId w:val="11"/>
        </w:numPr>
        <w:spacing w:line="360" w:lineRule="auto"/>
        <w:rPr>
          <w:rFonts w:asciiTheme="minorHAnsi" w:hAnsiTheme="minorHAnsi" w:cs="Calibri"/>
        </w:rPr>
      </w:pPr>
      <w:r w:rsidRPr="00845BD2">
        <w:rPr>
          <w:rFonts w:asciiTheme="minorHAnsi" w:hAnsiTheme="minorHAnsi" w:cs="Calibri"/>
        </w:rPr>
        <w:t>Use a UTI template (to develop for all to use)</w:t>
      </w:r>
    </w:p>
    <w:p w:rsidR="00C27448" w:rsidRPr="00845BD2" w:rsidRDefault="00C27448" w:rsidP="00C23A55">
      <w:pPr>
        <w:numPr>
          <w:ilvl w:val="1"/>
          <w:numId w:val="11"/>
        </w:numPr>
        <w:spacing w:line="360" w:lineRule="auto"/>
        <w:rPr>
          <w:rFonts w:asciiTheme="minorHAnsi" w:hAnsiTheme="minorHAnsi"/>
        </w:rPr>
      </w:pPr>
      <w:r w:rsidRPr="00845BD2">
        <w:rPr>
          <w:rFonts w:asciiTheme="minorHAnsi" w:hAnsiTheme="minorHAnsi"/>
        </w:rPr>
        <w:t>Agree management of UTI and do in depth audit</w:t>
      </w:r>
    </w:p>
    <w:p w:rsidR="00C27448" w:rsidRPr="00845BD2" w:rsidRDefault="00C27448" w:rsidP="00C23A55">
      <w:pPr>
        <w:numPr>
          <w:ilvl w:val="1"/>
          <w:numId w:val="11"/>
        </w:numPr>
        <w:spacing w:line="360" w:lineRule="auto"/>
        <w:rPr>
          <w:rFonts w:asciiTheme="minorHAnsi" w:hAnsiTheme="minorHAnsi"/>
        </w:rPr>
      </w:pPr>
      <w:r w:rsidRPr="00845BD2">
        <w:rPr>
          <w:rFonts w:asciiTheme="minorHAnsi" w:hAnsiTheme="minorHAnsi"/>
        </w:rPr>
        <w:t xml:space="preserve">Severe, &gt;3 symptoms - empiric treatment with trimethoprim or nitrofurantoin. Treatment failure, take sample, </w:t>
      </w:r>
      <w:proofErr w:type="gramStart"/>
      <w:r w:rsidRPr="00845BD2">
        <w:rPr>
          <w:rFonts w:asciiTheme="minorHAnsi" w:hAnsiTheme="minorHAnsi"/>
        </w:rPr>
        <w:t>d/w</w:t>
      </w:r>
      <w:proofErr w:type="gramEnd"/>
      <w:r w:rsidRPr="00845BD2">
        <w:rPr>
          <w:rFonts w:asciiTheme="minorHAnsi" w:hAnsiTheme="minorHAnsi"/>
        </w:rPr>
        <w:t xml:space="preserve"> microbiologists.</w:t>
      </w:r>
    </w:p>
    <w:p w:rsidR="00C27448" w:rsidRPr="00845BD2" w:rsidRDefault="00C27448" w:rsidP="00C23A55">
      <w:pPr>
        <w:numPr>
          <w:ilvl w:val="1"/>
          <w:numId w:val="11"/>
        </w:numPr>
        <w:spacing w:line="360" w:lineRule="auto"/>
        <w:rPr>
          <w:rFonts w:asciiTheme="minorHAnsi" w:hAnsiTheme="minorHAnsi"/>
        </w:rPr>
      </w:pPr>
      <w:r w:rsidRPr="00845BD2">
        <w:rPr>
          <w:rFonts w:asciiTheme="minorHAnsi" w:hAnsiTheme="minorHAnsi"/>
        </w:rPr>
        <w:t>Moderate 2 symptoms, dipstick – positive leucocytes, treat as above.</w:t>
      </w:r>
    </w:p>
    <w:p w:rsidR="00C27448" w:rsidRPr="00845BD2" w:rsidRDefault="00C27448" w:rsidP="00C23A55">
      <w:pPr>
        <w:numPr>
          <w:ilvl w:val="0"/>
          <w:numId w:val="11"/>
        </w:numPr>
        <w:spacing w:line="360" w:lineRule="auto"/>
        <w:rPr>
          <w:rFonts w:asciiTheme="minorHAnsi" w:hAnsiTheme="minorHAnsi"/>
        </w:rPr>
      </w:pPr>
      <w:r w:rsidRPr="00845BD2">
        <w:rPr>
          <w:rFonts w:asciiTheme="minorHAnsi" w:hAnsiTheme="minorHAnsi"/>
        </w:rPr>
        <w:t>Agree management of COPD and do in depth audit</w:t>
      </w:r>
    </w:p>
    <w:p w:rsidR="00C27448" w:rsidRPr="00845BD2" w:rsidRDefault="00C27448" w:rsidP="00C23A55">
      <w:pPr>
        <w:numPr>
          <w:ilvl w:val="1"/>
          <w:numId w:val="11"/>
        </w:numPr>
        <w:spacing w:line="360" w:lineRule="auto"/>
        <w:rPr>
          <w:rFonts w:asciiTheme="minorHAnsi" w:hAnsiTheme="minorHAnsi"/>
        </w:rPr>
      </w:pPr>
      <w:r w:rsidRPr="00845BD2">
        <w:rPr>
          <w:rFonts w:asciiTheme="minorHAnsi" w:hAnsiTheme="minorHAnsi"/>
        </w:rPr>
        <w:t xml:space="preserve">5 days pred and doxycycline 100mg </w:t>
      </w:r>
      <w:proofErr w:type="spellStart"/>
      <w:r w:rsidRPr="00845BD2">
        <w:rPr>
          <w:rFonts w:asciiTheme="minorHAnsi" w:hAnsiTheme="minorHAnsi"/>
        </w:rPr>
        <w:t>bd</w:t>
      </w:r>
      <w:proofErr w:type="spellEnd"/>
      <w:r w:rsidRPr="00845BD2">
        <w:rPr>
          <w:rFonts w:asciiTheme="minorHAnsi" w:hAnsiTheme="minorHAnsi"/>
        </w:rPr>
        <w:t xml:space="preserve"> or </w:t>
      </w:r>
      <w:proofErr w:type="spellStart"/>
      <w:r w:rsidRPr="00845BD2">
        <w:rPr>
          <w:rFonts w:asciiTheme="minorHAnsi" w:hAnsiTheme="minorHAnsi"/>
        </w:rPr>
        <w:t>amox</w:t>
      </w:r>
      <w:proofErr w:type="spellEnd"/>
      <w:r w:rsidRPr="00845BD2">
        <w:rPr>
          <w:rFonts w:asciiTheme="minorHAnsi" w:hAnsiTheme="minorHAnsi"/>
        </w:rPr>
        <w:t xml:space="preserve"> 500tds</w:t>
      </w:r>
    </w:p>
    <w:p w:rsidR="00C27448" w:rsidRPr="00845BD2" w:rsidRDefault="00C27448" w:rsidP="00C23A55">
      <w:pPr>
        <w:numPr>
          <w:ilvl w:val="1"/>
          <w:numId w:val="11"/>
        </w:numPr>
        <w:spacing w:line="360" w:lineRule="auto"/>
        <w:rPr>
          <w:rFonts w:asciiTheme="minorHAnsi" w:hAnsiTheme="minorHAnsi"/>
        </w:rPr>
      </w:pPr>
      <w:r w:rsidRPr="00845BD2">
        <w:rPr>
          <w:rFonts w:asciiTheme="minorHAnsi" w:hAnsiTheme="minorHAnsi"/>
        </w:rPr>
        <w:t>When to send sputum samples</w:t>
      </w:r>
    </w:p>
    <w:p w:rsidR="00C27448" w:rsidRPr="00845BD2" w:rsidRDefault="00C27448" w:rsidP="00C23A55">
      <w:pPr>
        <w:numPr>
          <w:ilvl w:val="1"/>
          <w:numId w:val="11"/>
        </w:numPr>
        <w:spacing w:line="360" w:lineRule="auto"/>
        <w:rPr>
          <w:rFonts w:asciiTheme="minorHAnsi" w:hAnsiTheme="minorHAnsi"/>
        </w:rPr>
      </w:pPr>
      <w:r w:rsidRPr="00845BD2">
        <w:rPr>
          <w:rFonts w:asciiTheme="minorHAnsi" w:hAnsiTheme="minorHAnsi"/>
        </w:rPr>
        <w:t>Not added to repeat</w:t>
      </w:r>
    </w:p>
    <w:p w:rsidR="00C27448" w:rsidRPr="00845BD2" w:rsidRDefault="00C27448" w:rsidP="00C23A55">
      <w:pPr>
        <w:numPr>
          <w:ilvl w:val="0"/>
          <w:numId w:val="11"/>
        </w:numPr>
        <w:spacing w:line="360" w:lineRule="auto"/>
        <w:rPr>
          <w:rFonts w:asciiTheme="minorHAnsi" w:hAnsiTheme="minorHAnsi"/>
        </w:rPr>
      </w:pPr>
      <w:r w:rsidRPr="00845BD2">
        <w:rPr>
          <w:rFonts w:asciiTheme="minorHAnsi" w:hAnsiTheme="minorHAnsi"/>
        </w:rPr>
        <w:t>Agree management of skin – flucloxacillin first line</w:t>
      </w:r>
    </w:p>
    <w:p w:rsidR="00C27448" w:rsidRPr="00845BD2" w:rsidRDefault="00C27448" w:rsidP="00C23A55">
      <w:pPr>
        <w:numPr>
          <w:ilvl w:val="0"/>
          <w:numId w:val="11"/>
        </w:numPr>
        <w:spacing w:line="360" w:lineRule="auto"/>
        <w:rPr>
          <w:rFonts w:asciiTheme="minorHAnsi" w:hAnsiTheme="minorHAnsi"/>
        </w:rPr>
      </w:pPr>
      <w:r w:rsidRPr="00845BD2">
        <w:rPr>
          <w:rFonts w:asciiTheme="minorHAnsi" w:hAnsiTheme="minorHAnsi"/>
        </w:rPr>
        <w:t>Agree management of leg ulcer – only if active infection send pre-treatment swab</w:t>
      </w:r>
    </w:p>
    <w:p w:rsidR="00C27448" w:rsidRPr="00845BD2" w:rsidRDefault="00C27448" w:rsidP="00C23A55">
      <w:pPr>
        <w:numPr>
          <w:ilvl w:val="0"/>
          <w:numId w:val="11"/>
        </w:numPr>
        <w:spacing w:line="360" w:lineRule="auto"/>
        <w:rPr>
          <w:rFonts w:asciiTheme="minorHAnsi" w:hAnsiTheme="minorHAnsi"/>
        </w:rPr>
      </w:pPr>
      <w:r w:rsidRPr="00845BD2">
        <w:rPr>
          <w:rFonts w:asciiTheme="minorHAnsi" w:hAnsiTheme="minorHAnsi"/>
        </w:rPr>
        <w:t>No prescribing of topical antibiotics unless in specific conditions – sheet to follow</w:t>
      </w:r>
    </w:p>
    <w:p w:rsidR="00C27448" w:rsidRPr="00845BD2" w:rsidRDefault="00C27448" w:rsidP="00C23A55">
      <w:pPr>
        <w:numPr>
          <w:ilvl w:val="0"/>
          <w:numId w:val="11"/>
        </w:numPr>
        <w:spacing w:line="360" w:lineRule="auto"/>
        <w:rPr>
          <w:rFonts w:asciiTheme="minorHAnsi" w:hAnsiTheme="minorHAnsi"/>
        </w:rPr>
      </w:pPr>
      <w:r w:rsidRPr="00845BD2">
        <w:rPr>
          <w:rFonts w:asciiTheme="minorHAnsi" w:hAnsiTheme="minorHAnsi"/>
        </w:rPr>
        <w:t>Re-audit of specific areas in 5 and 6 above April/May 2015 (6 months)</w:t>
      </w:r>
    </w:p>
    <w:p w:rsidR="00A761DA" w:rsidRPr="00E4670C" w:rsidRDefault="00C27448" w:rsidP="00C23A55">
      <w:pPr>
        <w:pStyle w:val="ListParagraph"/>
        <w:numPr>
          <w:ilvl w:val="0"/>
          <w:numId w:val="11"/>
        </w:numPr>
        <w:spacing w:line="360" w:lineRule="auto"/>
        <w:jc w:val="both"/>
        <w:rPr>
          <w:rFonts w:asciiTheme="minorHAnsi" w:hAnsiTheme="minorHAnsi"/>
        </w:rPr>
      </w:pPr>
      <w:r w:rsidRPr="00845BD2">
        <w:rPr>
          <w:rFonts w:asciiTheme="minorHAnsi" w:hAnsiTheme="minorHAnsi"/>
        </w:rPr>
        <w:t>Suggested standards for re</w:t>
      </w:r>
      <w:r w:rsidR="007A01DA">
        <w:rPr>
          <w:rFonts w:asciiTheme="minorHAnsi" w:hAnsiTheme="minorHAnsi"/>
        </w:rPr>
        <w:t>-</w:t>
      </w:r>
      <w:r w:rsidRPr="00845BD2">
        <w:rPr>
          <w:rFonts w:asciiTheme="minorHAnsi" w:hAnsiTheme="minorHAnsi"/>
        </w:rPr>
        <w:t>audit</w:t>
      </w:r>
    </w:p>
    <w:p w:rsidR="00A761DA" w:rsidRPr="00E4670C" w:rsidRDefault="00A761DA" w:rsidP="00E4670C">
      <w:pPr>
        <w:spacing w:line="276" w:lineRule="auto"/>
        <w:jc w:val="both"/>
        <w:rPr>
          <w:rFonts w:asciiTheme="minorHAnsi" w:hAnsiTheme="minorHAnsi"/>
          <w:b/>
          <w:sz w:val="28"/>
          <w:szCs w:val="28"/>
        </w:rPr>
      </w:pPr>
    </w:p>
    <w:p w:rsidR="00C23A55" w:rsidRDefault="00C23A55" w:rsidP="00C23A55">
      <w:pPr>
        <w:pStyle w:val="ListParagraph"/>
        <w:spacing w:line="276" w:lineRule="auto"/>
        <w:jc w:val="both"/>
        <w:rPr>
          <w:rFonts w:asciiTheme="minorHAnsi" w:hAnsiTheme="minorHAnsi"/>
          <w:b/>
          <w:sz w:val="28"/>
          <w:szCs w:val="28"/>
        </w:rPr>
      </w:pPr>
    </w:p>
    <w:p w:rsidR="00C23A55" w:rsidRPr="00C23A55" w:rsidRDefault="00C23A55" w:rsidP="00C23A55">
      <w:pPr>
        <w:spacing w:line="276" w:lineRule="auto"/>
        <w:jc w:val="both"/>
        <w:rPr>
          <w:rFonts w:asciiTheme="minorHAnsi" w:hAnsiTheme="minorHAnsi"/>
          <w:b/>
          <w:sz w:val="28"/>
          <w:szCs w:val="28"/>
        </w:rPr>
      </w:pPr>
    </w:p>
    <w:p w:rsidR="00A32025" w:rsidRDefault="00860645" w:rsidP="00860645">
      <w:pPr>
        <w:pStyle w:val="ListParagraph"/>
        <w:numPr>
          <w:ilvl w:val="0"/>
          <w:numId w:val="10"/>
        </w:numPr>
        <w:spacing w:line="276" w:lineRule="auto"/>
        <w:jc w:val="both"/>
        <w:rPr>
          <w:rFonts w:asciiTheme="minorHAnsi" w:hAnsiTheme="minorHAnsi"/>
          <w:b/>
          <w:sz w:val="28"/>
          <w:szCs w:val="28"/>
        </w:rPr>
      </w:pPr>
      <w:r w:rsidRPr="00845BD2">
        <w:rPr>
          <w:rFonts w:asciiTheme="minorHAnsi" w:hAnsiTheme="minorHAnsi"/>
          <w:b/>
          <w:sz w:val="28"/>
          <w:szCs w:val="28"/>
        </w:rPr>
        <w:lastRenderedPageBreak/>
        <w:t xml:space="preserve">Putting new </w:t>
      </w:r>
      <w:r w:rsidR="00C27448" w:rsidRPr="00845BD2">
        <w:rPr>
          <w:rFonts w:asciiTheme="minorHAnsi" w:hAnsiTheme="minorHAnsi"/>
          <w:b/>
          <w:sz w:val="28"/>
          <w:szCs w:val="28"/>
        </w:rPr>
        <w:t xml:space="preserve">management </w:t>
      </w:r>
      <w:r w:rsidRPr="00845BD2">
        <w:rPr>
          <w:rFonts w:asciiTheme="minorHAnsi" w:hAnsiTheme="minorHAnsi"/>
          <w:b/>
          <w:sz w:val="28"/>
          <w:szCs w:val="28"/>
        </w:rPr>
        <w:t>processes in place</w:t>
      </w:r>
    </w:p>
    <w:p w:rsidR="007A01DA" w:rsidRPr="00845BD2" w:rsidRDefault="007A01DA" w:rsidP="007A01DA">
      <w:pPr>
        <w:pStyle w:val="ListParagraph"/>
        <w:spacing w:line="276" w:lineRule="auto"/>
        <w:jc w:val="both"/>
        <w:rPr>
          <w:rFonts w:asciiTheme="minorHAnsi" w:hAnsiTheme="minorHAnsi"/>
          <w:b/>
          <w:sz w:val="28"/>
          <w:szCs w:val="28"/>
        </w:rPr>
      </w:pPr>
    </w:p>
    <w:p w:rsidR="00AC3627" w:rsidRDefault="00E4670C" w:rsidP="007A01DA">
      <w:pPr>
        <w:pStyle w:val="ListParagraph"/>
        <w:spacing w:line="276" w:lineRule="auto"/>
        <w:ind w:left="360"/>
        <w:jc w:val="both"/>
        <w:rPr>
          <w:rFonts w:asciiTheme="minorHAnsi" w:hAnsiTheme="minorHAnsi"/>
        </w:rPr>
      </w:pPr>
      <w:proofErr w:type="gramStart"/>
      <w:r>
        <w:rPr>
          <w:rFonts w:asciiTheme="minorHAnsi" w:hAnsiTheme="minorHAnsi"/>
        </w:rPr>
        <w:t>Use or review</w:t>
      </w:r>
      <w:r w:rsidR="00AC3627">
        <w:rPr>
          <w:rFonts w:asciiTheme="minorHAnsi" w:hAnsiTheme="minorHAnsi"/>
        </w:rPr>
        <w:t xml:space="preserve"> templates and protocols, especially for UTI.</w:t>
      </w:r>
      <w:proofErr w:type="gramEnd"/>
    </w:p>
    <w:p w:rsidR="00AC3627" w:rsidRDefault="00AC3627" w:rsidP="007A01DA">
      <w:pPr>
        <w:pStyle w:val="ListParagraph"/>
        <w:spacing w:line="276" w:lineRule="auto"/>
        <w:ind w:left="360"/>
        <w:jc w:val="both"/>
        <w:rPr>
          <w:rFonts w:asciiTheme="minorHAnsi" w:hAnsiTheme="minorHAnsi"/>
        </w:rPr>
      </w:pPr>
    </w:p>
    <w:p w:rsidR="004707A1" w:rsidRDefault="004707A1" w:rsidP="007A01DA">
      <w:pPr>
        <w:pStyle w:val="ListParagraph"/>
        <w:spacing w:line="276" w:lineRule="auto"/>
        <w:ind w:left="360"/>
        <w:jc w:val="both"/>
        <w:rPr>
          <w:rFonts w:asciiTheme="minorHAnsi" w:hAnsiTheme="minorHAnsi"/>
        </w:rPr>
      </w:pPr>
      <w:r w:rsidRPr="00845BD2">
        <w:rPr>
          <w:rFonts w:asciiTheme="minorHAnsi" w:hAnsiTheme="minorHAnsi"/>
        </w:rPr>
        <w:t>The questions below are suggested to be worked through by each practice</w:t>
      </w:r>
    </w:p>
    <w:p w:rsidR="007A01DA" w:rsidRPr="00845BD2" w:rsidRDefault="007A01DA" w:rsidP="004707A1">
      <w:pPr>
        <w:pStyle w:val="ListParagraph"/>
        <w:spacing w:line="276" w:lineRule="auto"/>
        <w:jc w:val="both"/>
        <w:rPr>
          <w:rFonts w:asciiTheme="minorHAnsi" w:hAnsiTheme="minorHAnsi"/>
        </w:rPr>
      </w:pPr>
    </w:p>
    <w:tbl>
      <w:tblPr>
        <w:tblStyle w:val="TableGrid"/>
        <w:tblW w:w="0" w:type="auto"/>
        <w:tblInd w:w="392" w:type="dxa"/>
        <w:tblLook w:val="04A0" w:firstRow="1" w:lastRow="0" w:firstColumn="1" w:lastColumn="0" w:noHBand="0" w:noVBand="1"/>
      </w:tblPr>
      <w:tblGrid>
        <w:gridCol w:w="8788"/>
      </w:tblGrid>
      <w:tr w:rsidR="004707A1" w:rsidRPr="00845BD2" w:rsidTr="007A01DA">
        <w:tc>
          <w:tcPr>
            <w:tcW w:w="8788" w:type="dxa"/>
          </w:tcPr>
          <w:p w:rsidR="004707A1" w:rsidRPr="00845BD2" w:rsidRDefault="006C55F9" w:rsidP="004707A1">
            <w:pPr>
              <w:pStyle w:val="ListParagraph"/>
              <w:spacing w:line="276" w:lineRule="auto"/>
              <w:ind w:left="360"/>
              <w:jc w:val="both"/>
              <w:rPr>
                <w:rFonts w:asciiTheme="minorHAnsi" w:hAnsiTheme="minorHAnsi"/>
                <w:b/>
              </w:rPr>
            </w:pPr>
            <w:r w:rsidRPr="00845BD2">
              <w:rPr>
                <w:rFonts w:asciiTheme="minorHAnsi" w:hAnsiTheme="minorHAnsi"/>
                <w:b/>
              </w:rPr>
              <w:t>No</w:t>
            </w:r>
            <w:r w:rsidR="004707A1" w:rsidRPr="00845BD2">
              <w:rPr>
                <w:rFonts w:asciiTheme="minorHAnsi" w:hAnsiTheme="minorHAnsi"/>
                <w:b/>
              </w:rPr>
              <w:t xml:space="preserve"> prescriptions</w:t>
            </w:r>
            <w:r w:rsidRPr="00845BD2">
              <w:rPr>
                <w:rFonts w:asciiTheme="minorHAnsi" w:hAnsiTheme="minorHAnsi"/>
                <w:b/>
              </w:rPr>
              <w:t xml:space="preserve"> or delayed prescriptions</w:t>
            </w:r>
          </w:p>
          <w:p w:rsidR="006C55F9" w:rsidRPr="00845BD2" w:rsidRDefault="006C55F9" w:rsidP="004707A1">
            <w:pPr>
              <w:pStyle w:val="ListParagraph"/>
              <w:numPr>
                <w:ilvl w:val="0"/>
                <w:numId w:val="13"/>
              </w:numPr>
              <w:spacing w:line="276" w:lineRule="auto"/>
              <w:jc w:val="both"/>
              <w:rPr>
                <w:rFonts w:asciiTheme="minorHAnsi" w:hAnsiTheme="minorHAnsi"/>
              </w:rPr>
            </w:pPr>
            <w:r w:rsidRPr="00845BD2">
              <w:rPr>
                <w:rFonts w:asciiTheme="minorHAnsi" w:hAnsiTheme="minorHAnsi"/>
              </w:rPr>
              <w:t>Does the practice use the no prescription leaflets, developed by Fylde and Wyre CCG?</w:t>
            </w:r>
          </w:p>
          <w:p w:rsidR="006C55F9" w:rsidRPr="00845BD2" w:rsidRDefault="006C55F9" w:rsidP="004707A1">
            <w:pPr>
              <w:pStyle w:val="ListParagraph"/>
              <w:numPr>
                <w:ilvl w:val="0"/>
                <w:numId w:val="13"/>
              </w:numPr>
              <w:spacing w:line="276" w:lineRule="auto"/>
              <w:jc w:val="both"/>
              <w:rPr>
                <w:rFonts w:asciiTheme="minorHAnsi" w:hAnsiTheme="minorHAnsi"/>
              </w:rPr>
            </w:pPr>
            <w:r w:rsidRPr="00845BD2">
              <w:rPr>
                <w:rFonts w:asciiTheme="minorHAnsi" w:hAnsiTheme="minorHAnsi"/>
              </w:rPr>
              <w:t>How successful have these been?</w:t>
            </w:r>
          </w:p>
          <w:p w:rsidR="004707A1" w:rsidRPr="00845BD2" w:rsidRDefault="004707A1" w:rsidP="004707A1">
            <w:pPr>
              <w:pStyle w:val="ListParagraph"/>
              <w:numPr>
                <w:ilvl w:val="0"/>
                <w:numId w:val="13"/>
              </w:numPr>
              <w:spacing w:line="276" w:lineRule="auto"/>
              <w:jc w:val="both"/>
              <w:rPr>
                <w:rFonts w:asciiTheme="minorHAnsi" w:hAnsiTheme="minorHAnsi"/>
              </w:rPr>
            </w:pPr>
            <w:r w:rsidRPr="00845BD2">
              <w:rPr>
                <w:rFonts w:asciiTheme="minorHAnsi" w:hAnsiTheme="minorHAnsi"/>
              </w:rPr>
              <w:t>Does the practice have a protocol or process for addressing delayed prescriptions?</w:t>
            </w:r>
          </w:p>
          <w:p w:rsidR="004707A1" w:rsidRPr="00845BD2" w:rsidRDefault="004707A1" w:rsidP="004707A1">
            <w:pPr>
              <w:pStyle w:val="ListParagraph"/>
              <w:numPr>
                <w:ilvl w:val="0"/>
                <w:numId w:val="13"/>
              </w:numPr>
              <w:spacing w:line="276" w:lineRule="auto"/>
              <w:jc w:val="both"/>
              <w:rPr>
                <w:rFonts w:asciiTheme="minorHAnsi" w:hAnsiTheme="minorHAnsi"/>
              </w:rPr>
            </w:pPr>
            <w:r w:rsidRPr="00845BD2">
              <w:rPr>
                <w:rFonts w:asciiTheme="minorHAnsi" w:hAnsiTheme="minorHAnsi"/>
              </w:rPr>
              <w:t>What methods are employed within the practice for delayed prescriptions (tick all that apply):</w:t>
            </w:r>
          </w:p>
          <w:p w:rsidR="004707A1" w:rsidRPr="00845BD2" w:rsidRDefault="004707A1" w:rsidP="004707A1">
            <w:pPr>
              <w:pStyle w:val="ListParagraph"/>
              <w:numPr>
                <w:ilvl w:val="0"/>
                <w:numId w:val="5"/>
              </w:numPr>
              <w:spacing w:line="276" w:lineRule="auto"/>
              <w:jc w:val="both"/>
              <w:rPr>
                <w:rFonts w:asciiTheme="minorHAnsi" w:hAnsiTheme="minorHAnsi"/>
              </w:rPr>
            </w:pPr>
            <w:r w:rsidRPr="00845BD2">
              <w:rPr>
                <w:rFonts w:asciiTheme="minorHAnsi" w:hAnsiTheme="minorHAnsi"/>
              </w:rPr>
              <w:t>None</w:t>
            </w:r>
          </w:p>
          <w:p w:rsidR="004707A1" w:rsidRPr="00845BD2" w:rsidRDefault="004707A1" w:rsidP="004707A1">
            <w:pPr>
              <w:pStyle w:val="ListParagraph"/>
              <w:numPr>
                <w:ilvl w:val="0"/>
                <w:numId w:val="5"/>
              </w:numPr>
              <w:spacing w:line="276" w:lineRule="auto"/>
              <w:jc w:val="both"/>
              <w:rPr>
                <w:rFonts w:asciiTheme="minorHAnsi" w:hAnsiTheme="minorHAnsi"/>
              </w:rPr>
            </w:pPr>
            <w:r w:rsidRPr="00845BD2">
              <w:rPr>
                <w:rFonts w:asciiTheme="minorHAnsi" w:hAnsiTheme="minorHAnsi"/>
              </w:rPr>
              <w:t>Given directly to patient</w:t>
            </w:r>
          </w:p>
          <w:p w:rsidR="004707A1" w:rsidRPr="00845BD2" w:rsidRDefault="004707A1" w:rsidP="004707A1">
            <w:pPr>
              <w:pStyle w:val="ListParagraph"/>
              <w:numPr>
                <w:ilvl w:val="0"/>
                <w:numId w:val="5"/>
              </w:numPr>
              <w:spacing w:line="276" w:lineRule="auto"/>
              <w:jc w:val="both"/>
              <w:rPr>
                <w:rFonts w:asciiTheme="minorHAnsi" w:hAnsiTheme="minorHAnsi"/>
              </w:rPr>
            </w:pPr>
            <w:r w:rsidRPr="00845BD2">
              <w:rPr>
                <w:rFonts w:asciiTheme="minorHAnsi" w:hAnsiTheme="minorHAnsi"/>
              </w:rPr>
              <w:t>For collection at reception</w:t>
            </w:r>
          </w:p>
          <w:p w:rsidR="004707A1" w:rsidRPr="00845BD2" w:rsidRDefault="004707A1" w:rsidP="004707A1">
            <w:pPr>
              <w:pStyle w:val="ListParagraph"/>
              <w:numPr>
                <w:ilvl w:val="0"/>
                <w:numId w:val="5"/>
              </w:numPr>
              <w:spacing w:line="276" w:lineRule="auto"/>
              <w:jc w:val="both"/>
              <w:rPr>
                <w:rFonts w:asciiTheme="minorHAnsi" w:hAnsiTheme="minorHAnsi"/>
              </w:rPr>
            </w:pPr>
            <w:r w:rsidRPr="00845BD2">
              <w:rPr>
                <w:rFonts w:asciiTheme="minorHAnsi" w:hAnsiTheme="minorHAnsi"/>
              </w:rPr>
              <w:t>For collection at a named pharmacy</w:t>
            </w:r>
          </w:p>
          <w:p w:rsidR="004707A1" w:rsidRPr="00845BD2" w:rsidRDefault="004707A1" w:rsidP="004707A1">
            <w:pPr>
              <w:pStyle w:val="ListParagraph"/>
              <w:numPr>
                <w:ilvl w:val="0"/>
                <w:numId w:val="13"/>
              </w:numPr>
              <w:spacing w:line="276" w:lineRule="auto"/>
              <w:jc w:val="both"/>
              <w:rPr>
                <w:rFonts w:asciiTheme="minorHAnsi" w:hAnsiTheme="minorHAnsi"/>
              </w:rPr>
            </w:pPr>
            <w:r w:rsidRPr="00845BD2">
              <w:rPr>
                <w:rFonts w:asciiTheme="minorHAnsi" w:hAnsiTheme="minorHAnsi"/>
              </w:rPr>
              <w:t>Does the practice monitor unused delayed prescriptions that have been given to the patient?</w:t>
            </w:r>
          </w:p>
          <w:p w:rsidR="004707A1" w:rsidRPr="00845BD2" w:rsidRDefault="004707A1" w:rsidP="004707A1">
            <w:pPr>
              <w:pStyle w:val="ListParagraph"/>
              <w:numPr>
                <w:ilvl w:val="0"/>
                <w:numId w:val="13"/>
              </w:numPr>
              <w:spacing w:line="276" w:lineRule="auto"/>
              <w:jc w:val="both"/>
              <w:rPr>
                <w:rFonts w:asciiTheme="minorHAnsi" w:hAnsiTheme="minorHAnsi"/>
              </w:rPr>
            </w:pPr>
            <w:r w:rsidRPr="00845BD2">
              <w:rPr>
                <w:rFonts w:asciiTheme="minorHAnsi" w:hAnsiTheme="minorHAnsi"/>
              </w:rPr>
              <w:t>Does the practice monitor uncollected delayed prescriptions left at the reception?</w:t>
            </w:r>
          </w:p>
          <w:p w:rsidR="004707A1" w:rsidRPr="00845BD2" w:rsidRDefault="004707A1" w:rsidP="004707A1">
            <w:pPr>
              <w:pStyle w:val="ListParagraph"/>
              <w:numPr>
                <w:ilvl w:val="0"/>
                <w:numId w:val="13"/>
              </w:numPr>
              <w:spacing w:line="276" w:lineRule="auto"/>
              <w:jc w:val="both"/>
              <w:rPr>
                <w:rFonts w:asciiTheme="minorHAnsi" w:hAnsiTheme="minorHAnsi"/>
              </w:rPr>
            </w:pPr>
            <w:r w:rsidRPr="00845BD2">
              <w:rPr>
                <w:rFonts w:asciiTheme="minorHAnsi" w:hAnsiTheme="minorHAnsi"/>
              </w:rPr>
              <w:t>Does the practice have an agreement with the local pharmacist to return uncollected prescriptions to the prescriber?</w:t>
            </w:r>
          </w:p>
          <w:p w:rsidR="004707A1" w:rsidRPr="00845BD2" w:rsidRDefault="004707A1" w:rsidP="004707A1">
            <w:pPr>
              <w:pStyle w:val="ListParagraph"/>
              <w:numPr>
                <w:ilvl w:val="0"/>
                <w:numId w:val="13"/>
              </w:numPr>
              <w:spacing w:line="276" w:lineRule="auto"/>
              <w:jc w:val="both"/>
              <w:rPr>
                <w:rFonts w:asciiTheme="minorHAnsi" w:hAnsiTheme="minorHAnsi"/>
              </w:rPr>
            </w:pPr>
            <w:r w:rsidRPr="00845BD2">
              <w:rPr>
                <w:rFonts w:asciiTheme="minorHAnsi" w:hAnsiTheme="minorHAnsi"/>
              </w:rPr>
              <w:t xml:space="preserve">How many delayed prescriptions have been </w:t>
            </w:r>
            <w:proofErr w:type="gramStart"/>
            <w:r w:rsidRPr="00845BD2">
              <w:rPr>
                <w:rFonts w:asciiTheme="minorHAnsi" w:hAnsiTheme="minorHAnsi"/>
              </w:rPr>
              <w:t>unused ?</w:t>
            </w:r>
            <w:proofErr w:type="gramEnd"/>
          </w:p>
          <w:p w:rsidR="004707A1" w:rsidRPr="00845BD2" w:rsidRDefault="004707A1" w:rsidP="004707A1">
            <w:pPr>
              <w:pStyle w:val="ListParagraph"/>
              <w:numPr>
                <w:ilvl w:val="0"/>
                <w:numId w:val="6"/>
              </w:numPr>
              <w:spacing w:line="276" w:lineRule="auto"/>
              <w:jc w:val="both"/>
              <w:rPr>
                <w:rFonts w:asciiTheme="minorHAnsi" w:hAnsiTheme="minorHAnsi"/>
              </w:rPr>
            </w:pPr>
            <w:r w:rsidRPr="00845BD2">
              <w:rPr>
                <w:rFonts w:asciiTheme="minorHAnsi" w:hAnsiTheme="minorHAnsi"/>
              </w:rPr>
              <w:t>State time frame e.g. 6 weeks =</w:t>
            </w:r>
          </w:p>
          <w:p w:rsidR="004707A1" w:rsidRPr="00845BD2" w:rsidRDefault="004707A1" w:rsidP="004707A1">
            <w:pPr>
              <w:pStyle w:val="ListParagraph"/>
              <w:numPr>
                <w:ilvl w:val="0"/>
                <w:numId w:val="6"/>
              </w:numPr>
              <w:spacing w:line="276" w:lineRule="auto"/>
              <w:jc w:val="both"/>
              <w:rPr>
                <w:rFonts w:asciiTheme="minorHAnsi" w:hAnsiTheme="minorHAnsi"/>
              </w:rPr>
            </w:pPr>
            <w:r w:rsidRPr="00845BD2">
              <w:rPr>
                <w:rFonts w:asciiTheme="minorHAnsi" w:hAnsiTheme="minorHAnsi"/>
              </w:rPr>
              <w:t>Uncollected from reception =</w:t>
            </w:r>
          </w:p>
          <w:p w:rsidR="004707A1" w:rsidRPr="00845BD2" w:rsidRDefault="004707A1" w:rsidP="004707A1">
            <w:pPr>
              <w:pStyle w:val="ListParagraph"/>
              <w:numPr>
                <w:ilvl w:val="0"/>
                <w:numId w:val="6"/>
              </w:numPr>
              <w:spacing w:line="276" w:lineRule="auto"/>
              <w:jc w:val="both"/>
              <w:rPr>
                <w:rFonts w:asciiTheme="minorHAnsi" w:hAnsiTheme="minorHAnsi"/>
              </w:rPr>
            </w:pPr>
            <w:r w:rsidRPr="00845BD2">
              <w:rPr>
                <w:rFonts w:asciiTheme="minorHAnsi" w:hAnsiTheme="minorHAnsi"/>
              </w:rPr>
              <w:t>Returned from named pharmacy =</w:t>
            </w:r>
          </w:p>
          <w:p w:rsidR="004707A1" w:rsidRPr="00845BD2" w:rsidRDefault="004707A1" w:rsidP="004707A1">
            <w:pPr>
              <w:pStyle w:val="ListParagraph"/>
              <w:numPr>
                <w:ilvl w:val="0"/>
                <w:numId w:val="8"/>
              </w:numPr>
              <w:spacing w:line="276" w:lineRule="auto"/>
              <w:jc w:val="both"/>
              <w:rPr>
                <w:rFonts w:asciiTheme="minorHAnsi" w:hAnsiTheme="minorHAnsi"/>
              </w:rPr>
            </w:pPr>
            <w:r w:rsidRPr="00845BD2">
              <w:rPr>
                <w:rFonts w:asciiTheme="minorHAnsi" w:hAnsiTheme="minorHAnsi"/>
              </w:rPr>
              <w:t>Is clear guidance given with a delayed script during the consultation to enable appropriate use (including clear descriptions of time and reasons)</w:t>
            </w:r>
          </w:p>
          <w:p w:rsidR="004707A1" w:rsidRPr="00845BD2" w:rsidRDefault="004707A1" w:rsidP="004707A1">
            <w:pPr>
              <w:pStyle w:val="ListParagraph"/>
              <w:numPr>
                <w:ilvl w:val="0"/>
                <w:numId w:val="8"/>
              </w:numPr>
              <w:spacing w:line="276" w:lineRule="auto"/>
              <w:jc w:val="both"/>
              <w:rPr>
                <w:rFonts w:asciiTheme="minorHAnsi" w:hAnsiTheme="minorHAnsi"/>
              </w:rPr>
            </w:pPr>
            <w:r w:rsidRPr="00845BD2">
              <w:rPr>
                <w:rFonts w:asciiTheme="minorHAnsi" w:hAnsiTheme="minorHAnsi"/>
              </w:rPr>
              <w:t>Outcome of clinical discussion with colleagues regarding use of delayed prescriptions</w:t>
            </w:r>
          </w:p>
          <w:p w:rsidR="004707A1" w:rsidRPr="00845BD2" w:rsidRDefault="004707A1" w:rsidP="004707A1">
            <w:pPr>
              <w:spacing w:line="276" w:lineRule="auto"/>
              <w:jc w:val="both"/>
              <w:rPr>
                <w:rFonts w:asciiTheme="minorHAnsi" w:hAnsiTheme="minorHAnsi"/>
              </w:rPr>
            </w:pPr>
            <w:r w:rsidRPr="00845BD2">
              <w:rPr>
                <w:rFonts w:asciiTheme="minorHAnsi" w:hAnsiTheme="minorHAnsi"/>
              </w:rPr>
              <w:t>9. Record any changes to process that have occurred following this review.</w:t>
            </w:r>
          </w:p>
        </w:tc>
      </w:tr>
    </w:tbl>
    <w:p w:rsidR="00A32025" w:rsidRPr="00845BD2" w:rsidRDefault="00A32025">
      <w:pPr>
        <w:rPr>
          <w:rFonts w:asciiTheme="minorHAnsi" w:hAnsiTheme="minorHAnsi"/>
          <w:b/>
        </w:rPr>
      </w:pPr>
    </w:p>
    <w:p w:rsidR="00DE337A" w:rsidRPr="00845BD2" w:rsidRDefault="00DE337A" w:rsidP="00E4670C">
      <w:pPr>
        <w:rPr>
          <w:rFonts w:asciiTheme="minorHAnsi" w:hAnsiTheme="minorHAnsi"/>
          <w:b/>
          <w:sz w:val="28"/>
          <w:szCs w:val="28"/>
        </w:rPr>
      </w:pPr>
      <w:r w:rsidRPr="00845BD2">
        <w:rPr>
          <w:rFonts w:asciiTheme="minorHAnsi" w:hAnsiTheme="minorHAnsi"/>
          <w:b/>
          <w:sz w:val="28"/>
          <w:szCs w:val="28"/>
        </w:rPr>
        <w:t>References</w:t>
      </w:r>
    </w:p>
    <w:p w:rsidR="00DE337A" w:rsidRPr="00845BD2" w:rsidRDefault="00DE337A" w:rsidP="00DE337A">
      <w:pPr>
        <w:pStyle w:val="ListParagraph"/>
        <w:numPr>
          <w:ilvl w:val="0"/>
          <w:numId w:val="2"/>
        </w:numPr>
        <w:spacing w:line="276" w:lineRule="auto"/>
        <w:jc w:val="both"/>
        <w:rPr>
          <w:rFonts w:asciiTheme="minorHAnsi" w:hAnsiTheme="minorHAnsi"/>
        </w:rPr>
      </w:pPr>
      <w:r w:rsidRPr="00845BD2">
        <w:rPr>
          <w:rFonts w:asciiTheme="minorHAnsi" w:hAnsiTheme="minorHAnsi"/>
        </w:rPr>
        <w:t xml:space="preserve">WHO. Self-prescription of antibiotics boosts </w:t>
      </w:r>
      <w:proofErr w:type="gramStart"/>
      <w:r w:rsidRPr="00845BD2">
        <w:rPr>
          <w:rFonts w:asciiTheme="minorHAnsi" w:hAnsiTheme="minorHAnsi"/>
        </w:rPr>
        <w:t>superbugs</w:t>
      </w:r>
      <w:proofErr w:type="gramEnd"/>
      <w:r w:rsidRPr="00845BD2">
        <w:rPr>
          <w:rFonts w:asciiTheme="minorHAnsi" w:hAnsiTheme="minorHAnsi"/>
        </w:rPr>
        <w:t xml:space="preserve"> epidemic in the European region. Copenhagen: WHO 2012</w:t>
      </w:r>
    </w:p>
    <w:p w:rsidR="0007590A" w:rsidRPr="00845BD2" w:rsidRDefault="00DE337A" w:rsidP="0007590A">
      <w:pPr>
        <w:pStyle w:val="ListParagraph"/>
        <w:numPr>
          <w:ilvl w:val="0"/>
          <w:numId w:val="2"/>
        </w:numPr>
        <w:spacing w:line="276" w:lineRule="auto"/>
        <w:jc w:val="both"/>
        <w:rPr>
          <w:rFonts w:asciiTheme="minorHAnsi" w:hAnsiTheme="minorHAnsi"/>
        </w:rPr>
      </w:pPr>
      <w:r w:rsidRPr="00845BD2">
        <w:rPr>
          <w:rFonts w:asciiTheme="minorHAnsi" w:hAnsiTheme="minorHAnsi"/>
        </w:rPr>
        <w:t>Currie CJ et al.  Antibiotic treatment failure in four common infections in UK primary care 1991-2012. BMJ 2014;349:g5493</w:t>
      </w:r>
    </w:p>
    <w:p w:rsidR="008C42A6" w:rsidRPr="00845BD2" w:rsidRDefault="008C42A6" w:rsidP="008C42A6">
      <w:pPr>
        <w:pStyle w:val="ListParagraph"/>
        <w:numPr>
          <w:ilvl w:val="0"/>
          <w:numId w:val="2"/>
        </w:numPr>
        <w:spacing w:line="276" w:lineRule="auto"/>
        <w:jc w:val="both"/>
        <w:rPr>
          <w:rStyle w:val="Strong"/>
          <w:rFonts w:asciiTheme="minorHAnsi" w:hAnsiTheme="minorHAnsi"/>
          <w:b w:val="0"/>
          <w:bCs w:val="0"/>
        </w:rPr>
      </w:pPr>
      <w:r w:rsidRPr="00845BD2">
        <w:rPr>
          <w:rStyle w:val="Strong"/>
          <w:rFonts w:asciiTheme="minorHAnsi" w:hAnsiTheme="minorHAnsi" w:cs="Arial"/>
          <w:b w:val="0"/>
          <w:color w:val="000000"/>
        </w:rPr>
        <w:t>National trends in antibiotic prescribing:</w:t>
      </w:r>
      <w:r w:rsidRPr="00845BD2">
        <w:rPr>
          <w:rFonts w:asciiTheme="minorHAnsi" w:hAnsiTheme="minorHAnsi"/>
        </w:rPr>
        <w:t xml:space="preserve"> </w:t>
      </w:r>
      <w:hyperlink r:id="rId20" w:history="1">
        <w:r w:rsidRPr="00845BD2">
          <w:rPr>
            <w:rStyle w:val="Hyperlink"/>
            <w:rFonts w:asciiTheme="minorHAnsi" w:hAnsiTheme="minorHAnsi" w:cs="Arial"/>
          </w:rPr>
          <w:t>https://www.gov.uk/government/news/significant-scope-to-improve-antibiotic-prescribing</w:t>
        </w:r>
      </w:hyperlink>
    </w:p>
    <w:p w:rsidR="00E82389" w:rsidRPr="00845BD2" w:rsidRDefault="008C42A6" w:rsidP="00E82389">
      <w:pPr>
        <w:pStyle w:val="ListParagraph"/>
        <w:numPr>
          <w:ilvl w:val="0"/>
          <w:numId w:val="2"/>
        </w:numPr>
        <w:spacing w:line="276" w:lineRule="auto"/>
        <w:jc w:val="both"/>
        <w:rPr>
          <w:rStyle w:val="Strong"/>
          <w:rFonts w:asciiTheme="minorHAnsi" w:hAnsiTheme="minorHAnsi"/>
          <w:b w:val="0"/>
          <w:bCs w:val="0"/>
        </w:rPr>
      </w:pPr>
      <w:r w:rsidRPr="00845BD2">
        <w:rPr>
          <w:rStyle w:val="Strong"/>
          <w:rFonts w:asciiTheme="minorHAnsi" w:hAnsiTheme="minorHAnsi" w:cs="Arial"/>
          <w:b w:val="0"/>
          <w:color w:val="000000"/>
        </w:rPr>
        <w:t>Vale of L</w:t>
      </w:r>
      <w:r w:rsidR="00E82389" w:rsidRPr="00845BD2">
        <w:rPr>
          <w:rStyle w:val="Strong"/>
          <w:rFonts w:asciiTheme="minorHAnsi" w:hAnsiTheme="minorHAnsi" w:cs="Arial"/>
          <w:b w:val="0"/>
          <w:color w:val="000000"/>
        </w:rPr>
        <w:t>even enquiry 2014:</w:t>
      </w:r>
      <w:r w:rsidRPr="00845BD2">
        <w:rPr>
          <w:rStyle w:val="Strong"/>
          <w:rFonts w:asciiTheme="minorHAnsi" w:hAnsiTheme="minorHAnsi" w:cs="Arial"/>
          <w:b w:val="0"/>
          <w:color w:val="000000"/>
        </w:rPr>
        <w:t xml:space="preserve"> </w:t>
      </w:r>
      <w:hyperlink r:id="rId21" w:history="1">
        <w:r w:rsidR="00E82389" w:rsidRPr="00845BD2">
          <w:rPr>
            <w:rStyle w:val="Hyperlink"/>
            <w:rFonts w:asciiTheme="minorHAnsi" w:hAnsiTheme="minorHAnsi" w:cs="Arial"/>
          </w:rPr>
          <w:t>http://www.valeoflevenhospitalinquiry.org/Report/j156505.pdf</w:t>
        </w:r>
      </w:hyperlink>
    </w:p>
    <w:p w:rsidR="00E82389" w:rsidRPr="00845BD2" w:rsidRDefault="00E82389" w:rsidP="00E82389">
      <w:pPr>
        <w:pStyle w:val="ListParagraph"/>
        <w:numPr>
          <w:ilvl w:val="0"/>
          <w:numId w:val="2"/>
        </w:numPr>
        <w:spacing w:before="100" w:beforeAutospacing="1" w:after="180" w:line="332" w:lineRule="atLeast"/>
        <w:jc w:val="both"/>
        <w:outlineLvl w:val="1"/>
        <w:rPr>
          <w:rFonts w:asciiTheme="minorHAnsi" w:hAnsiTheme="minorHAnsi" w:cs="Arial"/>
          <w:bCs/>
          <w:color w:val="111111"/>
          <w:lang w:val="en"/>
        </w:rPr>
      </w:pPr>
      <w:r w:rsidRPr="00845BD2">
        <w:rPr>
          <w:rFonts w:asciiTheme="minorHAnsi" w:hAnsiTheme="minorHAnsi" w:cs="Arial"/>
          <w:bCs/>
          <w:color w:val="111111"/>
          <w:lang w:val="en"/>
        </w:rPr>
        <w:t xml:space="preserve">CDI outbreak Edinburgh December 2014 </w:t>
      </w:r>
      <w:hyperlink r:id="rId22" w:history="1">
        <w:r w:rsidRPr="00845BD2">
          <w:rPr>
            <w:rStyle w:val="Hyperlink"/>
            <w:rFonts w:asciiTheme="minorHAnsi" w:hAnsiTheme="minorHAnsi" w:cs="Arial"/>
            <w:bCs/>
            <w:lang w:val="en"/>
          </w:rPr>
          <w:t>http://www.bbc.co.uk/news/uk-scotland-edinburgh-east-fife-30580273</w:t>
        </w:r>
      </w:hyperlink>
    </w:p>
    <w:p w:rsidR="0007590A" w:rsidRPr="00845BD2" w:rsidRDefault="0007590A" w:rsidP="00E82389">
      <w:pPr>
        <w:pStyle w:val="ListParagraph"/>
        <w:numPr>
          <w:ilvl w:val="0"/>
          <w:numId w:val="2"/>
        </w:numPr>
        <w:spacing w:before="100" w:beforeAutospacing="1" w:after="180" w:line="332" w:lineRule="atLeast"/>
        <w:jc w:val="both"/>
        <w:outlineLvl w:val="1"/>
        <w:rPr>
          <w:rFonts w:asciiTheme="minorHAnsi" w:hAnsiTheme="minorHAnsi" w:cs="Arial"/>
          <w:bCs/>
          <w:color w:val="111111"/>
          <w:lang w:val="en"/>
        </w:rPr>
      </w:pPr>
      <w:r w:rsidRPr="00845BD2">
        <w:rPr>
          <w:rFonts w:asciiTheme="minorHAnsi" w:hAnsiTheme="minorHAnsi" w:cs="Arial-BoldMT"/>
          <w:bCs/>
        </w:rPr>
        <w:t xml:space="preserve">CEPP National Audit: </w:t>
      </w:r>
      <w:r w:rsidRPr="00845BD2">
        <w:rPr>
          <w:rFonts w:asciiTheme="minorHAnsi" w:hAnsiTheme="minorHAnsi" w:cs="ArialMT"/>
        </w:rPr>
        <w:t>Focus on Antibiotic Prescribing. March 2013.</w:t>
      </w:r>
    </w:p>
    <w:sectPr w:rsidR="0007590A" w:rsidRPr="00845BD2" w:rsidSect="00845BD2">
      <w:footerReference w:type="default" r:id="rId23"/>
      <w:pgSz w:w="11906" w:h="16838"/>
      <w:pgMar w:top="567" w:right="99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59F2" w:rsidRDefault="008859F2" w:rsidP="008859F2">
      <w:r>
        <w:separator/>
      </w:r>
    </w:p>
  </w:endnote>
  <w:endnote w:type="continuationSeparator" w:id="0">
    <w:p w:rsidR="008859F2" w:rsidRDefault="008859F2" w:rsidP="00885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1"/>
    <w:family w:val="roman"/>
    <w:notTrueType/>
    <w:pitch w:val="variable"/>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3251678"/>
      <w:docPartObj>
        <w:docPartGallery w:val="Page Numbers (Bottom of Page)"/>
        <w:docPartUnique/>
      </w:docPartObj>
    </w:sdtPr>
    <w:sdtEndPr>
      <w:rPr>
        <w:noProof/>
      </w:rPr>
    </w:sdtEndPr>
    <w:sdtContent>
      <w:p w:rsidR="00E96AA1" w:rsidRDefault="00E96AA1">
        <w:pPr>
          <w:pStyle w:val="Footer"/>
          <w:jc w:val="right"/>
        </w:pPr>
        <w:r>
          <w:fldChar w:fldCharType="begin"/>
        </w:r>
        <w:r>
          <w:instrText xml:space="preserve"> PAGE   \* MERGEFORMAT </w:instrText>
        </w:r>
        <w:r>
          <w:fldChar w:fldCharType="separate"/>
        </w:r>
        <w:r w:rsidR="00C23A55">
          <w:rPr>
            <w:noProof/>
          </w:rPr>
          <w:t>13</w:t>
        </w:r>
        <w:r>
          <w:rPr>
            <w:noProof/>
          </w:rPr>
          <w:fldChar w:fldCharType="end"/>
        </w:r>
      </w:p>
    </w:sdtContent>
  </w:sdt>
  <w:p w:rsidR="00E96AA1" w:rsidRDefault="00E96A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59F2" w:rsidRDefault="008859F2" w:rsidP="008859F2">
      <w:r>
        <w:separator/>
      </w:r>
    </w:p>
  </w:footnote>
  <w:footnote w:type="continuationSeparator" w:id="0">
    <w:p w:rsidR="008859F2" w:rsidRDefault="008859F2" w:rsidP="008859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47670"/>
    <w:multiLevelType w:val="hybridMultilevel"/>
    <w:tmpl w:val="19542B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0F3200A"/>
    <w:multiLevelType w:val="hybridMultilevel"/>
    <w:tmpl w:val="A1942560"/>
    <w:lvl w:ilvl="0" w:tplc="0809000F">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02676B4E"/>
    <w:multiLevelType w:val="hybridMultilevel"/>
    <w:tmpl w:val="C1BA847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63008CE"/>
    <w:multiLevelType w:val="hybridMultilevel"/>
    <w:tmpl w:val="DE96B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A7F67B5"/>
    <w:multiLevelType w:val="hybridMultilevel"/>
    <w:tmpl w:val="D4764B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C1A7BE4"/>
    <w:multiLevelType w:val="hybridMultilevel"/>
    <w:tmpl w:val="664CF7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02A5952"/>
    <w:multiLevelType w:val="hybridMultilevel"/>
    <w:tmpl w:val="CEE25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CDA1EA1"/>
    <w:multiLevelType w:val="hybridMultilevel"/>
    <w:tmpl w:val="8EE0A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F2927F4"/>
    <w:multiLevelType w:val="hybridMultilevel"/>
    <w:tmpl w:val="03981B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5F32466"/>
    <w:multiLevelType w:val="hybridMultilevel"/>
    <w:tmpl w:val="2C10B9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95670A8"/>
    <w:multiLevelType w:val="hybridMultilevel"/>
    <w:tmpl w:val="41A60B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CC94738"/>
    <w:multiLevelType w:val="hybridMultilevel"/>
    <w:tmpl w:val="22FC7348"/>
    <w:lvl w:ilvl="0" w:tplc="55D2AD4E">
      <w:start w:val="1"/>
      <w:numFmt w:val="decimal"/>
      <w:lvlText w:val="%1."/>
      <w:lvlJc w:val="left"/>
      <w:pPr>
        <w:ind w:left="720" w:hanging="360"/>
      </w:pPr>
      <w:rPr>
        <w:rFonts w:cs="Times New Roman" w:hint="default"/>
        <w:b w:val="0"/>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1DC0FBA"/>
    <w:multiLevelType w:val="hybridMultilevel"/>
    <w:tmpl w:val="51BC3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6E8172E"/>
    <w:multiLevelType w:val="hybridMultilevel"/>
    <w:tmpl w:val="C8E0D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CCE7353"/>
    <w:multiLevelType w:val="hybridMultilevel"/>
    <w:tmpl w:val="EDC07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179118C"/>
    <w:multiLevelType w:val="hybridMultilevel"/>
    <w:tmpl w:val="7D0CDC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8150E26"/>
    <w:multiLevelType w:val="hybridMultilevel"/>
    <w:tmpl w:val="7D0CDCE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5ABA5553"/>
    <w:multiLevelType w:val="hybridMultilevel"/>
    <w:tmpl w:val="664CF71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65A7130B"/>
    <w:multiLevelType w:val="hybridMultilevel"/>
    <w:tmpl w:val="430C9B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7B153107"/>
    <w:multiLevelType w:val="hybridMultilevel"/>
    <w:tmpl w:val="51988E52"/>
    <w:lvl w:ilvl="0" w:tplc="4FCA75B4">
      <w:start w:val="1"/>
      <w:numFmt w:val="decimal"/>
      <w:lvlText w:val="%1."/>
      <w:lvlJc w:val="left"/>
      <w:pPr>
        <w:ind w:left="1080" w:hanging="360"/>
      </w:pPr>
      <w:rPr>
        <w:rFonts w:eastAsiaTheme="minorEastAsia"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2"/>
  </w:num>
  <w:num w:numId="2">
    <w:abstractNumId w:val="17"/>
  </w:num>
  <w:num w:numId="3">
    <w:abstractNumId w:val="14"/>
  </w:num>
  <w:num w:numId="4">
    <w:abstractNumId w:val="5"/>
  </w:num>
  <w:num w:numId="5">
    <w:abstractNumId w:val="6"/>
  </w:num>
  <w:num w:numId="6">
    <w:abstractNumId w:val="13"/>
  </w:num>
  <w:num w:numId="7">
    <w:abstractNumId w:val="2"/>
  </w:num>
  <w:num w:numId="8">
    <w:abstractNumId w:val="1"/>
  </w:num>
  <w:num w:numId="9">
    <w:abstractNumId w:val="18"/>
  </w:num>
  <w:num w:numId="10">
    <w:abstractNumId w:val="15"/>
  </w:num>
  <w:num w:numId="11">
    <w:abstractNumId w:val="8"/>
  </w:num>
  <w:num w:numId="12">
    <w:abstractNumId w:val="4"/>
  </w:num>
  <w:num w:numId="13">
    <w:abstractNumId w:val="16"/>
  </w:num>
  <w:num w:numId="14">
    <w:abstractNumId w:val="0"/>
  </w:num>
  <w:num w:numId="15">
    <w:abstractNumId w:val="9"/>
  </w:num>
  <w:num w:numId="16">
    <w:abstractNumId w:val="19"/>
  </w:num>
  <w:num w:numId="17">
    <w:abstractNumId w:val="10"/>
  </w:num>
  <w:num w:numId="18">
    <w:abstractNumId w:val="3"/>
  </w:num>
  <w:num w:numId="19">
    <w:abstractNumId w:val="7"/>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B7F"/>
    <w:rsid w:val="00017013"/>
    <w:rsid w:val="0007590A"/>
    <w:rsid w:val="00101671"/>
    <w:rsid w:val="00110986"/>
    <w:rsid w:val="001A19DD"/>
    <w:rsid w:val="001A2049"/>
    <w:rsid w:val="001C50B1"/>
    <w:rsid w:val="001F4266"/>
    <w:rsid w:val="002533AE"/>
    <w:rsid w:val="002A3B5F"/>
    <w:rsid w:val="002D147F"/>
    <w:rsid w:val="002E7550"/>
    <w:rsid w:val="00352336"/>
    <w:rsid w:val="00403C00"/>
    <w:rsid w:val="004707A1"/>
    <w:rsid w:val="004B31D7"/>
    <w:rsid w:val="004B4199"/>
    <w:rsid w:val="0050126D"/>
    <w:rsid w:val="00510E32"/>
    <w:rsid w:val="00557A46"/>
    <w:rsid w:val="0058506C"/>
    <w:rsid w:val="00593E55"/>
    <w:rsid w:val="005A3282"/>
    <w:rsid w:val="006520F8"/>
    <w:rsid w:val="00694D65"/>
    <w:rsid w:val="006A7B7F"/>
    <w:rsid w:val="006C55F9"/>
    <w:rsid w:val="00711F85"/>
    <w:rsid w:val="00775308"/>
    <w:rsid w:val="007A01DA"/>
    <w:rsid w:val="007A552A"/>
    <w:rsid w:val="00845BD2"/>
    <w:rsid w:val="008547AB"/>
    <w:rsid w:val="00860645"/>
    <w:rsid w:val="008859F2"/>
    <w:rsid w:val="008900A9"/>
    <w:rsid w:val="008C42A6"/>
    <w:rsid w:val="00957C26"/>
    <w:rsid w:val="0096517F"/>
    <w:rsid w:val="00990F40"/>
    <w:rsid w:val="009D567F"/>
    <w:rsid w:val="00A1169B"/>
    <w:rsid w:val="00A32025"/>
    <w:rsid w:val="00A574BE"/>
    <w:rsid w:val="00A761DA"/>
    <w:rsid w:val="00AC3627"/>
    <w:rsid w:val="00AD0FCE"/>
    <w:rsid w:val="00BC667B"/>
    <w:rsid w:val="00BD2726"/>
    <w:rsid w:val="00C23A55"/>
    <w:rsid w:val="00C26E11"/>
    <w:rsid w:val="00C27448"/>
    <w:rsid w:val="00C71264"/>
    <w:rsid w:val="00C81BE7"/>
    <w:rsid w:val="00C95ECB"/>
    <w:rsid w:val="00CB2FD3"/>
    <w:rsid w:val="00CC74A4"/>
    <w:rsid w:val="00D11645"/>
    <w:rsid w:val="00D50D71"/>
    <w:rsid w:val="00D93218"/>
    <w:rsid w:val="00DB5DDB"/>
    <w:rsid w:val="00DE337A"/>
    <w:rsid w:val="00DF2272"/>
    <w:rsid w:val="00E06573"/>
    <w:rsid w:val="00E2012D"/>
    <w:rsid w:val="00E4670C"/>
    <w:rsid w:val="00E82389"/>
    <w:rsid w:val="00E96AA1"/>
    <w:rsid w:val="00F92E08"/>
    <w:rsid w:val="00FB37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567F"/>
    <w:pPr>
      <w:ind w:left="720"/>
      <w:contextualSpacing/>
    </w:pPr>
  </w:style>
  <w:style w:type="character" w:styleId="Hyperlink">
    <w:name w:val="Hyperlink"/>
    <w:basedOn w:val="DefaultParagraphFont"/>
    <w:rsid w:val="00DE337A"/>
    <w:rPr>
      <w:color w:val="0000FF" w:themeColor="hyperlink"/>
      <w:u w:val="single"/>
    </w:rPr>
  </w:style>
  <w:style w:type="table" w:styleId="TableGrid">
    <w:name w:val="Table Grid"/>
    <w:basedOn w:val="TableNormal"/>
    <w:rsid w:val="000759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F4266"/>
    <w:pPr>
      <w:spacing w:before="100" w:beforeAutospacing="1" w:after="100" w:afterAutospacing="1"/>
    </w:pPr>
  </w:style>
  <w:style w:type="paragraph" w:styleId="BalloonText">
    <w:name w:val="Balloon Text"/>
    <w:basedOn w:val="Normal"/>
    <w:link w:val="BalloonTextChar"/>
    <w:rsid w:val="00FB3765"/>
    <w:rPr>
      <w:rFonts w:ascii="Tahoma" w:hAnsi="Tahoma" w:cs="Tahoma"/>
      <w:sz w:val="16"/>
      <w:szCs w:val="16"/>
    </w:rPr>
  </w:style>
  <w:style w:type="character" w:customStyle="1" w:styleId="BalloonTextChar">
    <w:name w:val="Balloon Text Char"/>
    <w:basedOn w:val="DefaultParagraphFont"/>
    <w:link w:val="BalloonText"/>
    <w:rsid w:val="00FB3765"/>
    <w:rPr>
      <w:rFonts w:ascii="Tahoma" w:hAnsi="Tahoma" w:cs="Tahoma"/>
      <w:sz w:val="16"/>
      <w:szCs w:val="16"/>
    </w:rPr>
  </w:style>
  <w:style w:type="paragraph" w:styleId="Title">
    <w:name w:val="Title"/>
    <w:basedOn w:val="Normal"/>
    <w:link w:val="TitleChar"/>
    <w:uiPriority w:val="10"/>
    <w:qFormat/>
    <w:rsid w:val="00775308"/>
    <w:rPr>
      <w:rFonts w:eastAsiaTheme="minorHAnsi"/>
    </w:rPr>
  </w:style>
  <w:style w:type="character" w:customStyle="1" w:styleId="TitleChar">
    <w:name w:val="Title Char"/>
    <w:basedOn w:val="DefaultParagraphFont"/>
    <w:link w:val="Title"/>
    <w:uiPriority w:val="10"/>
    <w:rsid w:val="00775308"/>
    <w:rPr>
      <w:rFonts w:eastAsiaTheme="minorHAnsi"/>
      <w:sz w:val="24"/>
      <w:szCs w:val="24"/>
    </w:rPr>
  </w:style>
  <w:style w:type="paragraph" w:customStyle="1" w:styleId="mecsummary">
    <w:name w:val="mecsummary"/>
    <w:basedOn w:val="Normal"/>
    <w:rsid w:val="00775308"/>
    <w:rPr>
      <w:rFonts w:eastAsiaTheme="minorHAnsi"/>
    </w:rPr>
  </w:style>
  <w:style w:type="character" w:styleId="Strong">
    <w:name w:val="Strong"/>
    <w:basedOn w:val="DefaultParagraphFont"/>
    <w:uiPriority w:val="22"/>
    <w:qFormat/>
    <w:rsid w:val="00775308"/>
    <w:rPr>
      <w:b/>
      <w:bCs/>
    </w:rPr>
  </w:style>
  <w:style w:type="character" w:styleId="FollowedHyperlink">
    <w:name w:val="FollowedHyperlink"/>
    <w:basedOn w:val="DefaultParagraphFont"/>
    <w:rsid w:val="00DF2272"/>
    <w:rPr>
      <w:color w:val="800080" w:themeColor="followedHyperlink"/>
      <w:u w:val="single"/>
    </w:rPr>
  </w:style>
  <w:style w:type="character" w:styleId="CommentReference">
    <w:name w:val="annotation reference"/>
    <w:basedOn w:val="DefaultParagraphFont"/>
    <w:rsid w:val="00BC667B"/>
    <w:rPr>
      <w:sz w:val="16"/>
      <w:szCs w:val="16"/>
    </w:rPr>
  </w:style>
  <w:style w:type="paragraph" w:styleId="CommentText">
    <w:name w:val="annotation text"/>
    <w:basedOn w:val="Normal"/>
    <w:link w:val="CommentTextChar"/>
    <w:rsid w:val="00BC667B"/>
    <w:rPr>
      <w:sz w:val="20"/>
      <w:szCs w:val="20"/>
    </w:rPr>
  </w:style>
  <w:style w:type="character" w:customStyle="1" w:styleId="CommentTextChar">
    <w:name w:val="Comment Text Char"/>
    <w:basedOn w:val="DefaultParagraphFont"/>
    <w:link w:val="CommentText"/>
    <w:rsid w:val="00BC667B"/>
  </w:style>
  <w:style w:type="paragraph" w:styleId="CommentSubject">
    <w:name w:val="annotation subject"/>
    <w:basedOn w:val="CommentText"/>
    <w:next w:val="CommentText"/>
    <w:link w:val="CommentSubjectChar"/>
    <w:rsid w:val="00BC667B"/>
    <w:rPr>
      <w:b/>
      <w:bCs/>
    </w:rPr>
  </w:style>
  <w:style w:type="character" w:customStyle="1" w:styleId="CommentSubjectChar">
    <w:name w:val="Comment Subject Char"/>
    <w:basedOn w:val="CommentTextChar"/>
    <w:link w:val="CommentSubject"/>
    <w:rsid w:val="00BC667B"/>
    <w:rPr>
      <w:b/>
      <w:bCs/>
    </w:rPr>
  </w:style>
  <w:style w:type="paragraph" w:styleId="Header">
    <w:name w:val="header"/>
    <w:basedOn w:val="Normal"/>
    <w:link w:val="HeaderChar"/>
    <w:rsid w:val="008859F2"/>
    <w:pPr>
      <w:tabs>
        <w:tab w:val="center" w:pos="4513"/>
        <w:tab w:val="right" w:pos="9026"/>
      </w:tabs>
    </w:pPr>
  </w:style>
  <w:style w:type="character" w:customStyle="1" w:styleId="HeaderChar">
    <w:name w:val="Header Char"/>
    <w:basedOn w:val="DefaultParagraphFont"/>
    <w:link w:val="Header"/>
    <w:rsid w:val="008859F2"/>
    <w:rPr>
      <w:sz w:val="24"/>
      <w:szCs w:val="24"/>
    </w:rPr>
  </w:style>
  <w:style w:type="paragraph" w:styleId="Footer">
    <w:name w:val="footer"/>
    <w:basedOn w:val="Normal"/>
    <w:link w:val="FooterChar"/>
    <w:uiPriority w:val="99"/>
    <w:rsid w:val="008859F2"/>
    <w:pPr>
      <w:tabs>
        <w:tab w:val="center" w:pos="4513"/>
        <w:tab w:val="right" w:pos="9026"/>
      </w:tabs>
    </w:pPr>
  </w:style>
  <w:style w:type="character" w:customStyle="1" w:styleId="FooterChar">
    <w:name w:val="Footer Char"/>
    <w:basedOn w:val="DefaultParagraphFont"/>
    <w:link w:val="Footer"/>
    <w:uiPriority w:val="99"/>
    <w:rsid w:val="008859F2"/>
    <w:rPr>
      <w:sz w:val="24"/>
      <w:szCs w:val="24"/>
    </w:rPr>
  </w:style>
  <w:style w:type="paragraph" w:styleId="NoSpacing">
    <w:name w:val="No Spacing"/>
    <w:uiPriority w:val="1"/>
    <w:qFormat/>
    <w:rsid w:val="00694D6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567F"/>
    <w:pPr>
      <w:ind w:left="720"/>
      <w:contextualSpacing/>
    </w:pPr>
  </w:style>
  <w:style w:type="character" w:styleId="Hyperlink">
    <w:name w:val="Hyperlink"/>
    <w:basedOn w:val="DefaultParagraphFont"/>
    <w:rsid w:val="00DE337A"/>
    <w:rPr>
      <w:color w:val="0000FF" w:themeColor="hyperlink"/>
      <w:u w:val="single"/>
    </w:rPr>
  </w:style>
  <w:style w:type="table" w:styleId="TableGrid">
    <w:name w:val="Table Grid"/>
    <w:basedOn w:val="TableNormal"/>
    <w:rsid w:val="000759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F4266"/>
    <w:pPr>
      <w:spacing w:before="100" w:beforeAutospacing="1" w:after="100" w:afterAutospacing="1"/>
    </w:pPr>
  </w:style>
  <w:style w:type="paragraph" w:styleId="BalloonText">
    <w:name w:val="Balloon Text"/>
    <w:basedOn w:val="Normal"/>
    <w:link w:val="BalloonTextChar"/>
    <w:rsid w:val="00FB3765"/>
    <w:rPr>
      <w:rFonts w:ascii="Tahoma" w:hAnsi="Tahoma" w:cs="Tahoma"/>
      <w:sz w:val="16"/>
      <w:szCs w:val="16"/>
    </w:rPr>
  </w:style>
  <w:style w:type="character" w:customStyle="1" w:styleId="BalloonTextChar">
    <w:name w:val="Balloon Text Char"/>
    <w:basedOn w:val="DefaultParagraphFont"/>
    <w:link w:val="BalloonText"/>
    <w:rsid w:val="00FB3765"/>
    <w:rPr>
      <w:rFonts w:ascii="Tahoma" w:hAnsi="Tahoma" w:cs="Tahoma"/>
      <w:sz w:val="16"/>
      <w:szCs w:val="16"/>
    </w:rPr>
  </w:style>
  <w:style w:type="paragraph" w:styleId="Title">
    <w:name w:val="Title"/>
    <w:basedOn w:val="Normal"/>
    <w:link w:val="TitleChar"/>
    <w:uiPriority w:val="10"/>
    <w:qFormat/>
    <w:rsid w:val="00775308"/>
    <w:rPr>
      <w:rFonts w:eastAsiaTheme="minorHAnsi"/>
    </w:rPr>
  </w:style>
  <w:style w:type="character" w:customStyle="1" w:styleId="TitleChar">
    <w:name w:val="Title Char"/>
    <w:basedOn w:val="DefaultParagraphFont"/>
    <w:link w:val="Title"/>
    <w:uiPriority w:val="10"/>
    <w:rsid w:val="00775308"/>
    <w:rPr>
      <w:rFonts w:eastAsiaTheme="minorHAnsi"/>
      <w:sz w:val="24"/>
      <w:szCs w:val="24"/>
    </w:rPr>
  </w:style>
  <w:style w:type="paragraph" w:customStyle="1" w:styleId="mecsummary">
    <w:name w:val="mecsummary"/>
    <w:basedOn w:val="Normal"/>
    <w:rsid w:val="00775308"/>
    <w:rPr>
      <w:rFonts w:eastAsiaTheme="minorHAnsi"/>
    </w:rPr>
  </w:style>
  <w:style w:type="character" w:styleId="Strong">
    <w:name w:val="Strong"/>
    <w:basedOn w:val="DefaultParagraphFont"/>
    <w:uiPriority w:val="22"/>
    <w:qFormat/>
    <w:rsid w:val="00775308"/>
    <w:rPr>
      <w:b/>
      <w:bCs/>
    </w:rPr>
  </w:style>
  <w:style w:type="character" w:styleId="FollowedHyperlink">
    <w:name w:val="FollowedHyperlink"/>
    <w:basedOn w:val="DefaultParagraphFont"/>
    <w:rsid w:val="00DF2272"/>
    <w:rPr>
      <w:color w:val="800080" w:themeColor="followedHyperlink"/>
      <w:u w:val="single"/>
    </w:rPr>
  </w:style>
  <w:style w:type="character" w:styleId="CommentReference">
    <w:name w:val="annotation reference"/>
    <w:basedOn w:val="DefaultParagraphFont"/>
    <w:rsid w:val="00BC667B"/>
    <w:rPr>
      <w:sz w:val="16"/>
      <w:szCs w:val="16"/>
    </w:rPr>
  </w:style>
  <w:style w:type="paragraph" w:styleId="CommentText">
    <w:name w:val="annotation text"/>
    <w:basedOn w:val="Normal"/>
    <w:link w:val="CommentTextChar"/>
    <w:rsid w:val="00BC667B"/>
    <w:rPr>
      <w:sz w:val="20"/>
      <w:szCs w:val="20"/>
    </w:rPr>
  </w:style>
  <w:style w:type="character" w:customStyle="1" w:styleId="CommentTextChar">
    <w:name w:val="Comment Text Char"/>
    <w:basedOn w:val="DefaultParagraphFont"/>
    <w:link w:val="CommentText"/>
    <w:rsid w:val="00BC667B"/>
  </w:style>
  <w:style w:type="paragraph" w:styleId="CommentSubject">
    <w:name w:val="annotation subject"/>
    <w:basedOn w:val="CommentText"/>
    <w:next w:val="CommentText"/>
    <w:link w:val="CommentSubjectChar"/>
    <w:rsid w:val="00BC667B"/>
    <w:rPr>
      <w:b/>
      <w:bCs/>
    </w:rPr>
  </w:style>
  <w:style w:type="character" w:customStyle="1" w:styleId="CommentSubjectChar">
    <w:name w:val="Comment Subject Char"/>
    <w:basedOn w:val="CommentTextChar"/>
    <w:link w:val="CommentSubject"/>
    <w:rsid w:val="00BC667B"/>
    <w:rPr>
      <w:b/>
      <w:bCs/>
    </w:rPr>
  </w:style>
  <w:style w:type="paragraph" w:styleId="Header">
    <w:name w:val="header"/>
    <w:basedOn w:val="Normal"/>
    <w:link w:val="HeaderChar"/>
    <w:rsid w:val="008859F2"/>
    <w:pPr>
      <w:tabs>
        <w:tab w:val="center" w:pos="4513"/>
        <w:tab w:val="right" w:pos="9026"/>
      </w:tabs>
    </w:pPr>
  </w:style>
  <w:style w:type="character" w:customStyle="1" w:styleId="HeaderChar">
    <w:name w:val="Header Char"/>
    <w:basedOn w:val="DefaultParagraphFont"/>
    <w:link w:val="Header"/>
    <w:rsid w:val="008859F2"/>
    <w:rPr>
      <w:sz w:val="24"/>
      <w:szCs w:val="24"/>
    </w:rPr>
  </w:style>
  <w:style w:type="paragraph" w:styleId="Footer">
    <w:name w:val="footer"/>
    <w:basedOn w:val="Normal"/>
    <w:link w:val="FooterChar"/>
    <w:uiPriority w:val="99"/>
    <w:rsid w:val="008859F2"/>
    <w:pPr>
      <w:tabs>
        <w:tab w:val="center" w:pos="4513"/>
        <w:tab w:val="right" w:pos="9026"/>
      </w:tabs>
    </w:pPr>
  </w:style>
  <w:style w:type="character" w:customStyle="1" w:styleId="FooterChar">
    <w:name w:val="Footer Char"/>
    <w:basedOn w:val="DefaultParagraphFont"/>
    <w:link w:val="Footer"/>
    <w:uiPriority w:val="99"/>
    <w:rsid w:val="008859F2"/>
    <w:rPr>
      <w:sz w:val="24"/>
      <w:szCs w:val="24"/>
    </w:rPr>
  </w:style>
  <w:style w:type="paragraph" w:styleId="NoSpacing">
    <w:name w:val="No Spacing"/>
    <w:uiPriority w:val="1"/>
    <w:qFormat/>
    <w:rsid w:val="00694D6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220099">
      <w:bodyDiv w:val="1"/>
      <w:marLeft w:val="0"/>
      <w:marRight w:val="0"/>
      <w:marTop w:val="0"/>
      <w:marBottom w:val="0"/>
      <w:divBdr>
        <w:top w:val="none" w:sz="0" w:space="0" w:color="auto"/>
        <w:left w:val="none" w:sz="0" w:space="0" w:color="auto"/>
        <w:bottom w:val="none" w:sz="0" w:space="0" w:color="auto"/>
        <w:right w:val="none" w:sz="0" w:space="0" w:color="auto"/>
      </w:divBdr>
    </w:div>
    <w:div w:id="384108794">
      <w:bodyDiv w:val="1"/>
      <w:marLeft w:val="0"/>
      <w:marRight w:val="0"/>
      <w:marTop w:val="0"/>
      <w:marBottom w:val="0"/>
      <w:divBdr>
        <w:top w:val="none" w:sz="0" w:space="0" w:color="auto"/>
        <w:left w:val="none" w:sz="0" w:space="0" w:color="auto"/>
        <w:bottom w:val="none" w:sz="0" w:space="0" w:color="auto"/>
        <w:right w:val="none" w:sz="0" w:space="0" w:color="auto"/>
      </w:divBdr>
      <w:divsChild>
        <w:div w:id="700017055">
          <w:marLeft w:val="0"/>
          <w:marRight w:val="0"/>
          <w:marTop w:val="0"/>
          <w:marBottom w:val="0"/>
          <w:divBdr>
            <w:top w:val="none" w:sz="0" w:space="0" w:color="auto"/>
            <w:left w:val="none" w:sz="0" w:space="0" w:color="auto"/>
            <w:bottom w:val="none" w:sz="0" w:space="0" w:color="auto"/>
            <w:right w:val="none" w:sz="0" w:space="0" w:color="auto"/>
          </w:divBdr>
          <w:divsChild>
            <w:div w:id="771827806">
              <w:marLeft w:val="0"/>
              <w:marRight w:val="0"/>
              <w:marTop w:val="0"/>
              <w:marBottom w:val="0"/>
              <w:divBdr>
                <w:top w:val="none" w:sz="0" w:space="0" w:color="auto"/>
                <w:left w:val="none" w:sz="0" w:space="0" w:color="auto"/>
                <w:bottom w:val="none" w:sz="0" w:space="0" w:color="auto"/>
                <w:right w:val="none" w:sz="0" w:space="0" w:color="auto"/>
              </w:divBdr>
              <w:divsChild>
                <w:div w:id="297610968">
                  <w:marLeft w:val="0"/>
                  <w:marRight w:val="0"/>
                  <w:marTop w:val="0"/>
                  <w:marBottom w:val="0"/>
                  <w:divBdr>
                    <w:top w:val="none" w:sz="0" w:space="0" w:color="auto"/>
                    <w:left w:val="none" w:sz="0" w:space="0" w:color="auto"/>
                    <w:bottom w:val="none" w:sz="0" w:space="0" w:color="auto"/>
                    <w:right w:val="none" w:sz="0" w:space="0" w:color="auto"/>
                  </w:divBdr>
                  <w:divsChild>
                    <w:div w:id="1945068558">
                      <w:marLeft w:val="0"/>
                      <w:marRight w:val="0"/>
                      <w:marTop w:val="0"/>
                      <w:marBottom w:val="0"/>
                      <w:divBdr>
                        <w:top w:val="none" w:sz="0" w:space="0" w:color="auto"/>
                        <w:left w:val="none" w:sz="0" w:space="0" w:color="auto"/>
                        <w:bottom w:val="none" w:sz="0" w:space="0" w:color="auto"/>
                        <w:right w:val="none" w:sz="0" w:space="0" w:color="auto"/>
                      </w:divBdr>
                      <w:divsChild>
                        <w:div w:id="1837380868">
                          <w:marLeft w:val="0"/>
                          <w:marRight w:val="0"/>
                          <w:marTop w:val="0"/>
                          <w:marBottom w:val="0"/>
                          <w:divBdr>
                            <w:top w:val="none" w:sz="0" w:space="0" w:color="auto"/>
                            <w:left w:val="none" w:sz="0" w:space="0" w:color="auto"/>
                            <w:bottom w:val="none" w:sz="0" w:space="0" w:color="auto"/>
                            <w:right w:val="none" w:sz="0" w:space="0" w:color="auto"/>
                          </w:divBdr>
                          <w:divsChild>
                            <w:div w:id="688407926">
                              <w:marLeft w:val="0"/>
                              <w:marRight w:val="0"/>
                              <w:marTop w:val="0"/>
                              <w:marBottom w:val="0"/>
                              <w:divBdr>
                                <w:top w:val="none" w:sz="0" w:space="0" w:color="auto"/>
                                <w:left w:val="none" w:sz="0" w:space="0" w:color="auto"/>
                                <w:bottom w:val="none" w:sz="0" w:space="0" w:color="auto"/>
                                <w:right w:val="none" w:sz="0" w:space="0" w:color="auto"/>
                              </w:divBdr>
                              <w:divsChild>
                                <w:div w:id="1356231255">
                                  <w:marLeft w:val="0"/>
                                  <w:marRight w:val="0"/>
                                  <w:marTop w:val="0"/>
                                  <w:marBottom w:val="0"/>
                                  <w:divBdr>
                                    <w:top w:val="none" w:sz="0" w:space="0" w:color="auto"/>
                                    <w:left w:val="none" w:sz="0" w:space="0" w:color="auto"/>
                                    <w:bottom w:val="none" w:sz="0" w:space="0" w:color="auto"/>
                                    <w:right w:val="none" w:sz="0" w:space="0" w:color="auto"/>
                                  </w:divBdr>
                                  <w:divsChild>
                                    <w:div w:id="341669355">
                                      <w:marLeft w:val="0"/>
                                      <w:marRight w:val="0"/>
                                      <w:marTop w:val="0"/>
                                      <w:marBottom w:val="0"/>
                                      <w:divBdr>
                                        <w:top w:val="none" w:sz="0" w:space="0" w:color="auto"/>
                                        <w:left w:val="none" w:sz="0" w:space="0" w:color="auto"/>
                                        <w:bottom w:val="none" w:sz="0" w:space="0" w:color="auto"/>
                                        <w:right w:val="none" w:sz="0" w:space="0" w:color="auto"/>
                                      </w:divBdr>
                                      <w:divsChild>
                                        <w:div w:id="214239333">
                                          <w:marLeft w:val="0"/>
                                          <w:marRight w:val="0"/>
                                          <w:marTop w:val="0"/>
                                          <w:marBottom w:val="0"/>
                                          <w:divBdr>
                                            <w:top w:val="none" w:sz="0" w:space="0" w:color="auto"/>
                                            <w:left w:val="none" w:sz="0" w:space="0" w:color="auto"/>
                                            <w:bottom w:val="none" w:sz="0" w:space="0" w:color="auto"/>
                                            <w:right w:val="none" w:sz="0" w:space="0" w:color="auto"/>
                                          </w:divBdr>
                                          <w:divsChild>
                                            <w:div w:id="324093792">
                                              <w:marLeft w:val="0"/>
                                              <w:marRight w:val="0"/>
                                              <w:marTop w:val="0"/>
                                              <w:marBottom w:val="0"/>
                                              <w:divBdr>
                                                <w:top w:val="none" w:sz="0" w:space="0" w:color="auto"/>
                                                <w:left w:val="none" w:sz="0" w:space="0" w:color="auto"/>
                                                <w:bottom w:val="none" w:sz="0" w:space="0" w:color="auto"/>
                                                <w:right w:val="none" w:sz="0" w:space="0" w:color="auto"/>
                                              </w:divBdr>
                                            </w:div>
                                            <w:div w:id="147679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4721017">
      <w:bodyDiv w:val="1"/>
      <w:marLeft w:val="0"/>
      <w:marRight w:val="0"/>
      <w:marTop w:val="0"/>
      <w:marBottom w:val="0"/>
      <w:divBdr>
        <w:top w:val="none" w:sz="0" w:space="0" w:color="auto"/>
        <w:left w:val="none" w:sz="0" w:space="0" w:color="auto"/>
        <w:bottom w:val="none" w:sz="0" w:space="0" w:color="auto"/>
        <w:right w:val="none" w:sz="0" w:space="0" w:color="auto"/>
      </w:divBdr>
    </w:div>
    <w:div w:id="771977040">
      <w:bodyDiv w:val="1"/>
      <w:marLeft w:val="0"/>
      <w:marRight w:val="0"/>
      <w:marTop w:val="0"/>
      <w:marBottom w:val="0"/>
      <w:divBdr>
        <w:top w:val="none" w:sz="0" w:space="0" w:color="auto"/>
        <w:left w:val="none" w:sz="0" w:space="0" w:color="auto"/>
        <w:bottom w:val="none" w:sz="0" w:space="0" w:color="auto"/>
        <w:right w:val="none" w:sz="0" w:space="0" w:color="auto"/>
      </w:divBdr>
      <w:divsChild>
        <w:div w:id="199977098">
          <w:marLeft w:val="0"/>
          <w:marRight w:val="0"/>
          <w:marTop w:val="0"/>
          <w:marBottom w:val="0"/>
          <w:divBdr>
            <w:top w:val="none" w:sz="0" w:space="0" w:color="auto"/>
            <w:left w:val="none" w:sz="0" w:space="0" w:color="auto"/>
            <w:bottom w:val="none" w:sz="0" w:space="0" w:color="auto"/>
            <w:right w:val="none" w:sz="0" w:space="0" w:color="auto"/>
          </w:divBdr>
          <w:divsChild>
            <w:div w:id="909266743">
              <w:marLeft w:val="0"/>
              <w:marRight w:val="0"/>
              <w:marTop w:val="0"/>
              <w:marBottom w:val="0"/>
              <w:divBdr>
                <w:top w:val="none" w:sz="0" w:space="0" w:color="auto"/>
                <w:left w:val="none" w:sz="0" w:space="0" w:color="auto"/>
                <w:bottom w:val="none" w:sz="0" w:space="0" w:color="auto"/>
                <w:right w:val="none" w:sz="0" w:space="0" w:color="auto"/>
              </w:divBdr>
              <w:divsChild>
                <w:div w:id="999965562">
                  <w:marLeft w:val="300"/>
                  <w:marRight w:val="0"/>
                  <w:marTop w:val="0"/>
                  <w:marBottom w:val="0"/>
                  <w:divBdr>
                    <w:top w:val="none" w:sz="0" w:space="0" w:color="auto"/>
                    <w:left w:val="none" w:sz="0" w:space="0" w:color="auto"/>
                    <w:bottom w:val="none" w:sz="0" w:space="0" w:color="auto"/>
                    <w:right w:val="none" w:sz="0" w:space="0" w:color="auto"/>
                  </w:divBdr>
                  <w:divsChild>
                    <w:div w:id="1472090576">
                      <w:marLeft w:val="0"/>
                      <w:marRight w:val="0"/>
                      <w:marTop w:val="0"/>
                      <w:marBottom w:val="0"/>
                      <w:divBdr>
                        <w:top w:val="none" w:sz="0" w:space="0" w:color="auto"/>
                        <w:left w:val="none" w:sz="0" w:space="0" w:color="auto"/>
                        <w:bottom w:val="none" w:sz="0" w:space="0" w:color="auto"/>
                        <w:right w:val="none" w:sz="0" w:space="0" w:color="auto"/>
                      </w:divBdr>
                      <w:divsChild>
                        <w:div w:id="7049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5633994">
      <w:bodyDiv w:val="1"/>
      <w:marLeft w:val="0"/>
      <w:marRight w:val="0"/>
      <w:marTop w:val="0"/>
      <w:marBottom w:val="0"/>
      <w:divBdr>
        <w:top w:val="none" w:sz="0" w:space="0" w:color="auto"/>
        <w:left w:val="none" w:sz="0" w:space="0" w:color="auto"/>
        <w:bottom w:val="none" w:sz="0" w:space="0" w:color="auto"/>
        <w:right w:val="none" w:sz="0" w:space="0" w:color="auto"/>
      </w:divBdr>
    </w:div>
    <w:div w:id="932401317">
      <w:bodyDiv w:val="1"/>
      <w:marLeft w:val="0"/>
      <w:marRight w:val="0"/>
      <w:marTop w:val="0"/>
      <w:marBottom w:val="0"/>
      <w:divBdr>
        <w:top w:val="none" w:sz="0" w:space="0" w:color="auto"/>
        <w:left w:val="none" w:sz="0" w:space="0" w:color="auto"/>
        <w:bottom w:val="none" w:sz="0" w:space="0" w:color="auto"/>
        <w:right w:val="none" w:sz="0" w:space="0" w:color="auto"/>
      </w:divBdr>
      <w:divsChild>
        <w:div w:id="1356075511">
          <w:marLeft w:val="0"/>
          <w:marRight w:val="0"/>
          <w:marTop w:val="0"/>
          <w:marBottom w:val="0"/>
          <w:divBdr>
            <w:top w:val="none" w:sz="0" w:space="0" w:color="auto"/>
            <w:left w:val="none" w:sz="0" w:space="0" w:color="auto"/>
            <w:bottom w:val="none" w:sz="0" w:space="0" w:color="auto"/>
            <w:right w:val="none" w:sz="0" w:space="0" w:color="auto"/>
          </w:divBdr>
          <w:divsChild>
            <w:div w:id="1136601400">
              <w:marLeft w:val="0"/>
              <w:marRight w:val="0"/>
              <w:marTop w:val="0"/>
              <w:marBottom w:val="0"/>
              <w:divBdr>
                <w:top w:val="none" w:sz="0" w:space="0" w:color="auto"/>
                <w:left w:val="none" w:sz="0" w:space="0" w:color="auto"/>
                <w:bottom w:val="none" w:sz="0" w:space="0" w:color="auto"/>
                <w:right w:val="none" w:sz="0" w:space="0" w:color="auto"/>
              </w:divBdr>
              <w:divsChild>
                <w:div w:id="1238512785">
                  <w:marLeft w:val="0"/>
                  <w:marRight w:val="0"/>
                  <w:marTop w:val="0"/>
                  <w:marBottom w:val="0"/>
                  <w:divBdr>
                    <w:top w:val="none" w:sz="0" w:space="0" w:color="auto"/>
                    <w:left w:val="none" w:sz="0" w:space="0" w:color="auto"/>
                    <w:bottom w:val="none" w:sz="0" w:space="0" w:color="auto"/>
                    <w:right w:val="none" w:sz="0" w:space="0" w:color="auto"/>
                  </w:divBdr>
                  <w:divsChild>
                    <w:div w:id="1533111899">
                      <w:marLeft w:val="0"/>
                      <w:marRight w:val="0"/>
                      <w:marTop w:val="0"/>
                      <w:marBottom w:val="0"/>
                      <w:divBdr>
                        <w:top w:val="none" w:sz="0" w:space="0" w:color="auto"/>
                        <w:left w:val="none" w:sz="0" w:space="0" w:color="auto"/>
                        <w:bottom w:val="none" w:sz="0" w:space="0" w:color="auto"/>
                        <w:right w:val="none" w:sz="0" w:space="0" w:color="auto"/>
                      </w:divBdr>
                      <w:divsChild>
                        <w:div w:id="1618096744">
                          <w:marLeft w:val="0"/>
                          <w:marRight w:val="0"/>
                          <w:marTop w:val="0"/>
                          <w:marBottom w:val="0"/>
                          <w:divBdr>
                            <w:top w:val="none" w:sz="0" w:space="0" w:color="auto"/>
                            <w:left w:val="none" w:sz="0" w:space="0" w:color="auto"/>
                            <w:bottom w:val="none" w:sz="0" w:space="0" w:color="auto"/>
                            <w:right w:val="none" w:sz="0" w:space="0" w:color="auto"/>
                          </w:divBdr>
                          <w:divsChild>
                            <w:div w:id="1530802819">
                              <w:marLeft w:val="0"/>
                              <w:marRight w:val="0"/>
                              <w:marTop w:val="0"/>
                              <w:marBottom w:val="0"/>
                              <w:divBdr>
                                <w:top w:val="none" w:sz="0" w:space="0" w:color="auto"/>
                                <w:left w:val="none" w:sz="0" w:space="0" w:color="auto"/>
                                <w:bottom w:val="none" w:sz="0" w:space="0" w:color="auto"/>
                                <w:right w:val="none" w:sz="0" w:space="0" w:color="auto"/>
                              </w:divBdr>
                              <w:divsChild>
                                <w:div w:id="177430370">
                                  <w:marLeft w:val="0"/>
                                  <w:marRight w:val="0"/>
                                  <w:marTop w:val="0"/>
                                  <w:marBottom w:val="0"/>
                                  <w:divBdr>
                                    <w:top w:val="none" w:sz="0" w:space="0" w:color="auto"/>
                                    <w:left w:val="none" w:sz="0" w:space="0" w:color="auto"/>
                                    <w:bottom w:val="none" w:sz="0" w:space="0" w:color="auto"/>
                                    <w:right w:val="none" w:sz="0" w:space="0" w:color="auto"/>
                                  </w:divBdr>
                                  <w:divsChild>
                                    <w:div w:id="182473524">
                                      <w:marLeft w:val="0"/>
                                      <w:marRight w:val="0"/>
                                      <w:marTop w:val="0"/>
                                      <w:marBottom w:val="0"/>
                                      <w:divBdr>
                                        <w:top w:val="none" w:sz="0" w:space="0" w:color="auto"/>
                                        <w:left w:val="none" w:sz="0" w:space="0" w:color="auto"/>
                                        <w:bottom w:val="none" w:sz="0" w:space="0" w:color="auto"/>
                                        <w:right w:val="none" w:sz="0" w:space="0" w:color="auto"/>
                                      </w:divBdr>
                                      <w:divsChild>
                                        <w:div w:id="159150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1953324">
      <w:bodyDiv w:val="1"/>
      <w:marLeft w:val="0"/>
      <w:marRight w:val="0"/>
      <w:marTop w:val="0"/>
      <w:marBottom w:val="0"/>
      <w:divBdr>
        <w:top w:val="none" w:sz="0" w:space="0" w:color="auto"/>
        <w:left w:val="none" w:sz="0" w:space="0" w:color="auto"/>
        <w:bottom w:val="none" w:sz="0" w:space="0" w:color="auto"/>
        <w:right w:val="none" w:sz="0" w:space="0" w:color="auto"/>
      </w:divBdr>
      <w:divsChild>
        <w:div w:id="2061854585">
          <w:marLeft w:val="0"/>
          <w:marRight w:val="0"/>
          <w:marTop w:val="1500"/>
          <w:marBottom w:val="0"/>
          <w:divBdr>
            <w:top w:val="none" w:sz="0" w:space="0" w:color="auto"/>
            <w:left w:val="none" w:sz="0" w:space="0" w:color="auto"/>
            <w:bottom w:val="none" w:sz="0" w:space="0" w:color="auto"/>
            <w:right w:val="none" w:sz="0" w:space="0" w:color="auto"/>
          </w:divBdr>
          <w:divsChild>
            <w:div w:id="1875380318">
              <w:marLeft w:val="0"/>
              <w:marRight w:val="0"/>
              <w:marTop w:val="0"/>
              <w:marBottom w:val="0"/>
              <w:divBdr>
                <w:top w:val="none" w:sz="0" w:space="0" w:color="auto"/>
                <w:left w:val="none" w:sz="0" w:space="0" w:color="auto"/>
                <w:bottom w:val="none" w:sz="0" w:space="0" w:color="auto"/>
                <w:right w:val="none" w:sz="0" w:space="0" w:color="auto"/>
              </w:divBdr>
              <w:divsChild>
                <w:div w:id="1207989616">
                  <w:marLeft w:val="0"/>
                  <w:marRight w:val="0"/>
                  <w:marTop w:val="0"/>
                  <w:marBottom w:val="0"/>
                  <w:divBdr>
                    <w:top w:val="none" w:sz="0" w:space="0" w:color="auto"/>
                    <w:left w:val="none" w:sz="0" w:space="0" w:color="auto"/>
                    <w:bottom w:val="none" w:sz="0" w:space="0" w:color="auto"/>
                    <w:right w:val="none" w:sz="0" w:space="0" w:color="auto"/>
                  </w:divBdr>
                  <w:divsChild>
                    <w:div w:id="1824465984">
                      <w:marLeft w:val="0"/>
                      <w:marRight w:val="0"/>
                      <w:marTop w:val="0"/>
                      <w:marBottom w:val="0"/>
                      <w:divBdr>
                        <w:top w:val="none" w:sz="0" w:space="0" w:color="auto"/>
                        <w:left w:val="none" w:sz="0" w:space="0" w:color="auto"/>
                        <w:bottom w:val="none" w:sz="0" w:space="0" w:color="auto"/>
                        <w:right w:val="none" w:sz="0" w:space="0" w:color="auto"/>
                      </w:divBdr>
                      <w:divsChild>
                        <w:div w:id="456804573">
                          <w:marLeft w:val="0"/>
                          <w:marRight w:val="0"/>
                          <w:marTop w:val="0"/>
                          <w:marBottom w:val="0"/>
                          <w:divBdr>
                            <w:top w:val="none" w:sz="0" w:space="0" w:color="auto"/>
                            <w:left w:val="none" w:sz="0" w:space="0" w:color="auto"/>
                            <w:bottom w:val="none" w:sz="0" w:space="0" w:color="auto"/>
                            <w:right w:val="none" w:sz="0" w:space="0" w:color="auto"/>
                          </w:divBdr>
                          <w:divsChild>
                            <w:div w:id="151999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0914262">
      <w:bodyDiv w:val="1"/>
      <w:marLeft w:val="0"/>
      <w:marRight w:val="0"/>
      <w:marTop w:val="0"/>
      <w:marBottom w:val="0"/>
      <w:divBdr>
        <w:top w:val="none" w:sz="0" w:space="0" w:color="auto"/>
        <w:left w:val="none" w:sz="0" w:space="0" w:color="auto"/>
        <w:bottom w:val="none" w:sz="0" w:space="0" w:color="auto"/>
        <w:right w:val="none" w:sz="0" w:space="0" w:color="auto"/>
      </w:divBdr>
    </w:div>
    <w:div w:id="1785923792">
      <w:bodyDiv w:val="1"/>
      <w:marLeft w:val="0"/>
      <w:marRight w:val="0"/>
      <w:marTop w:val="0"/>
      <w:marBottom w:val="0"/>
      <w:divBdr>
        <w:top w:val="none" w:sz="0" w:space="0" w:color="auto"/>
        <w:left w:val="none" w:sz="0" w:space="0" w:color="auto"/>
        <w:bottom w:val="none" w:sz="0" w:space="0" w:color="auto"/>
        <w:right w:val="none" w:sz="0" w:space="0" w:color="auto"/>
      </w:divBdr>
    </w:div>
    <w:div w:id="1914466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yldeandwyreccg.nhs.uk/about-us/medicines-optimisation/" TargetMode="External"/><Relationship Id="rId13" Type="http://schemas.openxmlformats.org/officeDocument/2006/relationships/image" Target="media/image5.png"/><Relationship Id="rId18" Type="http://schemas.openxmlformats.org/officeDocument/2006/relationships/chart" Target="charts/chart3.xml"/><Relationship Id="rId3" Type="http://schemas.microsoft.com/office/2007/relationships/stylesWithEffects" Target="stylesWithEffects.xml"/><Relationship Id="rId21" Type="http://schemas.openxmlformats.org/officeDocument/2006/relationships/hyperlink" Target="http://www.valeoflevenhospitalinquiry.org/Report/j156505.pdf" TargetMode="Externa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chart" Target="charts/chart2.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hart" Target="charts/chart1.xml"/><Relationship Id="rId20" Type="http://schemas.openxmlformats.org/officeDocument/2006/relationships/hyperlink" Target="https://www.gov.uk/government/news/significant-scope-to-improve-antibiotic-prescribin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www.nhs.uk/NHSEngland/ARC/Pages/AboutARC.aspx"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www.bbc.co.uk/news/uk-scotland-edinburgh-east-fife-30580273"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dLbl>
              <c:idx val="0"/>
              <c:layout/>
              <c:tx>
                <c:rich>
                  <a:bodyPr/>
                  <a:lstStyle/>
                  <a:p>
                    <a:r>
                      <a:rPr lang="en-US"/>
                      <a:t>31%</a:t>
                    </a:r>
                  </a:p>
                </c:rich>
              </c:tx>
              <c:showLegendKey val="0"/>
              <c:showVal val="1"/>
              <c:showCatName val="0"/>
              <c:showSerName val="0"/>
              <c:showPercent val="0"/>
              <c:showBubbleSize val="0"/>
            </c:dLbl>
            <c:dLbl>
              <c:idx val="1"/>
              <c:layout/>
              <c:tx>
                <c:rich>
                  <a:bodyPr/>
                  <a:lstStyle/>
                  <a:p>
                    <a:r>
                      <a:rPr lang="en-US"/>
                      <a:t>34%</a:t>
                    </a:r>
                  </a:p>
                </c:rich>
              </c:tx>
              <c:showLegendKey val="0"/>
              <c:showVal val="1"/>
              <c:showCatName val="0"/>
              <c:showSerName val="0"/>
              <c:showPercent val="0"/>
              <c:showBubbleSize val="0"/>
            </c:dLbl>
            <c:dLbl>
              <c:idx val="2"/>
              <c:layout/>
              <c:tx>
                <c:rich>
                  <a:bodyPr/>
                  <a:lstStyle/>
                  <a:p>
                    <a:r>
                      <a:rPr lang="en-US"/>
                      <a:t>23%</a:t>
                    </a:r>
                  </a:p>
                </c:rich>
              </c:tx>
              <c:showLegendKey val="0"/>
              <c:showVal val="1"/>
              <c:showCatName val="0"/>
              <c:showSerName val="0"/>
              <c:showPercent val="0"/>
              <c:showBubbleSize val="0"/>
            </c:dLbl>
            <c:dLbl>
              <c:idx val="3"/>
              <c:layout/>
              <c:tx>
                <c:rich>
                  <a:bodyPr/>
                  <a:lstStyle/>
                  <a:p>
                    <a:r>
                      <a:rPr lang="en-US"/>
                      <a:t>11%</a:t>
                    </a:r>
                  </a:p>
                </c:rich>
              </c:tx>
              <c:showLegendKey val="0"/>
              <c:showVal val="1"/>
              <c:showCatName val="0"/>
              <c:showSerName val="0"/>
              <c:showPercent val="0"/>
              <c:showBubbleSize val="0"/>
            </c:dLbl>
            <c:showLegendKey val="0"/>
            <c:showVal val="1"/>
            <c:showCatName val="0"/>
            <c:showSerName val="0"/>
            <c:showPercent val="0"/>
            <c:showBubbleSize val="0"/>
            <c:showLeaderLines val="1"/>
          </c:dLbls>
          <c:cat>
            <c:strRef>
              <c:f>Sheet2!$A$1:$G$1</c:f>
              <c:strCache>
                <c:ptCount val="4"/>
                <c:pt idx="0">
                  <c:v>Cefalosporins</c:v>
                </c:pt>
                <c:pt idx="1">
                  <c:v>Co-amoxiclav</c:v>
                </c:pt>
                <c:pt idx="2">
                  <c:v>Ciprofloxacin</c:v>
                </c:pt>
                <c:pt idx="3">
                  <c:v>Other</c:v>
                </c:pt>
              </c:strCache>
            </c:strRef>
          </c:cat>
          <c:val>
            <c:numRef>
              <c:f>Sheet2!$A$2:$G$2</c:f>
              <c:numCache>
                <c:formatCode>General</c:formatCode>
                <c:ptCount val="4"/>
                <c:pt idx="0">
                  <c:v>1635</c:v>
                </c:pt>
                <c:pt idx="1">
                  <c:v>1694</c:v>
                </c:pt>
                <c:pt idx="2">
                  <c:v>1157</c:v>
                </c:pt>
                <c:pt idx="3">
                  <c:v>577</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85167735977447268"/>
          <c:y val="0.23203273120271731"/>
          <c:w val="0.14832264022552735"/>
          <c:h val="0.56730708661417328"/>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invertIfNegative val="0"/>
          <c:cat>
            <c:strRef>
              <c:f>Sheet3!$A$1:$G$1</c:f>
              <c:strCache>
                <c:ptCount val="7"/>
                <c:pt idx="0">
                  <c:v>Age 0-4</c:v>
                </c:pt>
                <c:pt idx="1">
                  <c:v>5-14</c:v>
                </c:pt>
                <c:pt idx="2">
                  <c:v>15-29</c:v>
                </c:pt>
                <c:pt idx="3">
                  <c:v>30-44</c:v>
                </c:pt>
                <c:pt idx="4">
                  <c:v>45-59</c:v>
                </c:pt>
                <c:pt idx="5">
                  <c:v>60-74</c:v>
                </c:pt>
                <c:pt idx="6">
                  <c:v>75+</c:v>
                </c:pt>
              </c:strCache>
            </c:strRef>
          </c:cat>
          <c:val>
            <c:numRef>
              <c:f>Sheet3!$A$2:$G$2</c:f>
              <c:numCache>
                <c:formatCode>General</c:formatCode>
                <c:ptCount val="7"/>
                <c:pt idx="0">
                  <c:v>83</c:v>
                </c:pt>
                <c:pt idx="1">
                  <c:v>153</c:v>
                </c:pt>
                <c:pt idx="2">
                  <c:v>446</c:v>
                </c:pt>
                <c:pt idx="3">
                  <c:v>572</c:v>
                </c:pt>
                <c:pt idx="4">
                  <c:v>773</c:v>
                </c:pt>
                <c:pt idx="5">
                  <c:v>1164</c:v>
                </c:pt>
                <c:pt idx="6">
                  <c:v>1024</c:v>
                </c:pt>
              </c:numCache>
            </c:numRef>
          </c:val>
        </c:ser>
        <c:dLbls>
          <c:showLegendKey val="0"/>
          <c:showVal val="0"/>
          <c:showCatName val="0"/>
          <c:showSerName val="0"/>
          <c:showPercent val="0"/>
          <c:showBubbleSize val="0"/>
        </c:dLbls>
        <c:gapWidth val="150"/>
        <c:overlap val="100"/>
        <c:axId val="101920768"/>
        <c:axId val="101922304"/>
      </c:barChart>
      <c:catAx>
        <c:axId val="101920768"/>
        <c:scaling>
          <c:orientation val="minMax"/>
        </c:scaling>
        <c:delete val="0"/>
        <c:axPos val="b"/>
        <c:majorTickMark val="out"/>
        <c:minorTickMark val="none"/>
        <c:tickLblPos val="nextTo"/>
        <c:crossAx val="101922304"/>
        <c:crosses val="autoZero"/>
        <c:auto val="1"/>
        <c:lblAlgn val="ctr"/>
        <c:lblOffset val="100"/>
        <c:noMultiLvlLbl val="0"/>
      </c:catAx>
      <c:valAx>
        <c:axId val="101922304"/>
        <c:scaling>
          <c:orientation val="minMax"/>
        </c:scaling>
        <c:delete val="0"/>
        <c:axPos val="l"/>
        <c:majorGridlines/>
        <c:numFmt formatCode="General" sourceLinked="1"/>
        <c:majorTickMark val="out"/>
        <c:minorTickMark val="none"/>
        <c:tickLblPos val="nextTo"/>
        <c:crossAx val="101920768"/>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cat>
            <c:strRef>
              <c:f>Sheet3!$A$1:$G$1</c:f>
              <c:strCache>
                <c:ptCount val="7"/>
                <c:pt idx="0">
                  <c:v>Age 0-4</c:v>
                </c:pt>
                <c:pt idx="1">
                  <c:v>5-14</c:v>
                </c:pt>
                <c:pt idx="2">
                  <c:v>15-29</c:v>
                </c:pt>
                <c:pt idx="3">
                  <c:v>30-44</c:v>
                </c:pt>
                <c:pt idx="4">
                  <c:v>45-59</c:v>
                </c:pt>
                <c:pt idx="5">
                  <c:v>60-74</c:v>
                </c:pt>
                <c:pt idx="6">
                  <c:v>75+</c:v>
                </c:pt>
              </c:strCache>
            </c:strRef>
          </c:cat>
          <c:val>
            <c:numRef>
              <c:f>Sheet3!$A$2:$G$2</c:f>
              <c:numCache>
                <c:formatCode>General</c:formatCode>
                <c:ptCount val="7"/>
                <c:pt idx="0">
                  <c:v>83</c:v>
                </c:pt>
                <c:pt idx="1">
                  <c:v>153</c:v>
                </c:pt>
                <c:pt idx="2">
                  <c:v>446</c:v>
                </c:pt>
                <c:pt idx="3">
                  <c:v>572</c:v>
                </c:pt>
                <c:pt idx="4">
                  <c:v>773</c:v>
                </c:pt>
                <c:pt idx="5">
                  <c:v>1164</c:v>
                </c:pt>
                <c:pt idx="6">
                  <c:v>1024</c:v>
                </c:pt>
              </c:numCache>
            </c:numRef>
          </c:val>
        </c:ser>
        <c:dLbls>
          <c:showLegendKey val="0"/>
          <c:showVal val="0"/>
          <c:showCatName val="0"/>
          <c:showSerName val="0"/>
          <c:showPercent val="0"/>
          <c:showBubbleSize val="0"/>
          <c:showLeaderLines val="1"/>
        </c:dLbls>
        <c:firstSliceAng val="0"/>
      </c:pieChart>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E74314A3</Template>
  <TotalTime>6</TotalTime>
  <Pages>13</Pages>
  <Words>2986</Words>
  <Characters>16673</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Blackpool Teaching Hospitals NHS Foundation Trust</Company>
  <LinksUpToDate>false</LinksUpToDate>
  <CharactersWithSpaces>19620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Winstanley Louise (BFWH)</dc:creator>
  <cp:lastModifiedBy>Winstanley Louise (BFWH)</cp:lastModifiedBy>
  <cp:revision>5</cp:revision>
  <cp:lastPrinted>2015-03-24T09:21:00Z</cp:lastPrinted>
  <dcterms:created xsi:type="dcterms:W3CDTF">2015-01-28T12:19:00Z</dcterms:created>
  <dcterms:modified xsi:type="dcterms:W3CDTF">2015-03-24T09:21:00Z</dcterms:modified>
</cp:coreProperties>
</file>