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EF883" w14:textId="335F6AE4" w:rsidR="00B67FBB" w:rsidRDefault="00080D42" w:rsidP="00B41808">
      <w:pPr>
        <w:pStyle w:val="Title"/>
      </w:pPr>
      <w:r>
        <w:t>Cost recovery for Technology Appraisals (TA) and Highly Specialised Technologies (HST) –</w:t>
      </w:r>
      <w:r w:rsidR="00F3398B">
        <w:t xml:space="preserve"> 2023-24 </w:t>
      </w:r>
      <w:r>
        <w:t xml:space="preserve">review </w:t>
      </w:r>
    </w:p>
    <w:p w14:paraId="7DD847E5" w14:textId="10C788E1" w:rsidR="005A49F0" w:rsidRDefault="005A49F0" w:rsidP="00B41808">
      <w:pPr>
        <w:pStyle w:val="Heading1"/>
      </w:pPr>
      <w:r>
        <w:t>Executive summary</w:t>
      </w:r>
    </w:p>
    <w:p w14:paraId="441408D2" w14:textId="508368EB" w:rsidR="0018548D" w:rsidRPr="00BC708D" w:rsidRDefault="0018548D" w:rsidP="0018548D">
      <w:pPr>
        <w:pStyle w:val="ParagraphNumbered"/>
        <w:ind w:left="426" w:hanging="426"/>
      </w:pPr>
      <w:r>
        <w:t xml:space="preserve">In response to the </w:t>
      </w:r>
      <w:hyperlink r:id="rId7" w:history="1">
        <w:r w:rsidRPr="00945583">
          <w:rPr>
            <w:rStyle w:val="Hyperlink"/>
          </w:rPr>
          <w:t xml:space="preserve">2018 </w:t>
        </w:r>
        <w:r w:rsidR="00541927" w:rsidRPr="00945583">
          <w:rPr>
            <w:rStyle w:val="Hyperlink"/>
          </w:rPr>
          <w:t xml:space="preserve">Department of Health and Social Care (DHSC) </w:t>
        </w:r>
        <w:r w:rsidRPr="00945583">
          <w:rPr>
            <w:rStyle w:val="Hyperlink"/>
          </w:rPr>
          <w:t>consultation</w:t>
        </w:r>
        <w:r w:rsidR="009B5024" w:rsidRPr="00945583">
          <w:rPr>
            <w:rStyle w:val="Hyperlink"/>
          </w:rPr>
          <w:t xml:space="preserve"> </w:t>
        </w:r>
        <w:r w:rsidR="00541927" w:rsidRPr="00945583">
          <w:rPr>
            <w:rStyle w:val="Hyperlink"/>
          </w:rPr>
          <w:t>on NICE</w:t>
        </w:r>
        <w:r w:rsidR="009B5024" w:rsidRPr="00945583">
          <w:rPr>
            <w:rStyle w:val="Hyperlink"/>
          </w:rPr>
          <w:t xml:space="preserve"> </w:t>
        </w:r>
        <w:r w:rsidR="00BE4A5C" w:rsidRPr="00945583">
          <w:rPr>
            <w:rStyle w:val="Hyperlink"/>
          </w:rPr>
          <w:t>technology</w:t>
        </w:r>
        <w:r w:rsidR="009B5024" w:rsidRPr="00945583">
          <w:rPr>
            <w:rStyle w:val="Hyperlink"/>
          </w:rPr>
          <w:t xml:space="preserve"> appraisal </w:t>
        </w:r>
        <w:r w:rsidR="00214656" w:rsidRPr="00945583">
          <w:rPr>
            <w:rStyle w:val="Hyperlink"/>
          </w:rPr>
          <w:t xml:space="preserve">and highly specialised </w:t>
        </w:r>
        <w:r w:rsidR="00A064E6" w:rsidRPr="00945583">
          <w:rPr>
            <w:rStyle w:val="Hyperlink"/>
          </w:rPr>
          <w:t xml:space="preserve">technologies work programme (charging and </w:t>
        </w:r>
        <w:r w:rsidR="00541927" w:rsidRPr="00945583">
          <w:rPr>
            <w:rStyle w:val="Hyperlink"/>
          </w:rPr>
          <w:t>appeals</w:t>
        </w:r>
        <w:r w:rsidRPr="00945583">
          <w:rPr>
            <w:rStyle w:val="Hyperlink"/>
          </w:rPr>
          <w:t>)</w:t>
        </w:r>
      </w:hyperlink>
      <w:r w:rsidRPr="00F70BCE">
        <w:t>,</w:t>
      </w:r>
      <w:r>
        <w:t xml:space="preserve"> a commitment</w:t>
      </w:r>
      <w:r w:rsidR="00945583">
        <w:t xml:space="preserve"> </w:t>
      </w:r>
      <w:r>
        <w:t xml:space="preserve"> (section 6.4) was made to monitor the impact of the charges in the first year and formally review the </w:t>
      </w:r>
      <w:r w:rsidRPr="00F70BCE">
        <w:t xml:space="preserve">charging regime at the end of the second year and </w:t>
      </w:r>
      <w:r>
        <w:t xml:space="preserve">after </w:t>
      </w:r>
      <w:r w:rsidRPr="00F70BCE">
        <w:t xml:space="preserve">as required. </w:t>
      </w:r>
    </w:p>
    <w:p w14:paraId="4FA33EEC" w14:textId="4C8D0694" w:rsidR="0018548D" w:rsidRDefault="00EB2EE5" w:rsidP="00DE3AB2">
      <w:pPr>
        <w:pStyle w:val="ParagraphNumbered"/>
        <w:ind w:left="426" w:hanging="426"/>
      </w:pPr>
      <w:r>
        <w:t>A</w:t>
      </w:r>
      <w:r w:rsidR="00DE3AB2">
        <w:t>nnual reviews of the cost base and inflationary uplifts to the fees</w:t>
      </w:r>
      <w:r w:rsidR="285B4FCE">
        <w:t xml:space="preserve"> were applied</w:t>
      </w:r>
      <w:r w:rsidR="00DE3AB2">
        <w:t xml:space="preserve"> in</w:t>
      </w:r>
      <w:r w:rsidR="0018548D">
        <w:t xml:space="preserve"> years 3</w:t>
      </w:r>
      <w:r w:rsidR="00DE3AB2">
        <w:t xml:space="preserve"> (2022-23)</w:t>
      </w:r>
      <w:r w:rsidR="0018548D">
        <w:t xml:space="preserve"> and 4</w:t>
      </w:r>
      <w:r w:rsidR="00DE3AB2">
        <w:t xml:space="preserve"> (2023-24)</w:t>
      </w:r>
      <w:r w:rsidR="0018548D">
        <w:t xml:space="preserve">. </w:t>
      </w:r>
      <w:r w:rsidR="00DE3AB2">
        <w:t xml:space="preserve">In addition to reviewing the cost base and fees, the </w:t>
      </w:r>
      <w:r w:rsidR="0018548D">
        <w:t xml:space="preserve">2023 review </w:t>
      </w:r>
      <w:r w:rsidR="0069327B">
        <w:t>considered</w:t>
      </w:r>
      <w:r w:rsidR="0018548D">
        <w:t xml:space="preserve"> the structure, </w:t>
      </w:r>
      <w:r w:rsidR="00113D11" w:rsidDel="005771E5">
        <w:t>mechanism,</w:t>
      </w:r>
      <w:r w:rsidR="0018548D">
        <w:t xml:space="preserve"> and application of charging.</w:t>
      </w:r>
    </w:p>
    <w:p w14:paraId="2F030B87" w14:textId="59F0056C" w:rsidR="004A15ED" w:rsidRDefault="12E29BBE" w:rsidP="00F70BCE">
      <w:pPr>
        <w:pStyle w:val="ParagraphNumbered"/>
        <w:ind w:left="426" w:hanging="426"/>
      </w:pPr>
      <w:r>
        <w:t xml:space="preserve">NICE is in year 4 of </w:t>
      </w:r>
      <w:hyperlink r:id="rId8" w:history="1">
        <w:r w:rsidR="21D61E98" w:rsidRPr="0041598D">
          <w:rPr>
            <w:rStyle w:val="Hyperlink"/>
          </w:rPr>
          <w:t>charging f</w:t>
        </w:r>
        <w:r w:rsidRPr="0041598D">
          <w:rPr>
            <w:rStyle w:val="Hyperlink"/>
          </w:rPr>
          <w:t>or T</w:t>
        </w:r>
        <w:r w:rsidR="202F975E" w:rsidRPr="0041598D">
          <w:rPr>
            <w:rStyle w:val="Hyperlink"/>
          </w:rPr>
          <w:t xml:space="preserve">echnology </w:t>
        </w:r>
        <w:r w:rsidRPr="0041598D">
          <w:rPr>
            <w:rStyle w:val="Hyperlink"/>
          </w:rPr>
          <w:t>A</w:t>
        </w:r>
        <w:r w:rsidR="202F975E" w:rsidRPr="0041598D">
          <w:rPr>
            <w:rStyle w:val="Hyperlink"/>
          </w:rPr>
          <w:t xml:space="preserve">ppraisals </w:t>
        </w:r>
        <w:r w:rsidR="00F47137" w:rsidRPr="0041598D">
          <w:rPr>
            <w:rStyle w:val="Hyperlink"/>
          </w:rPr>
          <w:t xml:space="preserve">(TA) </w:t>
        </w:r>
        <w:r w:rsidRPr="0041598D">
          <w:rPr>
            <w:rStyle w:val="Hyperlink"/>
          </w:rPr>
          <w:t>and H</w:t>
        </w:r>
        <w:r w:rsidR="202F975E" w:rsidRPr="0041598D">
          <w:rPr>
            <w:rStyle w:val="Hyperlink"/>
          </w:rPr>
          <w:t xml:space="preserve">ighly </w:t>
        </w:r>
        <w:r w:rsidRPr="0041598D">
          <w:rPr>
            <w:rStyle w:val="Hyperlink"/>
          </w:rPr>
          <w:t>S</w:t>
        </w:r>
        <w:r w:rsidR="202F975E" w:rsidRPr="0041598D">
          <w:rPr>
            <w:rStyle w:val="Hyperlink"/>
          </w:rPr>
          <w:t xml:space="preserve">pecialised </w:t>
        </w:r>
        <w:r w:rsidRPr="0041598D">
          <w:rPr>
            <w:rStyle w:val="Hyperlink"/>
          </w:rPr>
          <w:t>T</w:t>
        </w:r>
        <w:r w:rsidR="202F975E" w:rsidRPr="0041598D">
          <w:rPr>
            <w:rStyle w:val="Hyperlink"/>
          </w:rPr>
          <w:t>echnologies</w:t>
        </w:r>
        <w:r w:rsidRPr="0041598D">
          <w:rPr>
            <w:rStyle w:val="Hyperlink"/>
          </w:rPr>
          <w:t xml:space="preserve"> </w:t>
        </w:r>
        <w:r w:rsidR="00F47137" w:rsidRPr="0041598D">
          <w:rPr>
            <w:rStyle w:val="Hyperlink"/>
          </w:rPr>
          <w:t>(HST)</w:t>
        </w:r>
      </w:hyperlink>
      <w:r w:rsidR="00F47137">
        <w:t xml:space="preserve"> </w:t>
      </w:r>
      <w:r>
        <w:t xml:space="preserve">and </w:t>
      </w:r>
      <w:r w:rsidR="21D61E98">
        <w:t>is</w:t>
      </w:r>
      <w:r>
        <w:t xml:space="preserve"> yet to</w:t>
      </w:r>
      <w:r w:rsidR="21D61E98">
        <w:t xml:space="preserve"> achieve full cost recovery</w:t>
      </w:r>
      <w:r>
        <w:t xml:space="preserve">. </w:t>
      </w:r>
      <w:r w:rsidR="008C5CFF">
        <w:t>The</w:t>
      </w:r>
      <w:r w:rsidR="21D61E98">
        <w:t xml:space="preserve"> deficit </w:t>
      </w:r>
      <w:r w:rsidR="008C5CFF">
        <w:t>has reduced</w:t>
      </w:r>
      <w:r w:rsidR="21D61E98">
        <w:t xml:space="preserve"> each year,</w:t>
      </w:r>
      <w:r w:rsidR="008C5CFF">
        <w:t xml:space="preserve"> </w:t>
      </w:r>
      <w:r w:rsidR="21D61E98">
        <w:t xml:space="preserve">but </w:t>
      </w:r>
      <w:r w:rsidR="008C5CFF">
        <w:t>w</w:t>
      </w:r>
      <w:r w:rsidR="799BB654">
        <w:t xml:space="preserve">e need to close the gap to comply with </w:t>
      </w:r>
      <w:hyperlink r:id="rId9" w:history="1">
        <w:r w:rsidR="004C57B4" w:rsidRPr="004C57B4">
          <w:rPr>
            <w:rStyle w:val="Hyperlink"/>
          </w:rPr>
          <w:t>HM Treasury’s guidance, Managing Public Money (MPM)</w:t>
        </w:r>
      </w:hyperlink>
      <w:r w:rsidR="007D7A7E">
        <w:rPr>
          <w:rStyle w:val="Hyperlink"/>
        </w:rPr>
        <w:t>,</w:t>
      </w:r>
      <w:r w:rsidR="799BB654">
        <w:t xml:space="preserve"> and  secure the </w:t>
      </w:r>
      <w:r w:rsidR="00377A74">
        <w:t>programme's financial sustainability</w:t>
      </w:r>
      <w:r w:rsidR="799BB654">
        <w:t>.</w:t>
      </w:r>
    </w:p>
    <w:p w14:paraId="2DCA07AD" w14:textId="38AD4C82" w:rsidR="00EF1C40" w:rsidRDefault="006D28F9" w:rsidP="006579D7">
      <w:pPr>
        <w:pStyle w:val="ParagraphNumbered"/>
        <w:ind w:left="426" w:hanging="426"/>
      </w:pPr>
      <w:hyperlink r:id="rId10" w:history="1">
        <w:r w:rsidR="3AAD6777" w:rsidRPr="00A10B98">
          <w:rPr>
            <w:rStyle w:val="Hyperlink"/>
          </w:rPr>
          <w:t>NICE is transforming</w:t>
        </w:r>
      </w:hyperlink>
      <w:r w:rsidR="3AAD6777">
        <w:t xml:space="preserve"> to meet the changing health and care system needs </w:t>
      </w:r>
      <w:r w:rsidR="39B6F55F">
        <w:t>to</w:t>
      </w:r>
      <w:r w:rsidR="137DA9A3">
        <w:t xml:space="preserve"> </w:t>
      </w:r>
      <w:r w:rsidR="3AAD6777">
        <w:t>maintain its role in helping the NHS deliver the most effective and affordable healthcare</w:t>
      </w:r>
      <w:r w:rsidR="39B6F55F">
        <w:t xml:space="preserve">. NICE </w:t>
      </w:r>
      <w:r w:rsidR="3C9B225F">
        <w:t>aims to</w:t>
      </w:r>
      <w:r w:rsidR="011A27E4">
        <w:t xml:space="preserve"> </w:t>
      </w:r>
      <w:r w:rsidR="04B3227C">
        <w:t xml:space="preserve">deliver </w:t>
      </w:r>
      <w:r w:rsidR="31A1ACEC">
        <w:t xml:space="preserve">more relevant, timely, </w:t>
      </w:r>
      <w:r w:rsidR="00876834">
        <w:t>useable,</w:t>
      </w:r>
      <w:r w:rsidR="31A1ACEC">
        <w:t xml:space="preserve"> and impactful guidance</w:t>
      </w:r>
      <w:r w:rsidR="5B53969C">
        <w:t xml:space="preserve">. To support this </w:t>
      </w:r>
      <w:r w:rsidR="31E98FE0">
        <w:t>the TA</w:t>
      </w:r>
      <w:r w:rsidR="00876834">
        <w:t>-</w:t>
      </w:r>
      <w:r w:rsidR="31E98FE0">
        <w:t xml:space="preserve">HST work programme must operate </w:t>
      </w:r>
      <w:r w:rsidR="62429AED">
        <w:t xml:space="preserve">sustainably and efficiently, allowing </w:t>
      </w:r>
      <w:r w:rsidR="56C20B67">
        <w:t>efficient</w:t>
      </w:r>
      <w:r w:rsidR="62429AED">
        <w:t xml:space="preserve"> respon</w:t>
      </w:r>
      <w:r w:rsidR="56C20B67">
        <w:t>ses</w:t>
      </w:r>
      <w:r w:rsidR="31E98FE0">
        <w:t xml:space="preserve"> to </w:t>
      </w:r>
      <w:r w:rsidR="26B069A1">
        <w:t>life science developments</w:t>
      </w:r>
      <w:r w:rsidR="34C883DC">
        <w:t>.</w:t>
      </w:r>
      <w:r w:rsidR="00CC067B">
        <w:t xml:space="preserve"> </w:t>
      </w:r>
      <w:r w:rsidR="7DC29ECC">
        <w:t>To keep pace with the scale of change</w:t>
      </w:r>
      <w:r w:rsidR="6FF07A32">
        <w:t xml:space="preserve"> and</w:t>
      </w:r>
      <w:r w:rsidR="7DC29ECC">
        <w:t xml:space="preserve"> </w:t>
      </w:r>
      <w:r w:rsidR="79FA2CD9">
        <w:t>ensure that charges are accurate, the cost recovery mechanism and principles must be adjusted to reflect</w:t>
      </w:r>
      <w:r w:rsidR="308A2CA9">
        <w:t xml:space="preserve"> current processe</w:t>
      </w:r>
      <w:r w:rsidR="34C883DC">
        <w:t xml:space="preserve">s and practices. </w:t>
      </w:r>
    </w:p>
    <w:p w14:paraId="5FC35168" w14:textId="61785A59" w:rsidR="0085634B" w:rsidRDefault="5267D697" w:rsidP="006E3521">
      <w:pPr>
        <w:pStyle w:val="ParagraphNumbered"/>
        <w:ind w:left="426" w:hanging="426"/>
      </w:pPr>
      <w:r>
        <w:lastRenderedPageBreak/>
        <w:t xml:space="preserve">The </w:t>
      </w:r>
      <w:r w:rsidR="14A3EEB3">
        <w:t>review's findings</w:t>
      </w:r>
      <w:r w:rsidR="5F89108E">
        <w:t xml:space="preserve"> </w:t>
      </w:r>
      <w:r w:rsidR="6C2F8A4D">
        <w:t>have been c</w:t>
      </w:r>
      <w:r w:rsidR="5FE87FCC">
        <w:t>onsider</w:t>
      </w:r>
      <w:r w:rsidR="6C2F8A4D">
        <w:t xml:space="preserve">ed in the context of the regular </w:t>
      </w:r>
      <w:r w:rsidR="66F72EF3">
        <w:t xml:space="preserve">NICE </w:t>
      </w:r>
      <w:r w:rsidR="6C2F8A4D">
        <w:t>business planning cycle</w:t>
      </w:r>
      <w:r w:rsidR="1922D3D0">
        <w:t>.</w:t>
      </w:r>
      <w:r w:rsidR="3488D698">
        <w:t xml:space="preserve"> </w:t>
      </w:r>
      <w:r w:rsidR="1922D3D0">
        <w:t>For the</w:t>
      </w:r>
      <w:r w:rsidR="4E44FF88">
        <w:t xml:space="preserve"> 2</w:t>
      </w:r>
      <w:r w:rsidR="39FA696F">
        <w:t>024-25 business year, t</w:t>
      </w:r>
      <w:r w:rsidR="794C1E1C">
        <w:t xml:space="preserve">he </w:t>
      </w:r>
      <w:r w:rsidR="009050B0">
        <w:t>fee</w:t>
      </w:r>
      <w:r w:rsidR="00410330">
        <w:t>s</w:t>
      </w:r>
      <w:r w:rsidR="009050B0">
        <w:t xml:space="preserve"> </w:t>
      </w:r>
      <w:r w:rsidR="00F31C7C">
        <w:t>for</w:t>
      </w:r>
      <w:r w:rsidR="62B19465">
        <w:t xml:space="preserve"> </w:t>
      </w:r>
      <w:r w:rsidR="1BB4949D">
        <w:t>TA</w:t>
      </w:r>
      <w:r w:rsidR="00B520E9">
        <w:t>-</w:t>
      </w:r>
      <w:r w:rsidR="1BB4949D">
        <w:t>HST guidance evaluations</w:t>
      </w:r>
      <w:r w:rsidR="135ACC0B">
        <w:t xml:space="preserve"> </w:t>
      </w:r>
      <w:r w:rsidR="1BB4949D">
        <w:t>will</w:t>
      </w:r>
      <w:r w:rsidR="39FA696F">
        <w:t xml:space="preserve"> </w:t>
      </w:r>
      <w:r w:rsidR="135ACC0B">
        <w:t xml:space="preserve">increase </w:t>
      </w:r>
      <w:r w:rsidR="39FA696F">
        <w:t>by 23</w:t>
      </w:r>
      <w:r w:rsidR="00165F1F" w:rsidRPr="008F5F0E">
        <w:t>%</w:t>
      </w:r>
      <w:r w:rsidR="0085634B" w:rsidRPr="008F5F0E">
        <w:t>,</w:t>
      </w:r>
      <w:r w:rsidR="00042AEF" w:rsidRPr="008F5F0E">
        <w:t xml:space="preserve"> </w:t>
      </w:r>
      <w:r w:rsidR="00390419" w:rsidRPr="008F5F0E">
        <w:t xml:space="preserve">(see </w:t>
      </w:r>
      <w:hyperlink w:anchor="_Fees_for_2024-25">
        <w:r w:rsidR="008F5F0E" w:rsidRPr="0C8DED13">
          <w:rPr>
            <w:rStyle w:val="Hyperlink"/>
          </w:rPr>
          <w:t>fees for 2024-25</w:t>
        </w:r>
      </w:hyperlink>
      <w:r w:rsidR="00390419" w:rsidRPr="008F5F0E">
        <w:t>)</w:t>
      </w:r>
      <w:r w:rsidR="008F5F0E">
        <w:t>.</w:t>
      </w:r>
    </w:p>
    <w:p w14:paraId="280F05F3" w14:textId="23802782" w:rsidR="007E4092" w:rsidRDefault="00226978" w:rsidP="00226978">
      <w:pPr>
        <w:pStyle w:val="ParagraphNumbered"/>
        <w:ind w:left="426" w:hanging="426"/>
      </w:pPr>
      <w:r>
        <w:t xml:space="preserve">This </w:t>
      </w:r>
      <w:r w:rsidR="007E4092">
        <w:t xml:space="preserve">consultation </w:t>
      </w:r>
      <w:r>
        <w:t xml:space="preserve">paper </w:t>
      </w:r>
      <w:r w:rsidR="007E4092">
        <w:t>includes</w:t>
      </w:r>
      <w:r>
        <w:t xml:space="preserve"> proposals </w:t>
      </w:r>
      <w:r w:rsidR="00431287">
        <w:t>that</w:t>
      </w:r>
      <w:r>
        <w:t xml:space="preserve"> </w:t>
      </w:r>
      <w:r w:rsidR="00431287">
        <w:t>affect</w:t>
      </w:r>
      <w:r>
        <w:t xml:space="preserve"> the </w:t>
      </w:r>
      <w:r w:rsidR="00A6729B">
        <w:t>charging mechanism</w:t>
      </w:r>
      <w:r>
        <w:t xml:space="preserve"> for TA</w:t>
      </w:r>
      <w:r w:rsidR="00D62AA2">
        <w:t>-</w:t>
      </w:r>
      <w:r>
        <w:t xml:space="preserve">HST. </w:t>
      </w:r>
      <w:r w:rsidR="00431287">
        <w:t>They are:</w:t>
      </w:r>
    </w:p>
    <w:p w14:paraId="3D5D8215" w14:textId="77777777" w:rsidR="00FB1B45" w:rsidRDefault="00FB1B45" w:rsidP="00E824EB">
      <w:pPr>
        <w:pStyle w:val="Bullets"/>
        <w:numPr>
          <w:ilvl w:val="0"/>
          <w:numId w:val="9"/>
        </w:numPr>
      </w:pPr>
      <w:r>
        <w:t>Confirming evaluation timelines and commitment to pay</w:t>
      </w:r>
    </w:p>
    <w:p w14:paraId="475443A8" w14:textId="77777777" w:rsidR="007E4092" w:rsidRDefault="007E4092" w:rsidP="00E824EB">
      <w:pPr>
        <w:pStyle w:val="Bullets"/>
        <w:numPr>
          <w:ilvl w:val="0"/>
          <w:numId w:val="9"/>
        </w:numPr>
      </w:pPr>
      <w:r>
        <w:t>Introduction of a change fee</w:t>
      </w:r>
    </w:p>
    <w:p w14:paraId="06B470AE" w14:textId="77777777" w:rsidR="007E4092" w:rsidRDefault="007E4092" w:rsidP="00E824EB">
      <w:pPr>
        <w:pStyle w:val="Bullets"/>
        <w:numPr>
          <w:ilvl w:val="0"/>
          <w:numId w:val="9"/>
        </w:numPr>
      </w:pPr>
      <w:r>
        <w:t>A charge for technical engagement</w:t>
      </w:r>
    </w:p>
    <w:p w14:paraId="53538539" w14:textId="77777777" w:rsidR="007E4092" w:rsidRDefault="007E4092" w:rsidP="00E824EB">
      <w:pPr>
        <w:pStyle w:val="Bullets"/>
        <w:numPr>
          <w:ilvl w:val="0"/>
          <w:numId w:val="9"/>
        </w:numPr>
      </w:pPr>
      <w:r>
        <w:t xml:space="preserve">The charge for pilot topics and amendments to processes </w:t>
      </w:r>
    </w:p>
    <w:p w14:paraId="638ACD90" w14:textId="21EFCD45" w:rsidR="007E4092" w:rsidRDefault="007E4092" w:rsidP="00E824EB">
      <w:pPr>
        <w:pStyle w:val="Bullets"/>
        <w:numPr>
          <w:ilvl w:val="0"/>
          <w:numId w:val="9"/>
        </w:numPr>
      </w:pPr>
      <w:r>
        <w:t>Updates to refund procedures</w:t>
      </w:r>
    </w:p>
    <w:p w14:paraId="24999529" w14:textId="1CD1F205" w:rsidR="00226978" w:rsidRDefault="00226978" w:rsidP="000E5F4A">
      <w:pPr>
        <w:pStyle w:val="ParagraphNumbered"/>
        <w:spacing w:before="240"/>
        <w:ind w:left="426" w:hanging="426"/>
      </w:pPr>
      <w:r>
        <w:t>Th</w:t>
      </w:r>
      <w:r w:rsidR="0072392A">
        <w:t xml:space="preserve">e </w:t>
      </w:r>
      <w:r w:rsidR="009B78D8">
        <w:t>consultation focuses on eliciting stakeholders' feedback</w:t>
      </w:r>
      <w:r>
        <w:t xml:space="preserve"> on the proposals as laid out in </w:t>
      </w:r>
      <w:r w:rsidR="009B78D8">
        <w:t xml:space="preserve">sections </w:t>
      </w:r>
      <w:r w:rsidR="000E5F4A">
        <w:t xml:space="preserve">25 – 61. </w:t>
      </w:r>
      <w:r>
        <w:t xml:space="preserve"> </w:t>
      </w:r>
    </w:p>
    <w:p w14:paraId="4CA0784A" w14:textId="08422B17" w:rsidR="00226978" w:rsidRDefault="00226978" w:rsidP="006E3521">
      <w:pPr>
        <w:pStyle w:val="ParagraphNumbered"/>
        <w:ind w:left="426" w:hanging="426"/>
      </w:pPr>
      <w:r>
        <w:t>We will not be asking for comment on the new fees for 2024-25 (</w:t>
      </w:r>
      <w:hyperlink w:anchor="_Appendix_2_-">
        <w:r w:rsidRPr="0C8DED13">
          <w:rPr>
            <w:rStyle w:val="Hyperlink"/>
          </w:rPr>
          <w:t>appendix 2</w:t>
        </w:r>
      </w:hyperlink>
      <w:r>
        <w:t>)</w:t>
      </w:r>
      <w:r w:rsidR="000E5F4A">
        <w:t xml:space="preserve">. </w:t>
      </w:r>
      <w:r w:rsidR="000E5F4A" w:rsidRPr="000E5F4A">
        <w:t>S</w:t>
      </w:r>
      <w:r w:rsidRPr="000E5F4A">
        <w:t xml:space="preserve">ection </w:t>
      </w:r>
      <w:r w:rsidR="000E5F4A" w:rsidRPr="000E5F4A">
        <w:t>13 - 24</w:t>
      </w:r>
      <w:r>
        <w:t xml:space="preserve"> provides the background to the changes which is </w:t>
      </w:r>
      <w:r w:rsidR="00806198">
        <w:t xml:space="preserve">essential </w:t>
      </w:r>
      <w:r>
        <w:t>for stakeholders to understand.</w:t>
      </w:r>
    </w:p>
    <w:p w14:paraId="1D4755D5" w14:textId="03B42BBF" w:rsidR="0098409D" w:rsidRDefault="0098409D">
      <w:pPr>
        <w:rPr>
          <w:rFonts w:ascii="Arial" w:hAnsi="Arial" w:cs="Arial"/>
          <w:b/>
          <w:bCs/>
          <w:kern w:val="32"/>
          <w:sz w:val="32"/>
          <w:szCs w:val="32"/>
          <w:lang w:eastAsia="en-US"/>
        </w:rPr>
      </w:pPr>
      <w:r>
        <w:br w:type="page"/>
      </w:r>
    </w:p>
    <w:p w14:paraId="1A816A51" w14:textId="0CBF2DA9" w:rsidR="00571DDD" w:rsidRPr="00CE37AE" w:rsidRDefault="00571DDD" w:rsidP="00254E31">
      <w:pPr>
        <w:pStyle w:val="Heading1"/>
      </w:pPr>
      <w:r w:rsidRPr="009C2743">
        <w:lastRenderedPageBreak/>
        <w:t>Introduction</w:t>
      </w:r>
    </w:p>
    <w:p w14:paraId="2F2A4F3E" w14:textId="3D55A304" w:rsidR="00AC7125" w:rsidRPr="00FD2537" w:rsidRDefault="00AC7125" w:rsidP="00AC7125">
      <w:pPr>
        <w:pStyle w:val="ParagraphNumbered"/>
        <w:ind w:left="426" w:hanging="426"/>
        <w:rPr>
          <w:rFonts w:ascii="Lora" w:hAnsi="Lora"/>
          <w:color w:val="0E0E0E"/>
          <w:sz w:val="48"/>
          <w:szCs w:val="48"/>
        </w:rPr>
      </w:pPr>
      <w:r>
        <w:t xml:space="preserve">In April 2019, the transfer of costs to the life sciences industry through </w:t>
      </w:r>
      <w:hyperlink r:id="rId11" w:history="1">
        <w:r w:rsidRPr="00530282">
          <w:rPr>
            <w:rStyle w:val="Hyperlink"/>
          </w:rPr>
          <w:t>a charge for guidance development and publication</w:t>
        </w:r>
      </w:hyperlink>
      <w:r>
        <w:t xml:space="preserve"> was implemented. The transfer was to enable NICE to stabilise its financial position. In the 4 years since its implementation, NICE has been unable to recover its costs within each financial year. This is </w:t>
      </w:r>
      <w:r w:rsidR="008E19A2">
        <w:t xml:space="preserve">even </w:t>
      </w:r>
      <w:r>
        <w:t xml:space="preserve">more pertinent to manage in a challenging fiscal environment and as per the </w:t>
      </w:r>
      <w:hyperlink r:id="rId12" w:history="1">
        <w:r w:rsidR="00596AB2" w:rsidRPr="00DF0026">
          <w:rPr>
            <w:rStyle w:val="Hyperlink"/>
          </w:rPr>
          <w:t>Health and Social Care Act 2012</w:t>
        </w:r>
      </w:hyperlink>
      <w:r w:rsidR="00657C9A">
        <w:t>,</w:t>
      </w:r>
      <w:r>
        <w:t xml:space="preserve"> </w:t>
      </w:r>
      <w:r w:rsidRPr="006321F0">
        <w:t xml:space="preserve">NICE must exercise its functions effectively, </w:t>
      </w:r>
      <w:r w:rsidRPr="008C47C9">
        <w:t>efficiently,</w:t>
      </w:r>
      <w:r w:rsidRPr="006321F0">
        <w:t xml:space="preserve"> and economically</w:t>
      </w:r>
      <w:r>
        <w:t xml:space="preserve">. </w:t>
      </w:r>
    </w:p>
    <w:p w14:paraId="5F6412D8" w14:textId="7AAE2B98" w:rsidR="006F5B21" w:rsidRPr="00275627" w:rsidRDefault="538F393B">
      <w:pPr>
        <w:pStyle w:val="ParagraphNumbered"/>
        <w:ind w:left="426" w:hanging="426"/>
        <w:rPr>
          <w:rFonts w:ascii="Lora" w:hAnsi="Lora"/>
          <w:color w:val="0E0E0E"/>
          <w:sz w:val="48"/>
          <w:szCs w:val="48"/>
        </w:rPr>
      </w:pPr>
      <w:r>
        <w:t xml:space="preserve">The processes and methods for producing </w:t>
      </w:r>
      <w:r w:rsidR="3E05A079">
        <w:t>TA</w:t>
      </w:r>
      <w:r w:rsidR="00DF0026">
        <w:t>-</w:t>
      </w:r>
      <w:r w:rsidR="3E05A079">
        <w:t xml:space="preserve">HST </w:t>
      </w:r>
      <w:r w:rsidR="74107B07">
        <w:t xml:space="preserve">guidance </w:t>
      </w:r>
      <w:r>
        <w:t xml:space="preserve">recommendations </w:t>
      </w:r>
      <w:r w:rsidR="3E05A079">
        <w:t>are routinely updated</w:t>
      </w:r>
      <w:r>
        <w:t xml:space="preserve">. </w:t>
      </w:r>
      <w:r w:rsidR="56864BA4">
        <w:t>A</w:t>
      </w:r>
      <w:r w:rsidR="5F39D654">
        <w:t>ny</w:t>
      </w:r>
      <w:r w:rsidR="56864BA4">
        <w:t xml:space="preserve"> review</w:t>
      </w:r>
      <w:r>
        <w:t xml:space="preserve"> includes extensive engagement with the life sciences industry</w:t>
      </w:r>
      <w:r w:rsidR="002B5C58">
        <w:t>,</w:t>
      </w:r>
      <w:r>
        <w:t xml:space="preserve"> other interested parties</w:t>
      </w:r>
      <w:r w:rsidR="002D16C5">
        <w:t>,</w:t>
      </w:r>
      <w:r>
        <w:t xml:space="preserve"> and public consultation. </w:t>
      </w:r>
      <w:r w:rsidR="6FC4FB02">
        <w:t xml:space="preserve">In </w:t>
      </w:r>
      <w:r w:rsidR="7BCA860D">
        <w:t>January</w:t>
      </w:r>
      <w:r w:rsidR="6FC4FB02">
        <w:t xml:space="preserve"> 2022 t</w:t>
      </w:r>
      <w:r w:rsidR="45BA0592">
        <w:t xml:space="preserve">he </w:t>
      </w:r>
      <w:hyperlink r:id="rId13">
        <w:r w:rsidRPr="0508A24F">
          <w:rPr>
            <w:rStyle w:val="Hyperlink"/>
          </w:rPr>
          <w:t>NICE health technology evaluations: the manual</w:t>
        </w:r>
      </w:hyperlink>
      <w:r w:rsidR="025A1B21">
        <w:t xml:space="preserve"> was published along with the </w:t>
      </w:r>
      <w:hyperlink r:id="rId14">
        <w:r w:rsidR="3D9F3797" w:rsidRPr="0508A24F">
          <w:rPr>
            <w:rStyle w:val="Hyperlink"/>
          </w:rPr>
          <w:t>NICE health technology evaluation topic selection: the manual</w:t>
        </w:r>
        <w:r w:rsidR="72279308" w:rsidRPr="0508A24F">
          <w:rPr>
            <w:rStyle w:val="Hyperlink"/>
          </w:rPr>
          <w:t>.</w:t>
        </w:r>
      </w:hyperlink>
      <w:r w:rsidR="72279308">
        <w:t xml:space="preserve"> The former was updated on 31 October 2023 to reflect the new </w:t>
      </w:r>
      <w:hyperlink r:id="rId15" w:history="1">
        <w:r w:rsidR="72279308" w:rsidRPr="00CA17DB">
          <w:rPr>
            <w:rStyle w:val="Hyperlink"/>
          </w:rPr>
          <w:t>proportionate approach to TA processes</w:t>
        </w:r>
      </w:hyperlink>
      <w:r w:rsidR="72279308">
        <w:t xml:space="preserve">. </w:t>
      </w:r>
      <w:r>
        <w:t xml:space="preserve">NICE now operates several different processes for the development of </w:t>
      </w:r>
      <w:r w:rsidR="66838453">
        <w:t>TA</w:t>
      </w:r>
      <w:r w:rsidR="00D62AA2">
        <w:t>-</w:t>
      </w:r>
      <w:r w:rsidR="66838453">
        <w:t>HST guidance</w:t>
      </w:r>
      <w:r>
        <w:t>:</w:t>
      </w:r>
    </w:p>
    <w:p w14:paraId="1B7E7708" w14:textId="423ED298" w:rsidR="006F5B21" w:rsidRDefault="006F5B21" w:rsidP="008E5430">
      <w:pPr>
        <w:pStyle w:val="Bullets"/>
      </w:pPr>
      <w:r>
        <w:t>S</w:t>
      </w:r>
      <w:r w:rsidR="008B59FE">
        <w:t>ingle Technology Appraisal (STA)</w:t>
      </w:r>
      <w:r w:rsidR="00015E7F">
        <w:t xml:space="preserve"> and Highly Specialised Technologies (HST)</w:t>
      </w:r>
      <w:r w:rsidR="008B59FE">
        <w:t xml:space="preserve"> </w:t>
      </w:r>
    </w:p>
    <w:p w14:paraId="7E9819DA" w14:textId="373FE46A" w:rsidR="006F5B21" w:rsidRDefault="008B59FE" w:rsidP="008E5430">
      <w:pPr>
        <w:pStyle w:val="Bullets"/>
      </w:pPr>
      <w:r>
        <w:t xml:space="preserve">Cost comparison </w:t>
      </w:r>
      <w:r w:rsidR="00054C6A">
        <w:t>(CC)</w:t>
      </w:r>
    </w:p>
    <w:p w14:paraId="149D2AC9" w14:textId="550E7B45" w:rsidR="006F5B21" w:rsidRDefault="008B59FE" w:rsidP="008E5430">
      <w:pPr>
        <w:pStyle w:val="Bullets"/>
      </w:pPr>
      <w:r>
        <w:t xml:space="preserve">Rapid Review (RR) </w:t>
      </w:r>
    </w:p>
    <w:p w14:paraId="197EF145" w14:textId="5F8F5CDB" w:rsidR="009F3ADE" w:rsidRDefault="008B59FE" w:rsidP="008E5430">
      <w:pPr>
        <w:pStyle w:val="Bullets"/>
      </w:pPr>
      <w:r>
        <w:t>Multiple Technology Appraisal (MTA)</w:t>
      </w:r>
    </w:p>
    <w:p w14:paraId="76F5D40C" w14:textId="546A11FC" w:rsidR="0008311A" w:rsidRPr="00684CE4" w:rsidRDefault="0008311A" w:rsidP="0031338A">
      <w:pPr>
        <w:pStyle w:val="ParagraphNumbered"/>
        <w:spacing w:before="240"/>
        <w:ind w:left="426"/>
      </w:pPr>
      <w:r>
        <w:t xml:space="preserve">In accordance with </w:t>
      </w:r>
      <w:hyperlink r:id="rId16">
        <w:r w:rsidRPr="0508A24F">
          <w:rPr>
            <w:rStyle w:val="Hyperlink"/>
          </w:rPr>
          <w:t>UK Statutory Instrument 2018 No.1322</w:t>
        </w:r>
      </w:hyperlink>
      <w:r w:rsidR="004A0383">
        <w:rPr>
          <w:rStyle w:val="Hyperlink"/>
          <w:color w:val="auto"/>
          <w:u w:val="none"/>
        </w:rPr>
        <w:t xml:space="preserve"> a</w:t>
      </w:r>
      <w:r w:rsidR="004A0383" w:rsidRPr="00380271">
        <w:rPr>
          <w:rStyle w:val="Hyperlink"/>
          <w:color w:val="auto"/>
          <w:u w:val="none"/>
        </w:rPr>
        <w:t xml:space="preserve">nd </w:t>
      </w:r>
      <w:hyperlink r:id="rId17" w:history="1">
        <w:r w:rsidR="00380271" w:rsidRPr="004C57B4">
          <w:rPr>
            <w:rStyle w:val="Hyperlink"/>
          </w:rPr>
          <w:t>HM Treasury’s guidance, Managing Public Money (MPM)</w:t>
        </w:r>
      </w:hyperlink>
      <w:r w:rsidR="00380271">
        <w:rPr>
          <w:rStyle w:val="Hyperlink"/>
          <w:color w:val="auto"/>
          <w:u w:val="none"/>
        </w:rPr>
        <w:t>,</w:t>
      </w:r>
      <w:r>
        <w:rPr>
          <w:rStyle w:val="Hyperlink"/>
          <w:color w:val="auto"/>
          <w:u w:val="none"/>
        </w:rPr>
        <w:t xml:space="preserve"> </w:t>
      </w:r>
      <w:r>
        <w:t>NICE must recover the total cost of the guidance development for a TA</w:t>
      </w:r>
      <w:r w:rsidDel="006E3817">
        <w:t xml:space="preserve"> or </w:t>
      </w:r>
      <w:r>
        <w:t>HST from the company that expects to market the technology in England.</w:t>
      </w:r>
    </w:p>
    <w:p w14:paraId="4FD4CCD1" w14:textId="3A1B811E" w:rsidR="0008311A" w:rsidRDefault="0008311A" w:rsidP="0008311A">
      <w:pPr>
        <w:pStyle w:val="ParagraphNumbered"/>
        <w:ind w:left="426"/>
      </w:pPr>
      <w:r w:rsidRPr="0508A24F">
        <w:rPr>
          <w:rFonts w:cs="Arial"/>
        </w:rPr>
        <w:t xml:space="preserve">NICE must recover all costs associated with the evaluation in accordance with existing processes. In line with </w:t>
      </w:r>
      <w:hyperlink r:id="rId18">
        <w:r w:rsidRPr="0508A24F">
          <w:rPr>
            <w:rStyle w:val="Hyperlink"/>
            <w:rFonts w:cs="Arial"/>
          </w:rPr>
          <w:t xml:space="preserve">IFRS 15 Revenue from Contracts with </w:t>
        </w:r>
        <w:r w:rsidRPr="0508A24F">
          <w:rPr>
            <w:rStyle w:val="Hyperlink"/>
            <w:rFonts w:cs="Arial"/>
          </w:rPr>
          <w:lastRenderedPageBreak/>
          <w:t>Customers</w:t>
        </w:r>
      </w:hyperlink>
      <w:r w:rsidRPr="0508A24F">
        <w:rPr>
          <w:rFonts w:cs="Arial"/>
        </w:rPr>
        <w:t>, income is recognised as and when key milestones are completed. To provide an illustrative example, the key milestones included in the charge for an STA are:</w:t>
      </w:r>
    </w:p>
    <w:p w14:paraId="31C23C87" w14:textId="77777777" w:rsidR="0008311A" w:rsidRPr="00A77CA7" w:rsidRDefault="0008311A" w:rsidP="00E824EB">
      <w:pPr>
        <w:pStyle w:val="Bullets"/>
        <w:numPr>
          <w:ilvl w:val="0"/>
          <w:numId w:val="11"/>
        </w:numPr>
      </w:pPr>
      <w:r w:rsidRPr="00A77CA7">
        <w:t xml:space="preserve">Horizon scanning, topic selection, scheduling, and scoping </w:t>
      </w:r>
    </w:p>
    <w:p w14:paraId="0398CF47" w14:textId="77777777" w:rsidR="0008311A" w:rsidRDefault="0008311A" w:rsidP="00E824EB">
      <w:pPr>
        <w:pStyle w:val="Bullets"/>
        <w:numPr>
          <w:ilvl w:val="0"/>
          <w:numId w:val="11"/>
        </w:numPr>
      </w:pPr>
      <w:r>
        <w:t xml:space="preserve">Invitation to </w:t>
      </w:r>
      <w:proofErr w:type="gramStart"/>
      <w:r>
        <w:t>participate</w:t>
      </w:r>
      <w:proofErr w:type="gramEnd"/>
    </w:p>
    <w:p w14:paraId="18548E2B" w14:textId="77777777" w:rsidR="0008311A" w:rsidRDefault="0008311A" w:rsidP="00E824EB">
      <w:pPr>
        <w:pStyle w:val="Bullets"/>
        <w:numPr>
          <w:ilvl w:val="0"/>
          <w:numId w:val="11"/>
        </w:numPr>
      </w:pPr>
      <w:r>
        <w:t>Evidence submission</w:t>
      </w:r>
    </w:p>
    <w:p w14:paraId="7EDEC403" w14:textId="77777777" w:rsidR="0008311A" w:rsidRDefault="0008311A" w:rsidP="00E824EB">
      <w:pPr>
        <w:pStyle w:val="Bullets"/>
        <w:numPr>
          <w:ilvl w:val="0"/>
          <w:numId w:val="11"/>
        </w:numPr>
      </w:pPr>
      <w:r>
        <w:t>External assessment report delivery</w:t>
      </w:r>
    </w:p>
    <w:p w14:paraId="4312905D" w14:textId="77777777" w:rsidR="0008311A" w:rsidRDefault="0008311A" w:rsidP="00E824EB">
      <w:pPr>
        <w:pStyle w:val="Bullets"/>
        <w:numPr>
          <w:ilvl w:val="0"/>
          <w:numId w:val="11"/>
        </w:numPr>
      </w:pPr>
      <w:r>
        <w:t>1st committee meeting</w:t>
      </w:r>
    </w:p>
    <w:p w14:paraId="3A392191" w14:textId="77777777" w:rsidR="0008311A" w:rsidRDefault="0008311A" w:rsidP="00E824EB">
      <w:pPr>
        <w:pStyle w:val="Bullets"/>
        <w:numPr>
          <w:ilvl w:val="0"/>
          <w:numId w:val="11"/>
        </w:numPr>
      </w:pPr>
      <w:r>
        <w:t>2nd committee meeting</w:t>
      </w:r>
    </w:p>
    <w:p w14:paraId="3CC99317" w14:textId="77777777" w:rsidR="0008311A" w:rsidRDefault="0008311A" w:rsidP="00E824EB">
      <w:pPr>
        <w:pStyle w:val="Bullets"/>
        <w:numPr>
          <w:ilvl w:val="0"/>
          <w:numId w:val="11"/>
        </w:numPr>
      </w:pPr>
      <w:r>
        <w:t xml:space="preserve">Final draft guidance </w:t>
      </w:r>
    </w:p>
    <w:p w14:paraId="1C1CA3E9" w14:textId="77777777" w:rsidR="0008311A" w:rsidRPr="00564F1B" w:rsidRDefault="0008311A" w:rsidP="00E824EB">
      <w:pPr>
        <w:pStyle w:val="Bullets"/>
        <w:numPr>
          <w:ilvl w:val="0"/>
          <w:numId w:val="11"/>
        </w:numPr>
      </w:pPr>
      <w:r>
        <w:t>Guidance publication</w:t>
      </w:r>
    </w:p>
    <w:p w14:paraId="45E6CCB7" w14:textId="4DD42832" w:rsidR="00EB3E7C" w:rsidRDefault="00EB3E7C" w:rsidP="007E4092">
      <w:pPr>
        <w:pStyle w:val="ParagraphNumbered"/>
        <w:numPr>
          <w:ilvl w:val="0"/>
          <w:numId w:val="0"/>
        </w:numPr>
        <w:ind w:left="426"/>
      </w:pPr>
    </w:p>
    <w:p w14:paraId="3A6060E2" w14:textId="7591999F" w:rsidR="00F3398B" w:rsidRDefault="00C30FFF" w:rsidP="00AC5E26">
      <w:pPr>
        <w:pStyle w:val="Heading1"/>
      </w:pPr>
      <w:r>
        <w:t>Fees</w:t>
      </w:r>
      <w:r w:rsidR="007860AC">
        <w:t xml:space="preserve"> for 2024-25</w:t>
      </w:r>
    </w:p>
    <w:p w14:paraId="3BE66431" w14:textId="21BAB794" w:rsidR="00E73C9C" w:rsidRDefault="7DE68CAF" w:rsidP="00AC5E26">
      <w:pPr>
        <w:pStyle w:val="ParagraphNumbered"/>
        <w:ind w:left="426" w:hanging="426"/>
      </w:pPr>
      <w:r>
        <w:t xml:space="preserve">In line with </w:t>
      </w:r>
      <w:hyperlink r:id="rId19">
        <w:r w:rsidR="4D629FAD" w:rsidRPr="0508A24F">
          <w:rPr>
            <w:rStyle w:val="Hyperlink"/>
          </w:rPr>
          <w:t xml:space="preserve">HM </w:t>
        </w:r>
        <w:r w:rsidR="06D45246" w:rsidRPr="0508A24F">
          <w:rPr>
            <w:rStyle w:val="Hyperlink"/>
          </w:rPr>
          <w:t xml:space="preserve">Treasury’s </w:t>
        </w:r>
        <w:r w:rsidR="4D629FAD" w:rsidRPr="0508A24F">
          <w:rPr>
            <w:rStyle w:val="Hyperlink"/>
          </w:rPr>
          <w:t>guidance, Managing Public Money (MPM),</w:t>
        </w:r>
      </w:hyperlink>
      <w:r>
        <w:t xml:space="preserve"> NICE </w:t>
      </w:r>
      <w:r w:rsidR="69E83BBC">
        <w:t>has reviewed the</w:t>
      </w:r>
      <w:r>
        <w:t xml:space="preserve"> cost of making</w:t>
      </w:r>
      <w:r w:rsidR="0BB5F386">
        <w:t xml:space="preserve"> TA</w:t>
      </w:r>
      <w:r w:rsidR="00D62AA2">
        <w:t>-</w:t>
      </w:r>
      <w:r w:rsidR="0BB5F386">
        <w:t xml:space="preserve">HST </w:t>
      </w:r>
      <w:r>
        <w:t>recommendations</w:t>
      </w:r>
      <w:r w:rsidR="27CF2596">
        <w:t>.</w:t>
      </w:r>
      <w:r w:rsidR="1801699F">
        <w:t xml:space="preserve"> The </w:t>
      </w:r>
      <w:r w:rsidR="46A0A1AA">
        <w:t xml:space="preserve">charges </w:t>
      </w:r>
      <w:r w:rsidR="1801699F">
        <w:t xml:space="preserve">are based on actual expenditure, </w:t>
      </w:r>
      <w:r w:rsidR="7AE3985E">
        <w:t>including direct</w:t>
      </w:r>
      <w:r w:rsidR="3221BF32">
        <w:t>, indirect, and overhead costs</w:t>
      </w:r>
      <w:r w:rsidR="667D5017">
        <w:t>.</w:t>
      </w:r>
    </w:p>
    <w:p w14:paraId="227BCE72" w14:textId="79E85C84" w:rsidR="00006D07" w:rsidRDefault="76503425" w:rsidP="00AC5E26">
      <w:pPr>
        <w:pStyle w:val="ParagraphNumbered"/>
        <w:ind w:left="426" w:hanging="426"/>
      </w:pPr>
      <w:r>
        <w:t>MPM sets out the main principles for dealing with resources in the UK public sector. This includes the principles for setting fees (</w:t>
      </w:r>
      <w:hyperlink r:id="rId20" w:history="1">
        <w:r w:rsidR="000B4294" w:rsidRPr="00524600">
          <w:rPr>
            <w:rStyle w:val="Hyperlink"/>
          </w:rPr>
          <w:t xml:space="preserve">HM Treasury’s guidance, Managing Public Money (MPM), </w:t>
        </w:r>
        <w:r w:rsidRPr="00524600">
          <w:rPr>
            <w:rStyle w:val="Hyperlink"/>
          </w:rPr>
          <w:t>Chapter 6</w:t>
        </w:r>
      </w:hyperlink>
      <w:r>
        <w:t>). Some of the basic principles applied are:</w:t>
      </w:r>
    </w:p>
    <w:p w14:paraId="0D968DB6" w14:textId="6418FB28" w:rsidR="005F1AD5" w:rsidRPr="005F1AD5" w:rsidRDefault="5C308834" w:rsidP="0031338A">
      <w:pPr>
        <w:pStyle w:val="Bullets"/>
      </w:pPr>
      <w:r>
        <w:t>Set charges to recover full costs (direct</w:t>
      </w:r>
      <w:r w:rsidR="00567B84">
        <w:t>, indirect costs</w:t>
      </w:r>
      <w:r w:rsidR="00613121">
        <w:t>,</w:t>
      </w:r>
      <w:r>
        <w:t xml:space="preserve"> and overheads).</w:t>
      </w:r>
    </w:p>
    <w:p w14:paraId="63C72AB9" w14:textId="77777777" w:rsidR="005F1AD5" w:rsidRPr="005F1AD5" w:rsidRDefault="5C308834" w:rsidP="0031338A">
      <w:pPr>
        <w:pStyle w:val="Bullets"/>
      </w:pPr>
      <w:r>
        <w:t>Set fees to neither profit at the expense of consumers, nor make a loss for taxpayers to subsidise.</w:t>
      </w:r>
    </w:p>
    <w:p w14:paraId="6ABEF078" w14:textId="77777777" w:rsidR="005F1AD5" w:rsidRPr="005F1AD5" w:rsidRDefault="5C308834" w:rsidP="0031338A">
      <w:pPr>
        <w:pStyle w:val="Bullets"/>
      </w:pPr>
      <w:r>
        <w:t>Control costs as if the costs were funded by the taxpayer.</w:t>
      </w:r>
    </w:p>
    <w:p w14:paraId="50C8B113" w14:textId="2640CA9D" w:rsidR="00653C19" w:rsidRDefault="5C308834" w:rsidP="0031338A">
      <w:pPr>
        <w:pStyle w:val="Bullets"/>
      </w:pPr>
      <w:r>
        <w:t xml:space="preserve">Normally require and rely on legislation by ministers (in </w:t>
      </w:r>
      <w:r w:rsidR="00A93855">
        <w:t>NICE’s</w:t>
      </w:r>
      <w:r>
        <w:t xml:space="preserve"> case Statutory Instrument 2018 No: 1322).</w:t>
      </w:r>
    </w:p>
    <w:p w14:paraId="23546198" w14:textId="33F3B003" w:rsidR="007F35DC" w:rsidRDefault="60E80A01" w:rsidP="00D977A1">
      <w:pPr>
        <w:pStyle w:val="ParagraphNumbered"/>
        <w:ind w:left="426" w:hanging="426"/>
      </w:pPr>
      <w:r>
        <w:lastRenderedPageBreak/>
        <w:t xml:space="preserve">Over the last </w:t>
      </w:r>
      <w:r w:rsidR="005B088E">
        <w:t>2</w:t>
      </w:r>
      <w:r>
        <w:t xml:space="preserve"> years, </w:t>
      </w:r>
      <w:r w:rsidR="00956DC4">
        <w:t xml:space="preserve">inflationary changes have required </w:t>
      </w:r>
      <w:r>
        <w:t xml:space="preserve">an uplift in the </w:t>
      </w:r>
      <w:r w:rsidR="00423065">
        <w:t xml:space="preserve">fees </w:t>
      </w:r>
      <w:r w:rsidR="3FADC896">
        <w:t>(</w:t>
      </w:r>
      <w:r w:rsidR="5C7659E2">
        <w:t>predominantly due to centrally set pay awards</w:t>
      </w:r>
      <w:r w:rsidR="3BF35EFD">
        <w:t>)</w:t>
      </w:r>
      <w:r w:rsidR="4EB8B5E1">
        <w:t xml:space="preserve"> </w:t>
      </w:r>
      <w:r w:rsidR="2BD13172">
        <w:t xml:space="preserve">and </w:t>
      </w:r>
      <w:r w:rsidR="78D7E858">
        <w:t>ha</w:t>
      </w:r>
      <w:r w:rsidR="00084373">
        <w:t>ve</w:t>
      </w:r>
      <w:r w:rsidR="019FD670">
        <w:t xml:space="preserve"> </w:t>
      </w:r>
      <w:r w:rsidR="2BD13172">
        <w:t xml:space="preserve">not </w:t>
      </w:r>
      <w:r w:rsidR="6A8543DA">
        <w:t>go</w:t>
      </w:r>
      <w:r w:rsidR="019FD670">
        <w:t>ne</w:t>
      </w:r>
      <w:r w:rsidR="6A8543DA">
        <w:t xml:space="preserve"> </w:t>
      </w:r>
      <w:r w:rsidR="7393AAA0">
        <w:t xml:space="preserve">far enough </w:t>
      </w:r>
      <w:r w:rsidR="1E1DF597">
        <w:t>in</w:t>
      </w:r>
      <w:r w:rsidR="2EEE9A62">
        <w:t xml:space="preserve"> </w:t>
      </w:r>
      <w:r w:rsidR="55A8AC8B">
        <w:t xml:space="preserve">successfully </w:t>
      </w:r>
      <w:r w:rsidR="70A300CB">
        <w:t>managing</w:t>
      </w:r>
      <w:r w:rsidR="0A283F4B">
        <w:t xml:space="preserve"> </w:t>
      </w:r>
      <w:r w:rsidR="6A0A0142">
        <w:t xml:space="preserve">NICE’s </w:t>
      </w:r>
      <w:r w:rsidR="0A283F4B">
        <w:t>deficit</w:t>
      </w:r>
      <w:r w:rsidR="7393AAA0">
        <w:t xml:space="preserve">. </w:t>
      </w:r>
    </w:p>
    <w:p w14:paraId="35422FB6" w14:textId="0CF3A1EA" w:rsidR="00512F5F" w:rsidRDefault="4AD0581E" w:rsidP="00D977A1">
      <w:pPr>
        <w:pStyle w:val="ParagraphNumbered"/>
        <w:ind w:left="426" w:hanging="426"/>
      </w:pPr>
      <w:r>
        <w:t>During the review, we</w:t>
      </w:r>
      <w:r w:rsidR="00084373">
        <w:t xml:space="preserve"> have</w:t>
      </w:r>
      <w:r>
        <w:t xml:space="preserve"> used the full cost methodology </w:t>
      </w:r>
      <w:r w:rsidR="00294417">
        <w:t xml:space="preserve">(as described in </w:t>
      </w:r>
      <w:hyperlink r:id="rId21">
        <w:r w:rsidR="00294417" w:rsidRPr="0508A24F">
          <w:rPr>
            <w:rStyle w:val="Hyperlink"/>
          </w:rPr>
          <w:t>HM Treasury’s guidance, Managing Public Money (MPM),</w:t>
        </w:r>
      </w:hyperlink>
      <w:r w:rsidR="00294417">
        <w:t xml:space="preserve"> </w:t>
      </w:r>
      <w:r>
        <w:t>and considered the following: </w:t>
      </w:r>
    </w:p>
    <w:p w14:paraId="158CE3B4" w14:textId="34326C6C" w:rsidR="00512F5F" w:rsidRPr="00512F5F" w:rsidRDefault="4AD0581E" w:rsidP="0031338A">
      <w:pPr>
        <w:pStyle w:val="Bullets"/>
      </w:pPr>
      <w:r>
        <w:t>Cost base (direct, indirect, and overhead costs)</w:t>
      </w:r>
    </w:p>
    <w:p w14:paraId="59082643" w14:textId="77777777" w:rsidR="00512F5F" w:rsidRPr="00512F5F" w:rsidRDefault="4AD0581E" w:rsidP="0031338A">
      <w:pPr>
        <w:pStyle w:val="Bullets"/>
      </w:pPr>
      <w:r>
        <w:t>Unit capacity and utilisation</w:t>
      </w:r>
    </w:p>
    <w:p w14:paraId="28B0C92F" w14:textId="77777777" w:rsidR="00512F5F" w:rsidRPr="00512F5F" w:rsidRDefault="4AD0581E" w:rsidP="0031338A">
      <w:pPr>
        <w:pStyle w:val="Bullets"/>
      </w:pPr>
      <w:r>
        <w:t>Review of trends in previous years (volume and activity)</w:t>
      </w:r>
    </w:p>
    <w:p w14:paraId="2122D8AF" w14:textId="797CB78C" w:rsidR="00512F5F" w:rsidRPr="00512F5F" w:rsidRDefault="00D07B14" w:rsidP="0031338A">
      <w:pPr>
        <w:pStyle w:val="Bullets"/>
      </w:pPr>
      <w:r>
        <w:t>NICE-wide</w:t>
      </w:r>
      <w:r w:rsidR="4AD0581E">
        <w:t xml:space="preserve"> resources involved in guidance </w:t>
      </w:r>
      <w:proofErr w:type="gramStart"/>
      <w:r w:rsidR="4AD0581E">
        <w:t>production</w:t>
      </w:r>
      <w:proofErr w:type="gramEnd"/>
    </w:p>
    <w:p w14:paraId="50DF656D" w14:textId="77777777" w:rsidR="00512F5F" w:rsidRPr="00512F5F" w:rsidRDefault="4AD0581E" w:rsidP="0031338A">
      <w:pPr>
        <w:pStyle w:val="Bullets"/>
      </w:pPr>
      <w:r>
        <w:t>Inflationary pressures</w:t>
      </w:r>
    </w:p>
    <w:p w14:paraId="2A812D53" w14:textId="235F32E2" w:rsidR="00512F5F" w:rsidRDefault="00FE0350" w:rsidP="0031338A">
      <w:pPr>
        <w:pStyle w:val="Bullets"/>
      </w:pPr>
      <w:r>
        <w:t>T</w:t>
      </w:r>
      <w:r w:rsidR="4AD0581E">
        <w:t>racking internal timesheet data </w:t>
      </w:r>
    </w:p>
    <w:p w14:paraId="51822E26" w14:textId="6568B28C" w:rsidR="00893CA2" w:rsidRPr="00637EAB" w:rsidRDefault="729CA487" w:rsidP="0031338A">
      <w:pPr>
        <w:pStyle w:val="ParagraphNumbered"/>
        <w:spacing w:before="240"/>
        <w:ind w:left="426" w:hanging="426"/>
        <w:rPr>
          <w:rStyle w:val="cf01"/>
          <w:rFonts w:ascii="Arial" w:hAnsi="Arial" w:cs="Times New Roman"/>
          <w:sz w:val="24"/>
          <w:szCs w:val="24"/>
        </w:rPr>
      </w:pPr>
      <w:r w:rsidRPr="0508A24F">
        <w:rPr>
          <w:rStyle w:val="cf01"/>
          <w:rFonts w:ascii="Arial" w:hAnsi="Arial" w:cs="Times New Roman"/>
          <w:sz w:val="24"/>
          <w:szCs w:val="24"/>
        </w:rPr>
        <w:t xml:space="preserve">Table 1 shows the current fees </w:t>
      </w:r>
      <w:r w:rsidR="6D317E76" w:rsidRPr="0508A24F">
        <w:rPr>
          <w:rStyle w:val="cf01"/>
          <w:rFonts w:ascii="Arial" w:hAnsi="Arial" w:cs="Times New Roman"/>
          <w:sz w:val="24"/>
          <w:szCs w:val="24"/>
        </w:rPr>
        <w:t>(</w:t>
      </w:r>
      <w:r w:rsidRPr="0508A24F">
        <w:rPr>
          <w:rStyle w:val="cf01"/>
          <w:rFonts w:ascii="Arial" w:hAnsi="Arial" w:cs="Times New Roman"/>
          <w:sz w:val="24"/>
          <w:szCs w:val="24"/>
        </w:rPr>
        <w:t>introduced on 1 April 2023</w:t>
      </w:r>
      <w:r w:rsidR="6D317E76" w:rsidRPr="0508A24F">
        <w:rPr>
          <w:rStyle w:val="cf01"/>
          <w:rFonts w:ascii="Arial" w:hAnsi="Arial" w:cs="Times New Roman"/>
          <w:sz w:val="24"/>
          <w:szCs w:val="24"/>
        </w:rPr>
        <w:t>)</w:t>
      </w:r>
      <w:r w:rsidRPr="0508A24F">
        <w:rPr>
          <w:rStyle w:val="cf01"/>
          <w:rFonts w:ascii="Arial" w:hAnsi="Arial" w:cs="Times New Roman"/>
          <w:sz w:val="24"/>
          <w:szCs w:val="24"/>
        </w:rPr>
        <w:t xml:space="preserve"> and </w:t>
      </w:r>
      <w:r w:rsidR="00572E84">
        <w:rPr>
          <w:rStyle w:val="cf01"/>
          <w:rFonts w:ascii="Arial" w:hAnsi="Arial" w:cs="Times New Roman"/>
          <w:sz w:val="24"/>
          <w:szCs w:val="24"/>
        </w:rPr>
        <w:t>those</w:t>
      </w:r>
      <w:r w:rsidRPr="0508A24F">
        <w:rPr>
          <w:rStyle w:val="cf01"/>
          <w:rFonts w:ascii="Arial" w:hAnsi="Arial" w:cs="Times New Roman"/>
          <w:sz w:val="24"/>
          <w:szCs w:val="24"/>
        </w:rPr>
        <w:t xml:space="preserve"> effective from 1 April </w:t>
      </w:r>
      <w:r w:rsidR="22398A52" w:rsidRPr="0508A24F">
        <w:rPr>
          <w:rStyle w:val="cf01"/>
          <w:rFonts w:ascii="Arial" w:hAnsi="Arial" w:cs="Times New Roman"/>
          <w:sz w:val="24"/>
          <w:szCs w:val="24"/>
        </w:rPr>
        <w:t xml:space="preserve">2024. </w:t>
      </w:r>
      <w:r w:rsidR="00893CA2" w:rsidRPr="0508A24F">
        <w:rPr>
          <w:rStyle w:val="cf01"/>
          <w:rFonts w:ascii="Arial" w:hAnsi="Arial" w:cs="Times New Roman"/>
          <w:sz w:val="24"/>
          <w:szCs w:val="24"/>
        </w:rPr>
        <w:t>Table 2 outlines the changes in the direct</w:t>
      </w:r>
      <w:r w:rsidR="00E87685">
        <w:rPr>
          <w:rStyle w:val="cf01"/>
          <w:rFonts w:ascii="Arial" w:hAnsi="Arial" w:cs="Times New Roman"/>
          <w:sz w:val="24"/>
          <w:szCs w:val="24"/>
        </w:rPr>
        <w:t xml:space="preserve"> and</w:t>
      </w:r>
      <w:r w:rsidR="00893CA2" w:rsidRPr="0508A24F">
        <w:rPr>
          <w:rStyle w:val="cf01"/>
          <w:rFonts w:ascii="Arial" w:hAnsi="Arial" w:cs="Times New Roman"/>
          <w:sz w:val="24"/>
          <w:szCs w:val="24"/>
        </w:rPr>
        <w:t xml:space="preserve"> indirect costs</w:t>
      </w:r>
      <w:r w:rsidR="00893CA2">
        <w:rPr>
          <w:rStyle w:val="cf01"/>
          <w:rFonts w:ascii="Arial" w:hAnsi="Arial" w:cs="Times New Roman"/>
          <w:sz w:val="24"/>
          <w:szCs w:val="24"/>
        </w:rPr>
        <w:t xml:space="preserve"> and</w:t>
      </w:r>
      <w:r w:rsidR="00893CA2" w:rsidRPr="0508A24F">
        <w:rPr>
          <w:rStyle w:val="cf01"/>
          <w:rFonts w:ascii="Arial" w:hAnsi="Arial" w:cs="Times New Roman"/>
          <w:sz w:val="24"/>
          <w:szCs w:val="24"/>
        </w:rPr>
        <w:t xml:space="preserve"> overheads, </w:t>
      </w:r>
      <w:r w:rsidR="00E52353">
        <w:rPr>
          <w:rStyle w:val="cf01"/>
          <w:rFonts w:ascii="Arial" w:hAnsi="Arial" w:cs="Times New Roman"/>
          <w:sz w:val="24"/>
          <w:szCs w:val="24"/>
        </w:rPr>
        <w:t>as well as</w:t>
      </w:r>
      <w:r w:rsidR="00E52353" w:rsidRPr="0508A24F">
        <w:rPr>
          <w:rStyle w:val="cf01"/>
          <w:rFonts w:ascii="Arial" w:hAnsi="Arial" w:cs="Times New Roman"/>
          <w:sz w:val="24"/>
          <w:szCs w:val="24"/>
        </w:rPr>
        <w:t xml:space="preserve"> </w:t>
      </w:r>
      <w:r w:rsidR="00893CA2" w:rsidRPr="0508A24F">
        <w:rPr>
          <w:rStyle w:val="cf01"/>
          <w:rFonts w:ascii="Arial" w:hAnsi="Arial" w:cs="Times New Roman"/>
          <w:sz w:val="24"/>
          <w:szCs w:val="24"/>
        </w:rPr>
        <w:t xml:space="preserve">the expected units of work between 2023-24 and 2024-25. </w:t>
      </w:r>
    </w:p>
    <w:p w14:paraId="656FE7B8" w14:textId="77777777" w:rsidR="00F01F96" w:rsidRDefault="00F01F96" w:rsidP="009C3E9E">
      <w:pPr>
        <w:pStyle w:val="Tableheading"/>
        <w:spacing w:before="0"/>
        <w:rPr>
          <w:rStyle w:val="cf01"/>
          <w:rFonts w:ascii="Arial" w:hAnsi="Arial" w:cs="Times New Roman"/>
          <w:sz w:val="24"/>
          <w:szCs w:val="24"/>
        </w:rPr>
        <w:sectPr w:rsidR="00F01F96" w:rsidSect="008F6FB7">
          <w:footerReference w:type="default" r:id="rId22"/>
          <w:headerReference w:type="first" r:id="rId23"/>
          <w:footerReference w:type="first" r:id="rId24"/>
          <w:pgSz w:w="11906" w:h="16838"/>
          <w:pgMar w:top="1440" w:right="1800" w:bottom="1440" w:left="1800" w:header="708" w:footer="708" w:gutter="0"/>
          <w:cols w:space="708"/>
          <w:titlePg/>
          <w:docGrid w:linePitch="360"/>
        </w:sectPr>
      </w:pPr>
    </w:p>
    <w:p w14:paraId="456976EC" w14:textId="02E99B26" w:rsidR="000172B7" w:rsidRDefault="000172B7" w:rsidP="009C3E9E">
      <w:pPr>
        <w:pStyle w:val="Tableheading"/>
        <w:spacing w:before="0"/>
        <w:rPr>
          <w:rStyle w:val="cf01"/>
          <w:rFonts w:ascii="Arial" w:hAnsi="Arial" w:cs="Times New Roman"/>
          <w:sz w:val="24"/>
          <w:szCs w:val="24"/>
        </w:rPr>
      </w:pPr>
      <w:r w:rsidRPr="183E352E">
        <w:rPr>
          <w:rStyle w:val="cf01"/>
          <w:rFonts w:ascii="Arial" w:hAnsi="Arial" w:cs="Times New Roman"/>
          <w:sz w:val="24"/>
          <w:szCs w:val="24"/>
        </w:rPr>
        <w:lastRenderedPageBreak/>
        <w:t>Table 1 – current and proposed fees</w:t>
      </w:r>
    </w:p>
    <w:tbl>
      <w:tblPr>
        <w:tblStyle w:val="TableGridLight"/>
        <w:tblW w:w="8272" w:type="dxa"/>
        <w:tblLook w:val="0420" w:firstRow="1" w:lastRow="0" w:firstColumn="0" w:lastColumn="0" w:noHBand="0" w:noVBand="1"/>
      </w:tblPr>
      <w:tblGrid>
        <w:gridCol w:w="3256"/>
        <w:gridCol w:w="992"/>
        <w:gridCol w:w="1276"/>
        <w:gridCol w:w="1480"/>
        <w:gridCol w:w="1268"/>
      </w:tblGrid>
      <w:tr w:rsidR="001237C6" w14:paraId="36B9A52F" w14:textId="77777777" w:rsidTr="00DF6C0E">
        <w:trPr>
          <w:trHeight w:val="336"/>
        </w:trPr>
        <w:tc>
          <w:tcPr>
            <w:tcW w:w="8272" w:type="dxa"/>
            <w:gridSpan w:val="5"/>
          </w:tcPr>
          <w:p w14:paraId="2A3E651C" w14:textId="1E853BA6" w:rsidR="001237C6" w:rsidRPr="00AA3A6C" w:rsidRDefault="001237C6">
            <w:pPr>
              <w:pStyle w:val="Tableheading"/>
            </w:pPr>
            <w:r>
              <w:t xml:space="preserve">Standard </w:t>
            </w:r>
            <w:r w:rsidR="003059AC">
              <w:t>fees</w:t>
            </w:r>
          </w:p>
        </w:tc>
      </w:tr>
      <w:tr w:rsidR="007510A8" w14:paraId="122317EC" w14:textId="77777777" w:rsidTr="00DF6C0E">
        <w:trPr>
          <w:trHeight w:val="1123"/>
        </w:trPr>
        <w:tc>
          <w:tcPr>
            <w:tcW w:w="3256" w:type="dxa"/>
            <w:hideMark/>
          </w:tcPr>
          <w:p w14:paraId="606EF837" w14:textId="0D80AA64" w:rsidR="007510A8" w:rsidRPr="00AA3A6C" w:rsidRDefault="007510A8">
            <w:pPr>
              <w:pStyle w:val="Tableheading"/>
            </w:pPr>
            <w:r w:rsidRPr="00AA3A6C">
              <w:t>P</w:t>
            </w:r>
            <w:r>
              <w:t>rocess</w:t>
            </w:r>
          </w:p>
        </w:tc>
        <w:tc>
          <w:tcPr>
            <w:tcW w:w="992" w:type="dxa"/>
          </w:tcPr>
          <w:p w14:paraId="3575F3A9" w14:textId="1B0E768A" w:rsidR="007510A8" w:rsidRPr="00AA3A6C" w:rsidRDefault="007510A8">
            <w:pPr>
              <w:pStyle w:val="Tableheading"/>
            </w:pPr>
            <w:r>
              <w:t>Unit</w:t>
            </w:r>
          </w:p>
        </w:tc>
        <w:tc>
          <w:tcPr>
            <w:tcW w:w="1276" w:type="dxa"/>
            <w:hideMark/>
          </w:tcPr>
          <w:p w14:paraId="1C354088" w14:textId="77777777" w:rsidR="007510A8" w:rsidRPr="00AA3A6C" w:rsidRDefault="007510A8">
            <w:pPr>
              <w:pStyle w:val="Tableheading"/>
            </w:pPr>
            <w:r w:rsidRPr="00AA3A6C">
              <w:t>Current fees (£)</w:t>
            </w:r>
          </w:p>
        </w:tc>
        <w:tc>
          <w:tcPr>
            <w:tcW w:w="1480" w:type="dxa"/>
            <w:hideMark/>
          </w:tcPr>
          <w:p w14:paraId="41F9601F" w14:textId="77777777" w:rsidR="007510A8" w:rsidRPr="00AA3A6C" w:rsidRDefault="007510A8">
            <w:pPr>
              <w:pStyle w:val="Tableheading"/>
            </w:pPr>
            <w:r w:rsidRPr="00AA3A6C">
              <w:t>Proposed fees from 1 April 2024 (£)</w:t>
            </w:r>
          </w:p>
        </w:tc>
        <w:tc>
          <w:tcPr>
            <w:tcW w:w="1268" w:type="dxa"/>
            <w:hideMark/>
          </w:tcPr>
          <w:p w14:paraId="16E96061" w14:textId="77777777" w:rsidR="007510A8" w:rsidRPr="00AA3A6C" w:rsidRDefault="007510A8">
            <w:pPr>
              <w:pStyle w:val="Tableheading"/>
            </w:pPr>
            <w:r w:rsidRPr="00AA3A6C">
              <w:t>% Increase</w:t>
            </w:r>
          </w:p>
        </w:tc>
      </w:tr>
      <w:tr w:rsidR="007510A8" w14:paraId="52C53469" w14:textId="77777777" w:rsidTr="00DF6C0E">
        <w:trPr>
          <w:trHeight w:val="841"/>
        </w:trPr>
        <w:tc>
          <w:tcPr>
            <w:tcW w:w="3256" w:type="dxa"/>
            <w:hideMark/>
          </w:tcPr>
          <w:p w14:paraId="07924A23" w14:textId="5CA456C7" w:rsidR="007510A8" w:rsidRDefault="007510A8" w:rsidP="00D138BE">
            <w:pPr>
              <w:pStyle w:val="Tabletext"/>
            </w:pPr>
            <w:r w:rsidRPr="00D138BE">
              <w:t>Single Technology Appraisal/Highly Specialised Technologies (STA</w:t>
            </w:r>
            <w:r w:rsidR="00D62AA2">
              <w:t>-</w:t>
            </w:r>
            <w:proofErr w:type="gramStart"/>
            <w:r w:rsidRPr="00D138BE">
              <w:t>HST)</w:t>
            </w:r>
            <w:r>
              <w:t>*</w:t>
            </w:r>
            <w:proofErr w:type="gramEnd"/>
            <w:r>
              <w:br/>
            </w:r>
          </w:p>
          <w:p w14:paraId="6759726D" w14:textId="3EA97FA2" w:rsidR="007510A8" w:rsidRPr="00D138BE" w:rsidRDefault="007510A8" w:rsidP="00D138BE">
            <w:pPr>
              <w:pStyle w:val="Tabletext"/>
            </w:pPr>
            <w:r>
              <w:t>*</w:t>
            </w:r>
            <w:proofErr w:type="gramStart"/>
            <w:r>
              <w:t>includes</w:t>
            </w:r>
            <w:proofErr w:type="gramEnd"/>
            <w:r>
              <w:t xml:space="preserve"> streamlined STA</w:t>
            </w:r>
          </w:p>
        </w:tc>
        <w:tc>
          <w:tcPr>
            <w:tcW w:w="992" w:type="dxa"/>
          </w:tcPr>
          <w:p w14:paraId="70131C09" w14:textId="2BCADE0F" w:rsidR="007510A8" w:rsidRPr="00D138BE" w:rsidRDefault="007510A8" w:rsidP="009C2743">
            <w:pPr>
              <w:pStyle w:val="Tabletext"/>
              <w:jc w:val="right"/>
            </w:pPr>
            <w:r>
              <w:t>1.0</w:t>
            </w:r>
          </w:p>
        </w:tc>
        <w:tc>
          <w:tcPr>
            <w:tcW w:w="1276" w:type="dxa"/>
            <w:hideMark/>
          </w:tcPr>
          <w:p w14:paraId="6D87BA8D" w14:textId="0857D5FD" w:rsidR="007510A8" w:rsidRPr="00D138BE" w:rsidRDefault="007510A8" w:rsidP="009C2743">
            <w:pPr>
              <w:pStyle w:val="Tabletext"/>
              <w:jc w:val="right"/>
            </w:pPr>
            <w:r w:rsidRPr="00D138BE">
              <w:t>151,700</w:t>
            </w:r>
          </w:p>
        </w:tc>
        <w:tc>
          <w:tcPr>
            <w:tcW w:w="1480" w:type="dxa"/>
            <w:hideMark/>
          </w:tcPr>
          <w:p w14:paraId="0B0CB633" w14:textId="508B078F" w:rsidR="007510A8" w:rsidRPr="00D138BE" w:rsidRDefault="007510A8" w:rsidP="009C2743">
            <w:pPr>
              <w:pStyle w:val="Tabletext"/>
              <w:jc w:val="right"/>
            </w:pPr>
            <w:r w:rsidRPr="00D138BE">
              <w:t>186,100</w:t>
            </w:r>
          </w:p>
        </w:tc>
        <w:tc>
          <w:tcPr>
            <w:tcW w:w="1268" w:type="dxa"/>
            <w:hideMark/>
          </w:tcPr>
          <w:p w14:paraId="01B6897D" w14:textId="77777777" w:rsidR="007510A8" w:rsidRPr="00D138BE" w:rsidRDefault="007510A8" w:rsidP="009C2743">
            <w:pPr>
              <w:pStyle w:val="Tabletext"/>
              <w:jc w:val="right"/>
            </w:pPr>
            <w:r w:rsidRPr="00D138BE">
              <w:t>23%</w:t>
            </w:r>
          </w:p>
        </w:tc>
      </w:tr>
      <w:tr w:rsidR="007510A8" w14:paraId="14E81EA5" w14:textId="77777777" w:rsidTr="00DF6C0E">
        <w:trPr>
          <w:trHeight w:val="692"/>
        </w:trPr>
        <w:tc>
          <w:tcPr>
            <w:tcW w:w="3256" w:type="dxa"/>
            <w:hideMark/>
          </w:tcPr>
          <w:p w14:paraId="72787C3B" w14:textId="38A64EBE" w:rsidR="007510A8" w:rsidRPr="00D138BE" w:rsidRDefault="007510A8" w:rsidP="00D138BE">
            <w:pPr>
              <w:pStyle w:val="Tabletext"/>
            </w:pPr>
            <w:r w:rsidRPr="00D138BE">
              <w:t>Cost Comparison/Rapid Review (CC/RR)</w:t>
            </w:r>
          </w:p>
        </w:tc>
        <w:tc>
          <w:tcPr>
            <w:tcW w:w="992" w:type="dxa"/>
          </w:tcPr>
          <w:p w14:paraId="6BBD29C4" w14:textId="72631E2E" w:rsidR="007510A8" w:rsidRPr="00D138BE" w:rsidRDefault="007510A8" w:rsidP="009C2743">
            <w:pPr>
              <w:pStyle w:val="Tabletext"/>
              <w:jc w:val="right"/>
            </w:pPr>
            <w:r>
              <w:t>0.7</w:t>
            </w:r>
          </w:p>
        </w:tc>
        <w:tc>
          <w:tcPr>
            <w:tcW w:w="1276" w:type="dxa"/>
            <w:hideMark/>
          </w:tcPr>
          <w:p w14:paraId="1342DD58" w14:textId="27234511" w:rsidR="007510A8" w:rsidRPr="00D138BE" w:rsidRDefault="007510A8" w:rsidP="009C2743">
            <w:pPr>
              <w:pStyle w:val="Tabletext"/>
              <w:jc w:val="right"/>
            </w:pPr>
            <w:r w:rsidRPr="00D138BE">
              <w:t>106,200</w:t>
            </w:r>
          </w:p>
        </w:tc>
        <w:tc>
          <w:tcPr>
            <w:tcW w:w="1480" w:type="dxa"/>
            <w:hideMark/>
          </w:tcPr>
          <w:p w14:paraId="073240D4" w14:textId="74807EC2" w:rsidR="007510A8" w:rsidRPr="00D138BE" w:rsidRDefault="007510A8" w:rsidP="009C2743">
            <w:pPr>
              <w:pStyle w:val="Tabletext"/>
              <w:jc w:val="right"/>
            </w:pPr>
            <w:r w:rsidRPr="00D138BE">
              <w:t>130,300</w:t>
            </w:r>
          </w:p>
        </w:tc>
        <w:tc>
          <w:tcPr>
            <w:tcW w:w="1268" w:type="dxa"/>
            <w:hideMark/>
          </w:tcPr>
          <w:p w14:paraId="2DEDBFE9" w14:textId="77777777" w:rsidR="007510A8" w:rsidRPr="00D138BE" w:rsidRDefault="007510A8" w:rsidP="009C2743">
            <w:pPr>
              <w:pStyle w:val="Tabletext"/>
              <w:jc w:val="right"/>
            </w:pPr>
            <w:r w:rsidRPr="00D138BE">
              <w:t>23%</w:t>
            </w:r>
          </w:p>
        </w:tc>
      </w:tr>
      <w:tr w:rsidR="007510A8" w14:paraId="286CBBEB" w14:textId="77777777" w:rsidTr="00DF6C0E">
        <w:trPr>
          <w:trHeight w:val="1040"/>
        </w:trPr>
        <w:tc>
          <w:tcPr>
            <w:tcW w:w="3256" w:type="dxa"/>
            <w:hideMark/>
          </w:tcPr>
          <w:p w14:paraId="27EC60FB" w14:textId="3EF6AC0A" w:rsidR="007510A8" w:rsidRPr="00D138BE" w:rsidRDefault="007510A8" w:rsidP="00D138BE">
            <w:pPr>
              <w:pStyle w:val="Tabletext"/>
            </w:pPr>
            <w:r w:rsidRPr="00D138BE">
              <w:t xml:space="preserve">Multiple Technology Appraisal (MTA) </w:t>
            </w:r>
            <w:r>
              <w:t>–</w:t>
            </w:r>
            <w:r w:rsidRPr="00D138BE">
              <w:t xml:space="preserve"> Standard</w:t>
            </w:r>
          </w:p>
        </w:tc>
        <w:tc>
          <w:tcPr>
            <w:tcW w:w="992" w:type="dxa"/>
          </w:tcPr>
          <w:p w14:paraId="7865E257" w14:textId="758E7B70" w:rsidR="007510A8" w:rsidRPr="00D138BE" w:rsidRDefault="00D74983" w:rsidP="009C2743">
            <w:pPr>
              <w:pStyle w:val="Tabletext"/>
              <w:jc w:val="right"/>
            </w:pPr>
            <w:r>
              <w:t>1.5</w:t>
            </w:r>
          </w:p>
        </w:tc>
        <w:tc>
          <w:tcPr>
            <w:tcW w:w="1276" w:type="dxa"/>
            <w:hideMark/>
          </w:tcPr>
          <w:p w14:paraId="32514A23" w14:textId="0F36D62C" w:rsidR="007510A8" w:rsidRPr="00D138BE" w:rsidRDefault="007510A8" w:rsidP="009C2743">
            <w:pPr>
              <w:pStyle w:val="Tabletext"/>
              <w:jc w:val="right"/>
            </w:pPr>
            <w:r w:rsidRPr="00D138BE">
              <w:t>227,600</w:t>
            </w:r>
          </w:p>
        </w:tc>
        <w:tc>
          <w:tcPr>
            <w:tcW w:w="1480" w:type="dxa"/>
            <w:hideMark/>
          </w:tcPr>
          <w:p w14:paraId="7395E918" w14:textId="0CB848FF" w:rsidR="007510A8" w:rsidRPr="00D138BE" w:rsidRDefault="007510A8" w:rsidP="009C2743">
            <w:pPr>
              <w:pStyle w:val="Tabletext"/>
              <w:jc w:val="right"/>
            </w:pPr>
            <w:r w:rsidRPr="00D138BE">
              <w:t>279,200</w:t>
            </w:r>
          </w:p>
        </w:tc>
        <w:tc>
          <w:tcPr>
            <w:tcW w:w="1268" w:type="dxa"/>
            <w:hideMark/>
          </w:tcPr>
          <w:p w14:paraId="591C2964" w14:textId="77777777" w:rsidR="007510A8" w:rsidRPr="00D138BE" w:rsidRDefault="007510A8" w:rsidP="009C2743">
            <w:pPr>
              <w:pStyle w:val="Tabletext"/>
              <w:jc w:val="right"/>
            </w:pPr>
            <w:r w:rsidRPr="00D138BE">
              <w:t>23%</w:t>
            </w:r>
          </w:p>
        </w:tc>
      </w:tr>
      <w:tr w:rsidR="007510A8" w14:paraId="07F7D6EC" w14:textId="77777777" w:rsidTr="00DF6C0E">
        <w:trPr>
          <w:trHeight w:val="1040"/>
        </w:trPr>
        <w:tc>
          <w:tcPr>
            <w:tcW w:w="3256" w:type="dxa"/>
            <w:hideMark/>
          </w:tcPr>
          <w:p w14:paraId="6E71F0FF" w14:textId="71093691" w:rsidR="007510A8" w:rsidRPr="00D138BE" w:rsidRDefault="007510A8" w:rsidP="00D138BE">
            <w:pPr>
              <w:pStyle w:val="Tabletext"/>
            </w:pPr>
            <w:r w:rsidRPr="00D138BE">
              <w:t xml:space="preserve">Multiple Technology Appraisal (MTA) </w:t>
            </w:r>
            <w:r>
              <w:t>–</w:t>
            </w:r>
            <w:r w:rsidRPr="00D138BE">
              <w:t xml:space="preserve"> Complex</w:t>
            </w:r>
          </w:p>
        </w:tc>
        <w:tc>
          <w:tcPr>
            <w:tcW w:w="992" w:type="dxa"/>
          </w:tcPr>
          <w:p w14:paraId="49C9D96E" w14:textId="733666D3" w:rsidR="007510A8" w:rsidRPr="00D138BE" w:rsidRDefault="00D74983" w:rsidP="009C2743">
            <w:pPr>
              <w:pStyle w:val="Tabletext"/>
              <w:jc w:val="right"/>
            </w:pPr>
            <w:r>
              <w:t>2.0</w:t>
            </w:r>
          </w:p>
        </w:tc>
        <w:tc>
          <w:tcPr>
            <w:tcW w:w="1276" w:type="dxa"/>
            <w:hideMark/>
          </w:tcPr>
          <w:p w14:paraId="2437638B" w14:textId="64ED40F2" w:rsidR="007510A8" w:rsidRPr="00D138BE" w:rsidRDefault="007510A8" w:rsidP="009C2743">
            <w:pPr>
              <w:pStyle w:val="Tabletext"/>
              <w:jc w:val="right"/>
            </w:pPr>
            <w:r w:rsidRPr="00D138BE">
              <w:t>303,400</w:t>
            </w:r>
          </w:p>
        </w:tc>
        <w:tc>
          <w:tcPr>
            <w:tcW w:w="1480" w:type="dxa"/>
            <w:hideMark/>
          </w:tcPr>
          <w:p w14:paraId="7BF29D8A" w14:textId="7CE17427" w:rsidR="007510A8" w:rsidRPr="00D138BE" w:rsidRDefault="007510A8" w:rsidP="009C2743">
            <w:pPr>
              <w:pStyle w:val="Tabletext"/>
              <w:jc w:val="right"/>
            </w:pPr>
            <w:r w:rsidRPr="00D138BE">
              <w:t>372,200</w:t>
            </w:r>
          </w:p>
        </w:tc>
        <w:tc>
          <w:tcPr>
            <w:tcW w:w="1268" w:type="dxa"/>
            <w:hideMark/>
          </w:tcPr>
          <w:p w14:paraId="2592B35E" w14:textId="3E2F2C31" w:rsidR="007510A8" w:rsidRPr="00D138BE" w:rsidRDefault="007510A8" w:rsidP="009C2743">
            <w:pPr>
              <w:pStyle w:val="Tabletext"/>
              <w:jc w:val="right"/>
            </w:pPr>
            <w:r w:rsidRPr="00D138BE">
              <w:t>23%</w:t>
            </w:r>
          </w:p>
        </w:tc>
      </w:tr>
      <w:tr w:rsidR="00091E8E" w14:paraId="2B98C645" w14:textId="77777777" w:rsidTr="00DF6C0E">
        <w:trPr>
          <w:trHeight w:val="433"/>
        </w:trPr>
        <w:tc>
          <w:tcPr>
            <w:tcW w:w="8272" w:type="dxa"/>
            <w:gridSpan w:val="5"/>
          </w:tcPr>
          <w:p w14:paraId="74CE5B7D" w14:textId="746211C0" w:rsidR="00091E8E" w:rsidRPr="00091E8E" w:rsidRDefault="00091E8E" w:rsidP="00091E8E">
            <w:pPr>
              <w:pStyle w:val="Tabletext"/>
              <w:rPr>
                <w:b/>
                <w:bCs/>
              </w:rPr>
            </w:pPr>
            <w:r w:rsidRPr="00091E8E">
              <w:rPr>
                <w:b/>
                <w:bCs/>
              </w:rPr>
              <w:t>Small compan</w:t>
            </w:r>
            <w:r w:rsidR="003059AC">
              <w:rPr>
                <w:b/>
                <w:bCs/>
              </w:rPr>
              <w:t>y fees</w:t>
            </w:r>
            <w:r w:rsidR="00775B29">
              <w:rPr>
                <w:b/>
                <w:bCs/>
              </w:rPr>
              <w:t xml:space="preserve"> – 75% discount</w:t>
            </w:r>
          </w:p>
        </w:tc>
      </w:tr>
      <w:tr w:rsidR="001237C6" w14:paraId="7E0AA98A" w14:textId="77777777" w:rsidTr="00DF6C0E">
        <w:trPr>
          <w:trHeight w:val="1040"/>
        </w:trPr>
        <w:tc>
          <w:tcPr>
            <w:tcW w:w="3256" w:type="dxa"/>
          </w:tcPr>
          <w:p w14:paraId="23D857EA" w14:textId="77777777" w:rsidR="001237C6" w:rsidRPr="00091E8E" w:rsidRDefault="001237C6" w:rsidP="001237C6">
            <w:pPr>
              <w:pStyle w:val="Tabletext"/>
              <w:rPr>
                <w:b/>
                <w:bCs/>
              </w:rPr>
            </w:pPr>
          </w:p>
        </w:tc>
        <w:tc>
          <w:tcPr>
            <w:tcW w:w="992" w:type="dxa"/>
          </w:tcPr>
          <w:p w14:paraId="3DB16A93" w14:textId="28A46D52" w:rsidR="001237C6" w:rsidRPr="00091E8E" w:rsidRDefault="001237C6" w:rsidP="001237C6">
            <w:pPr>
              <w:pStyle w:val="Tabletext"/>
              <w:jc w:val="right"/>
              <w:rPr>
                <w:b/>
                <w:bCs/>
              </w:rPr>
            </w:pPr>
            <w:r w:rsidRPr="00091E8E">
              <w:rPr>
                <w:b/>
                <w:bCs/>
              </w:rPr>
              <w:t>Unit</w:t>
            </w:r>
          </w:p>
        </w:tc>
        <w:tc>
          <w:tcPr>
            <w:tcW w:w="1276" w:type="dxa"/>
          </w:tcPr>
          <w:p w14:paraId="5A525694" w14:textId="4702B223" w:rsidR="001237C6" w:rsidRPr="00091E8E" w:rsidRDefault="001237C6" w:rsidP="001237C6">
            <w:pPr>
              <w:pStyle w:val="Tabletext"/>
              <w:jc w:val="right"/>
              <w:rPr>
                <w:b/>
                <w:bCs/>
              </w:rPr>
            </w:pPr>
            <w:r w:rsidRPr="00091E8E">
              <w:rPr>
                <w:b/>
                <w:bCs/>
              </w:rPr>
              <w:t>Current fees (£)</w:t>
            </w:r>
          </w:p>
        </w:tc>
        <w:tc>
          <w:tcPr>
            <w:tcW w:w="1480" w:type="dxa"/>
          </w:tcPr>
          <w:p w14:paraId="23D0490E" w14:textId="4D78D044" w:rsidR="001237C6" w:rsidRPr="00091E8E" w:rsidRDefault="001237C6" w:rsidP="001237C6">
            <w:pPr>
              <w:pStyle w:val="Tabletext"/>
              <w:jc w:val="right"/>
              <w:rPr>
                <w:b/>
                <w:bCs/>
              </w:rPr>
            </w:pPr>
            <w:r w:rsidRPr="00091E8E">
              <w:rPr>
                <w:b/>
                <w:bCs/>
              </w:rPr>
              <w:t>Proposed fees from 1 April 2024 (£)</w:t>
            </w:r>
          </w:p>
        </w:tc>
        <w:tc>
          <w:tcPr>
            <w:tcW w:w="1268" w:type="dxa"/>
          </w:tcPr>
          <w:p w14:paraId="088F5709" w14:textId="2EDA9B98" w:rsidR="001237C6" w:rsidRPr="00091E8E" w:rsidRDefault="001237C6" w:rsidP="001237C6">
            <w:pPr>
              <w:pStyle w:val="Tabletext"/>
              <w:jc w:val="right"/>
              <w:rPr>
                <w:b/>
                <w:bCs/>
              </w:rPr>
            </w:pPr>
            <w:r w:rsidRPr="00091E8E">
              <w:rPr>
                <w:b/>
                <w:bCs/>
              </w:rPr>
              <w:t>% Increase</w:t>
            </w:r>
          </w:p>
        </w:tc>
      </w:tr>
      <w:tr w:rsidR="003059AC" w14:paraId="25249620" w14:textId="77777777" w:rsidTr="00DF6C0E">
        <w:trPr>
          <w:trHeight w:val="1040"/>
        </w:trPr>
        <w:tc>
          <w:tcPr>
            <w:tcW w:w="3256" w:type="dxa"/>
          </w:tcPr>
          <w:p w14:paraId="7D652156" w14:textId="0CCD676D" w:rsidR="003059AC" w:rsidRDefault="003059AC" w:rsidP="003059AC">
            <w:pPr>
              <w:pStyle w:val="Tabletext"/>
            </w:pPr>
            <w:r w:rsidRPr="00D138BE">
              <w:t>Single Technology Appraisal/Highly Specialised Technologies (STA</w:t>
            </w:r>
            <w:r w:rsidR="00D62AA2">
              <w:t>-</w:t>
            </w:r>
            <w:proofErr w:type="gramStart"/>
            <w:r w:rsidRPr="00D138BE">
              <w:t>HST)</w:t>
            </w:r>
            <w:r>
              <w:t>*</w:t>
            </w:r>
            <w:proofErr w:type="gramEnd"/>
            <w:r>
              <w:br/>
            </w:r>
          </w:p>
          <w:p w14:paraId="46A0639F" w14:textId="2BBCC985" w:rsidR="003059AC" w:rsidRDefault="003059AC" w:rsidP="003059AC">
            <w:pPr>
              <w:pStyle w:val="Tabletext"/>
            </w:pPr>
            <w:r>
              <w:t>*</w:t>
            </w:r>
            <w:proofErr w:type="gramStart"/>
            <w:r>
              <w:t>includes</w:t>
            </w:r>
            <w:proofErr w:type="gramEnd"/>
            <w:r>
              <w:t xml:space="preserve"> streamlined STA</w:t>
            </w:r>
          </w:p>
        </w:tc>
        <w:tc>
          <w:tcPr>
            <w:tcW w:w="992" w:type="dxa"/>
          </w:tcPr>
          <w:p w14:paraId="121AA0DC" w14:textId="73D48C69" w:rsidR="003059AC" w:rsidRDefault="003059AC" w:rsidP="003059AC">
            <w:pPr>
              <w:pStyle w:val="Tabletext"/>
              <w:jc w:val="right"/>
            </w:pPr>
            <w:r>
              <w:t>1.0</w:t>
            </w:r>
          </w:p>
        </w:tc>
        <w:tc>
          <w:tcPr>
            <w:tcW w:w="1276" w:type="dxa"/>
          </w:tcPr>
          <w:p w14:paraId="2299C016" w14:textId="7C21F398" w:rsidR="003059AC" w:rsidRPr="00AA3A6C" w:rsidRDefault="003059AC" w:rsidP="003059AC">
            <w:pPr>
              <w:pStyle w:val="Tabletext"/>
              <w:jc w:val="right"/>
            </w:pPr>
            <w:r>
              <w:t>37,925</w:t>
            </w:r>
          </w:p>
        </w:tc>
        <w:tc>
          <w:tcPr>
            <w:tcW w:w="1480" w:type="dxa"/>
          </w:tcPr>
          <w:p w14:paraId="7F6ACD40" w14:textId="2CE39421" w:rsidR="003059AC" w:rsidRPr="00AA3A6C" w:rsidRDefault="00677708" w:rsidP="003059AC">
            <w:pPr>
              <w:pStyle w:val="Tabletext"/>
              <w:jc w:val="right"/>
            </w:pPr>
            <w:r w:rsidRPr="00677708">
              <w:t>46,525</w:t>
            </w:r>
          </w:p>
        </w:tc>
        <w:tc>
          <w:tcPr>
            <w:tcW w:w="1268" w:type="dxa"/>
          </w:tcPr>
          <w:p w14:paraId="3F511878" w14:textId="1278EB8F" w:rsidR="003059AC" w:rsidRPr="00AA3A6C" w:rsidRDefault="003059AC" w:rsidP="003059AC">
            <w:pPr>
              <w:pStyle w:val="Tabletext"/>
              <w:jc w:val="right"/>
            </w:pPr>
            <w:r w:rsidRPr="00D138BE">
              <w:t>23%</w:t>
            </w:r>
          </w:p>
        </w:tc>
      </w:tr>
      <w:tr w:rsidR="003059AC" w14:paraId="2DD61BB4" w14:textId="77777777" w:rsidTr="00DF6C0E">
        <w:trPr>
          <w:trHeight w:val="1040"/>
        </w:trPr>
        <w:tc>
          <w:tcPr>
            <w:tcW w:w="3256" w:type="dxa"/>
          </w:tcPr>
          <w:p w14:paraId="718F3C92" w14:textId="048BAEBD" w:rsidR="003059AC" w:rsidRDefault="003059AC" w:rsidP="003059AC">
            <w:pPr>
              <w:pStyle w:val="Tabletext"/>
            </w:pPr>
            <w:r w:rsidRPr="00D138BE">
              <w:t>Cost Comparison/Rapid Review (CC/RR)</w:t>
            </w:r>
          </w:p>
        </w:tc>
        <w:tc>
          <w:tcPr>
            <w:tcW w:w="992" w:type="dxa"/>
          </w:tcPr>
          <w:p w14:paraId="1F13951E" w14:textId="3C1B9EB7" w:rsidR="003059AC" w:rsidRDefault="003059AC" w:rsidP="003059AC">
            <w:pPr>
              <w:pStyle w:val="Tabletext"/>
              <w:jc w:val="right"/>
            </w:pPr>
            <w:r>
              <w:t>0.7</w:t>
            </w:r>
          </w:p>
        </w:tc>
        <w:tc>
          <w:tcPr>
            <w:tcW w:w="1276" w:type="dxa"/>
          </w:tcPr>
          <w:p w14:paraId="4D4C5EEA" w14:textId="03A8902D" w:rsidR="003059AC" w:rsidRPr="00AA3A6C" w:rsidRDefault="00857F18" w:rsidP="003059AC">
            <w:pPr>
              <w:pStyle w:val="Tabletext"/>
              <w:jc w:val="right"/>
            </w:pPr>
            <w:r w:rsidRPr="00857F18">
              <w:t>26,550</w:t>
            </w:r>
          </w:p>
        </w:tc>
        <w:tc>
          <w:tcPr>
            <w:tcW w:w="1480" w:type="dxa"/>
          </w:tcPr>
          <w:p w14:paraId="05E207A2" w14:textId="4896DDE9" w:rsidR="003059AC" w:rsidRPr="00AA3A6C" w:rsidRDefault="00857F18" w:rsidP="003059AC">
            <w:pPr>
              <w:pStyle w:val="Tabletext"/>
              <w:jc w:val="right"/>
            </w:pPr>
            <w:r w:rsidRPr="00857F18">
              <w:t>32,575</w:t>
            </w:r>
          </w:p>
        </w:tc>
        <w:tc>
          <w:tcPr>
            <w:tcW w:w="1268" w:type="dxa"/>
          </w:tcPr>
          <w:p w14:paraId="4B4B9669" w14:textId="43F1830C" w:rsidR="003059AC" w:rsidRPr="00AA3A6C" w:rsidRDefault="003059AC" w:rsidP="003059AC">
            <w:pPr>
              <w:pStyle w:val="Tabletext"/>
              <w:jc w:val="right"/>
            </w:pPr>
            <w:r w:rsidRPr="00D138BE">
              <w:t>23%</w:t>
            </w:r>
          </w:p>
        </w:tc>
      </w:tr>
      <w:tr w:rsidR="00775B29" w14:paraId="157EB27C" w14:textId="77777777" w:rsidTr="00DF6C0E">
        <w:trPr>
          <w:trHeight w:val="1040"/>
        </w:trPr>
        <w:tc>
          <w:tcPr>
            <w:tcW w:w="3256" w:type="dxa"/>
          </w:tcPr>
          <w:p w14:paraId="14BB2FF4" w14:textId="268DDB12" w:rsidR="00775B29" w:rsidRPr="00D138BE" w:rsidRDefault="00775B29" w:rsidP="00CA7634">
            <w:pPr>
              <w:pStyle w:val="Tabletext"/>
            </w:pPr>
            <w:r w:rsidRPr="00D138BE">
              <w:t xml:space="preserve">Multiple Technology Appraisal (MTA) </w:t>
            </w:r>
            <w:r>
              <w:t>–</w:t>
            </w:r>
            <w:r w:rsidRPr="00D138BE">
              <w:t xml:space="preserve"> Standard</w:t>
            </w:r>
          </w:p>
        </w:tc>
        <w:tc>
          <w:tcPr>
            <w:tcW w:w="5016" w:type="dxa"/>
            <w:gridSpan w:val="4"/>
            <w:vMerge w:val="restart"/>
          </w:tcPr>
          <w:p w14:paraId="483BC755" w14:textId="77777777" w:rsidR="003059AC" w:rsidRDefault="00775B29" w:rsidP="00CA7634">
            <w:pPr>
              <w:pStyle w:val="Tabletext"/>
              <w:jc w:val="right"/>
            </w:pPr>
            <w:r>
              <w:t xml:space="preserve">See </w:t>
            </w:r>
            <w:r w:rsidR="003059AC">
              <w:t>standard fees.</w:t>
            </w:r>
          </w:p>
          <w:p w14:paraId="41E551C4" w14:textId="30B5C463" w:rsidR="00775B29" w:rsidRPr="00AA3A6C" w:rsidRDefault="00775B29" w:rsidP="00CA7634">
            <w:pPr>
              <w:pStyle w:val="Tabletext"/>
              <w:jc w:val="right"/>
            </w:pPr>
            <w:r w:rsidRPr="00775B29">
              <w:t>Charges are split between participating companies and the 75% discount applies to any participating small companies.</w:t>
            </w:r>
          </w:p>
        </w:tc>
      </w:tr>
      <w:tr w:rsidR="00775B29" w14:paraId="236764CC" w14:textId="77777777" w:rsidTr="00DF6C0E">
        <w:trPr>
          <w:trHeight w:val="1040"/>
        </w:trPr>
        <w:tc>
          <w:tcPr>
            <w:tcW w:w="3256" w:type="dxa"/>
          </w:tcPr>
          <w:p w14:paraId="0E08BD60" w14:textId="2B1A031A" w:rsidR="00775B29" w:rsidRPr="00D138BE" w:rsidRDefault="00775B29" w:rsidP="00CA7634">
            <w:pPr>
              <w:pStyle w:val="Tabletext"/>
            </w:pPr>
            <w:r w:rsidRPr="00D138BE">
              <w:t xml:space="preserve">Multiple Technology Appraisal (MTA) </w:t>
            </w:r>
            <w:r>
              <w:t>–</w:t>
            </w:r>
            <w:r w:rsidRPr="00D138BE">
              <w:t xml:space="preserve"> Complex</w:t>
            </w:r>
          </w:p>
        </w:tc>
        <w:tc>
          <w:tcPr>
            <w:tcW w:w="5016" w:type="dxa"/>
            <w:gridSpan w:val="4"/>
            <w:vMerge/>
          </w:tcPr>
          <w:p w14:paraId="59656F30" w14:textId="77777777" w:rsidR="00775B29" w:rsidRPr="00AA3A6C" w:rsidRDefault="00775B29" w:rsidP="00CA7634">
            <w:pPr>
              <w:pStyle w:val="Tabletext"/>
              <w:jc w:val="right"/>
            </w:pPr>
          </w:p>
        </w:tc>
      </w:tr>
    </w:tbl>
    <w:p w14:paraId="11D9EC60" w14:textId="77777777" w:rsidR="000E5F4A" w:rsidRDefault="000E5F4A" w:rsidP="183E352E">
      <w:pPr>
        <w:pStyle w:val="ParagraphNumbered"/>
        <w:numPr>
          <w:ilvl w:val="0"/>
          <w:numId w:val="0"/>
        </w:numPr>
        <w:ind w:left="720"/>
        <w:rPr>
          <w:rStyle w:val="cf01"/>
          <w:rFonts w:ascii="Arial" w:hAnsi="Arial" w:cs="Times New Roman"/>
          <w:sz w:val="24"/>
          <w:szCs w:val="24"/>
          <w:lang w:eastAsia="en-GB"/>
        </w:rPr>
        <w:sectPr w:rsidR="000E5F4A" w:rsidSect="008F6FB7">
          <w:pgSz w:w="11906" w:h="16838"/>
          <w:pgMar w:top="1440" w:right="1800" w:bottom="1440" w:left="1800" w:header="708" w:footer="708" w:gutter="0"/>
          <w:cols w:space="708"/>
          <w:titlePg/>
          <w:docGrid w:linePitch="360"/>
        </w:sectPr>
      </w:pPr>
    </w:p>
    <w:p w14:paraId="2DC57B74" w14:textId="77777777" w:rsidR="00F61B8B" w:rsidRDefault="00F61B8B" w:rsidP="00F61B8B">
      <w:pPr>
        <w:pStyle w:val="Tableheading"/>
        <w:spacing w:after="0"/>
        <w:rPr>
          <w:rStyle w:val="cf01"/>
          <w:rFonts w:ascii="Arial" w:hAnsi="Arial" w:cs="Times New Roman"/>
          <w:sz w:val="24"/>
          <w:szCs w:val="24"/>
        </w:rPr>
      </w:pPr>
      <w:r>
        <w:rPr>
          <w:rStyle w:val="cf01"/>
          <w:rFonts w:ascii="Arial" w:hAnsi="Arial" w:cs="Times New Roman"/>
          <w:sz w:val="24"/>
          <w:szCs w:val="24"/>
        </w:rPr>
        <w:lastRenderedPageBreak/>
        <w:t>Table 2 – key changes to fees</w:t>
      </w:r>
    </w:p>
    <w:tbl>
      <w:tblPr>
        <w:tblStyle w:val="TableGridLight"/>
        <w:tblW w:w="6645" w:type="dxa"/>
        <w:tblLayout w:type="fixed"/>
        <w:tblLook w:val="0420" w:firstRow="1" w:lastRow="0" w:firstColumn="0" w:lastColumn="0" w:noHBand="0" w:noVBand="1"/>
      </w:tblPr>
      <w:tblGrid>
        <w:gridCol w:w="2215"/>
        <w:gridCol w:w="2215"/>
        <w:gridCol w:w="2215"/>
      </w:tblGrid>
      <w:tr w:rsidR="00F61B8B" w14:paraId="52E5924D" w14:textId="77777777" w:rsidTr="00E24D8C">
        <w:trPr>
          <w:trHeight w:val="758"/>
        </w:trPr>
        <w:tc>
          <w:tcPr>
            <w:tcW w:w="2215" w:type="dxa"/>
            <w:hideMark/>
          </w:tcPr>
          <w:p w14:paraId="0C1DDC13" w14:textId="77777777" w:rsidR="00F61B8B" w:rsidRDefault="00F61B8B" w:rsidP="00E24D8C">
            <w:pPr>
              <w:pStyle w:val="Tableheading"/>
              <w:rPr>
                <w:sz w:val="36"/>
                <w:szCs w:val="36"/>
              </w:rPr>
            </w:pPr>
            <w:r>
              <w:t>Costs (£000)</w:t>
            </w:r>
          </w:p>
        </w:tc>
        <w:tc>
          <w:tcPr>
            <w:tcW w:w="2215" w:type="dxa"/>
            <w:hideMark/>
          </w:tcPr>
          <w:p w14:paraId="70906A97" w14:textId="77777777" w:rsidR="00F61B8B" w:rsidRDefault="00F61B8B" w:rsidP="00E24D8C">
            <w:pPr>
              <w:pStyle w:val="Tableheading"/>
              <w:rPr>
                <w:sz w:val="36"/>
                <w:szCs w:val="36"/>
              </w:rPr>
            </w:pPr>
            <w:r>
              <w:t>2023-24</w:t>
            </w:r>
          </w:p>
        </w:tc>
        <w:tc>
          <w:tcPr>
            <w:tcW w:w="2215" w:type="dxa"/>
            <w:hideMark/>
          </w:tcPr>
          <w:p w14:paraId="6F560AB4" w14:textId="77777777" w:rsidR="00F61B8B" w:rsidRDefault="00F61B8B" w:rsidP="00E24D8C">
            <w:pPr>
              <w:pStyle w:val="Tableheading"/>
              <w:rPr>
                <w:sz w:val="36"/>
                <w:szCs w:val="36"/>
              </w:rPr>
            </w:pPr>
            <w:r>
              <w:t>2024-25</w:t>
            </w:r>
          </w:p>
        </w:tc>
      </w:tr>
      <w:tr w:rsidR="00F61B8B" w14:paraId="7BC67C3C" w14:textId="77777777" w:rsidTr="00E24D8C">
        <w:trPr>
          <w:trHeight w:val="523"/>
        </w:trPr>
        <w:tc>
          <w:tcPr>
            <w:tcW w:w="2215" w:type="dxa"/>
            <w:hideMark/>
          </w:tcPr>
          <w:p w14:paraId="4C2A7800" w14:textId="77777777" w:rsidR="00F61B8B" w:rsidRDefault="00F61B8B" w:rsidP="00E24D8C">
            <w:pPr>
              <w:pStyle w:val="Tabletext"/>
              <w:rPr>
                <w:sz w:val="36"/>
                <w:szCs w:val="36"/>
              </w:rPr>
            </w:pPr>
            <w:r>
              <w:t>Direct costs</w:t>
            </w:r>
          </w:p>
        </w:tc>
        <w:tc>
          <w:tcPr>
            <w:tcW w:w="2215" w:type="dxa"/>
          </w:tcPr>
          <w:p w14:paraId="144A84A6" w14:textId="77777777" w:rsidR="00F61B8B" w:rsidRDefault="00F61B8B" w:rsidP="00E24D8C">
            <w:pPr>
              <w:pStyle w:val="Tabletext"/>
              <w:jc w:val="right"/>
              <w:rPr>
                <w:sz w:val="36"/>
                <w:szCs w:val="36"/>
              </w:rPr>
            </w:pPr>
            <w:r w:rsidDel="00145A70">
              <w:t>8,575</w:t>
            </w:r>
          </w:p>
        </w:tc>
        <w:tc>
          <w:tcPr>
            <w:tcW w:w="2215" w:type="dxa"/>
          </w:tcPr>
          <w:p w14:paraId="09CF9652" w14:textId="77777777" w:rsidR="00F61B8B" w:rsidRDefault="00F61B8B" w:rsidP="00E24D8C">
            <w:pPr>
              <w:pStyle w:val="Tabletext"/>
              <w:jc w:val="right"/>
              <w:rPr>
                <w:sz w:val="36"/>
                <w:szCs w:val="36"/>
              </w:rPr>
            </w:pPr>
            <w:r w:rsidDel="00145A70">
              <w:t>9,387</w:t>
            </w:r>
          </w:p>
        </w:tc>
      </w:tr>
      <w:tr w:rsidR="00F61B8B" w14:paraId="37E8A70D" w14:textId="77777777" w:rsidTr="00E24D8C">
        <w:trPr>
          <w:trHeight w:val="545"/>
        </w:trPr>
        <w:tc>
          <w:tcPr>
            <w:tcW w:w="2215" w:type="dxa"/>
            <w:hideMark/>
          </w:tcPr>
          <w:p w14:paraId="08990FB3" w14:textId="77777777" w:rsidR="00F61B8B" w:rsidRDefault="00F61B8B" w:rsidP="00E24D8C">
            <w:pPr>
              <w:pStyle w:val="Tabletext"/>
              <w:rPr>
                <w:sz w:val="36"/>
                <w:szCs w:val="36"/>
              </w:rPr>
            </w:pPr>
            <w:r>
              <w:t>Indirect costs</w:t>
            </w:r>
          </w:p>
        </w:tc>
        <w:tc>
          <w:tcPr>
            <w:tcW w:w="2215" w:type="dxa"/>
          </w:tcPr>
          <w:p w14:paraId="72FBE9EA" w14:textId="77777777" w:rsidR="00F61B8B" w:rsidRDefault="00F61B8B" w:rsidP="00E24D8C">
            <w:pPr>
              <w:pStyle w:val="Tabletext"/>
              <w:jc w:val="right"/>
              <w:rPr>
                <w:sz w:val="36"/>
                <w:szCs w:val="36"/>
              </w:rPr>
            </w:pPr>
            <w:r w:rsidDel="00145A70">
              <w:t>2,426</w:t>
            </w:r>
          </w:p>
        </w:tc>
        <w:tc>
          <w:tcPr>
            <w:tcW w:w="2215" w:type="dxa"/>
          </w:tcPr>
          <w:p w14:paraId="4549B66F" w14:textId="77777777" w:rsidR="00F61B8B" w:rsidRDefault="00F61B8B" w:rsidP="00E24D8C">
            <w:pPr>
              <w:pStyle w:val="Tabletext"/>
              <w:jc w:val="right"/>
              <w:rPr>
                <w:sz w:val="36"/>
                <w:szCs w:val="36"/>
              </w:rPr>
            </w:pPr>
            <w:r>
              <w:t>3,113</w:t>
            </w:r>
          </w:p>
        </w:tc>
      </w:tr>
      <w:tr w:rsidR="00F61B8B" w14:paraId="1994A454" w14:textId="77777777" w:rsidTr="00E24D8C">
        <w:trPr>
          <w:trHeight w:val="523"/>
        </w:trPr>
        <w:tc>
          <w:tcPr>
            <w:tcW w:w="2215" w:type="dxa"/>
            <w:hideMark/>
          </w:tcPr>
          <w:p w14:paraId="735D78AF" w14:textId="77777777" w:rsidR="00F61B8B" w:rsidRDefault="00F61B8B" w:rsidP="00E24D8C">
            <w:pPr>
              <w:pStyle w:val="Tabletext"/>
              <w:rPr>
                <w:sz w:val="36"/>
                <w:szCs w:val="36"/>
              </w:rPr>
            </w:pPr>
            <w:r>
              <w:t>Overhead</w:t>
            </w:r>
          </w:p>
        </w:tc>
        <w:tc>
          <w:tcPr>
            <w:tcW w:w="2215" w:type="dxa"/>
          </w:tcPr>
          <w:p w14:paraId="63EBBF0B" w14:textId="77777777" w:rsidR="00F61B8B" w:rsidRDefault="00F61B8B" w:rsidP="00E24D8C">
            <w:pPr>
              <w:pStyle w:val="Tabletext"/>
              <w:jc w:val="right"/>
              <w:rPr>
                <w:sz w:val="36"/>
                <w:szCs w:val="36"/>
              </w:rPr>
            </w:pPr>
            <w:r w:rsidDel="00145A70">
              <w:t>1,967</w:t>
            </w:r>
          </w:p>
        </w:tc>
        <w:tc>
          <w:tcPr>
            <w:tcW w:w="2215" w:type="dxa"/>
          </w:tcPr>
          <w:p w14:paraId="660CF15F" w14:textId="77777777" w:rsidR="00F61B8B" w:rsidRDefault="00F61B8B" w:rsidP="00E24D8C">
            <w:pPr>
              <w:pStyle w:val="Tabletext"/>
              <w:jc w:val="right"/>
              <w:rPr>
                <w:sz w:val="36"/>
                <w:szCs w:val="36"/>
              </w:rPr>
            </w:pPr>
            <w:r>
              <w:t>2,389</w:t>
            </w:r>
          </w:p>
        </w:tc>
      </w:tr>
      <w:tr w:rsidR="00F61B8B" w14:paraId="2ED790B7" w14:textId="77777777" w:rsidTr="00E24D8C">
        <w:trPr>
          <w:trHeight w:val="758"/>
        </w:trPr>
        <w:tc>
          <w:tcPr>
            <w:tcW w:w="2215" w:type="dxa"/>
            <w:hideMark/>
          </w:tcPr>
          <w:p w14:paraId="7670E3AF" w14:textId="77777777" w:rsidR="00F61B8B" w:rsidRDefault="00F61B8B" w:rsidP="00E24D8C">
            <w:pPr>
              <w:pStyle w:val="Tabletext"/>
              <w:rPr>
                <w:sz w:val="36"/>
                <w:szCs w:val="36"/>
              </w:rPr>
            </w:pPr>
            <w:r>
              <w:rPr>
                <w:b/>
                <w:bCs/>
              </w:rPr>
              <w:t>Total costs</w:t>
            </w:r>
          </w:p>
        </w:tc>
        <w:tc>
          <w:tcPr>
            <w:tcW w:w="2215" w:type="dxa"/>
            <w:hideMark/>
          </w:tcPr>
          <w:p w14:paraId="63DBA11D" w14:textId="77777777" w:rsidR="00F61B8B" w:rsidRDefault="00F61B8B" w:rsidP="00E24D8C">
            <w:pPr>
              <w:pStyle w:val="Tabletext"/>
              <w:jc w:val="right"/>
              <w:rPr>
                <w:sz w:val="36"/>
                <w:szCs w:val="36"/>
              </w:rPr>
            </w:pPr>
            <w:r>
              <w:rPr>
                <w:b/>
                <w:bCs/>
              </w:rPr>
              <w:t>12,968</w:t>
            </w:r>
          </w:p>
        </w:tc>
        <w:tc>
          <w:tcPr>
            <w:tcW w:w="2215" w:type="dxa"/>
            <w:hideMark/>
          </w:tcPr>
          <w:p w14:paraId="7BC0CF24" w14:textId="77777777" w:rsidR="00F61B8B" w:rsidRDefault="00F61B8B" w:rsidP="00E24D8C">
            <w:pPr>
              <w:pStyle w:val="Tabletext"/>
              <w:jc w:val="right"/>
              <w:rPr>
                <w:sz w:val="36"/>
                <w:szCs w:val="36"/>
              </w:rPr>
            </w:pPr>
            <w:r>
              <w:rPr>
                <w:b/>
                <w:bCs/>
              </w:rPr>
              <w:t>14,889</w:t>
            </w:r>
          </w:p>
        </w:tc>
      </w:tr>
      <w:tr w:rsidR="00F61B8B" w14:paraId="72C0419D" w14:textId="77777777" w:rsidTr="00E24D8C">
        <w:trPr>
          <w:trHeight w:val="523"/>
        </w:trPr>
        <w:tc>
          <w:tcPr>
            <w:tcW w:w="2215" w:type="dxa"/>
            <w:hideMark/>
          </w:tcPr>
          <w:p w14:paraId="1ED7810B" w14:textId="77777777" w:rsidR="00F61B8B" w:rsidRDefault="00F61B8B" w:rsidP="00E24D8C">
            <w:pPr>
              <w:pStyle w:val="Tabletext"/>
              <w:rPr>
                <w:sz w:val="36"/>
                <w:szCs w:val="36"/>
              </w:rPr>
            </w:pPr>
            <w:r>
              <w:rPr>
                <w:b/>
                <w:bCs/>
              </w:rPr>
              <w:t>Volumes (units)</w:t>
            </w:r>
          </w:p>
        </w:tc>
        <w:tc>
          <w:tcPr>
            <w:tcW w:w="2215" w:type="dxa"/>
            <w:hideMark/>
          </w:tcPr>
          <w:p w14:paraId="4C7E3E30" w14:textId="77777777" w:rsidR="00F61B8B" w:rsidRDefault="00F61B8B" w:rsidP="00E24D8C">
            <w:pPr>
              <w:pStyle w:val="Tabletext"/>
              <w:jc w:val="right"/>
              <w:rPr>
                <w:sz w:val="36"/>
                <w:szCs w:val="36"/>
              </w:rPr>
            </w:pPr>
            <w:r>
              <w:rPr>
                <w:b/>
                <w:bCs/>
              </w:rPr>
              <w:t>85.5</w:t>
            </w:r>
          </w:p>
        </w:tc>
        <w:tc>
          <w:tcPr>
            <w:tcW w:w="2215" w:type="dxa"/>
            <w:hideMark/>
          </w:tcPr>
          <w:p w14:paraId="2224A44F" w14:textId="2A342698" w:rsidR="00F61B8B" w:rsidRDefault="00F61B8B" w:rsidP="00E24D8C">
            <w:pPr>
              <w:pStyle w:val="Tabletext"/>
              <w:jc w:val="right"/>
              <w:rPr>
                <w:sz w:val="36"/>
                <w:szCs w:val="36"/>
              </w:rPr>
            </w:pPr>
            <w:r>
              <w:rPr>
                <w:b/>
                <w:bCs/>
              </w:rPr>
              <w:t>80</w:t>
            </w:r>
          </w:p>
        </w:tc>
      </w:tr>
      <w:tr w:rsidR="00F61B8B" w14:paraId="5CE563DC" w14:textId="77777777" w:rsidTr="00E24D8C">
        <w:trPr>
          <w:trHeight w:val="545"/>
        </w:trPr>
        <w:tc>
          <w:tcPr>
            <w:tcW w:w="2215" w:type="dxa"/>
            <w:hideMark/>
          </w:tcPr>
          <w:p w14:paraId="54A218D9" w14:textId="77777777" w:rsidR="00F61B8B" w:rsidRDefault="00F61B8B" w:rsidP="00E24D8C">
            <w:pPr>
              <w:pStyle w:val="Tabletext"/>
              <w:rPr>
                <w:sz w:val="36"/>
                <w:szCs w:val="36"/>
              </w:rPr>
            </w:pPr>
            <w:r>
              <w:rPr>
                <w:b/>
                <w:bCs/>
              </w:rPr>
              <w:t>Charge (STA)</w:t>
            </w:r>
          </w:p>
        </w:tc>
        <w:tc>
          <w:tcPr>
            <w:tcW w:w="2215" w:type="dxa"/>
            <w:hideMark/>
          </w:tcPr>
          <w:p w14:paraId="69A01D90" w14:textId="77777777" w:rsidR="00F61B8B" w:rsidRDefault="00F61B8B" w:rsidP="00E24D8C">
            <w:pPr>
              <w:pStyle w:val="Tabletext"/>
              <w:jc w:val="right"/>
              <w:rPr>
                <w:sz w:val="36"/>
                <w:szCs w:val="36"/>
              </w:rPr>
            </w:pPr>
            <w:r>
              <w:rPr>
                <w:b/>
                <w:bCs/>
              </w:rPr>
              <w:t>151.7</w:t>
            </w:r>
          </w:p>
        </w:tc>
        <w:tc>
          <w:tcPr>
            <w:tcW w:w="2215" w:type="dxa"/>
            <w:hideMark/>
          </w:tcPr>
          <w:p w14:paraId="3E9B0A42" w14:textId="77777777" w:rsidR="00F61B8B" w:rsidRDefault="00F61B8B" w:rsidP="00E24D8C">
            <w:pPr>
              <w:pStyle w:val="Tabletext"/>
              <w:jc w:val="right"/>
              <w:rPr>
                <w:sz w:val="36"/>
                <w:szCs w:val="36"/>
              </w:rPr>
            </w:pPr>
            <w:r>
              <w:rPr>
                <w:b/>
                <w:bCs/>
              </w:rPr>
              <w:t>186.1</w:t>
            </w:r>
          </w:p>
        </w:tc>
      </w:tr>
    </w:tbl>
    <w:p w14:paraId="3F534A32" w14:textId="77777777" w:rsidR="00F61B8B" w:rsidDel="00F61B8B" w:rsidRDefault="00F61B8B" w:rsidP="00ED66FF">
      <w:pPr>
        <w:pStyle w:val="ParagraphNumbered"/>
        <w:numPr>
          <w:ilvl w:val="0"/>
          <w:numId w:val="0"/>
        </w:numPr>
        <w:ind w:left="426"/>
        <w:rPr>
          <w:rStyle w:val="cf01"/>
          <w:rFonts w:ascii="Arial" w:hAnsi="Arial" w:cs="Times New Roman"/>
          <w:sz w:val="24"/>
          <w:szCs w:val="24"/>
        </w:rPr>
      </w:pPr>
    </w:p>
    <w:p w14:paraId="56E3D5A6" w14:textId="49633784" w:rsidR="5E5CBC70" w:rsidRDefault="006D28F9" w:rsidP="009C3E9E">
      <w:pPr>
        <w:pStyle w:val="ParagraphNumbered"/>
        <w:ind w:left="426" w:hanging="426"/>
        <w:rPr>
          <w:rStyle w:val="cf01"/>
          <w:rFonts w:ascii="Arial" w:hAnsi="Arial" w:cs="Times New Roman"/>
          <w:sz w:val="24"/>
          <w:szCs w:val="24"/>
        </w:rPr>
      </w:pPr>
      <w:hyperlink w:anchor="_Appendix_1_-" w:history="1">
        <w:r w:rsidR="25EC4844" w:rsidRPr="0013785F">
          <w:rPr>
            <w:rStyle w:val="Hyperlink"/>
          </w:rPr>
          <w:t>Appendix 1</w:t>
        </w:r>
      </w:hyperlink>
      <w:r w:rsidR="25EC4844" w:rsidRPr="0508A24F">
        <w:rPr>
          <w:rStyle w:val="cf01"/>
          <w:rFonts w:ascii="Arial" w:hAnsi="Arial" w:cs="Times New Roman"/>
          <w:sz w:val="24"/>
          <w:szCs w:val="24"/>
        </w:rPr>
        <w:t xml:space="preserve"> describes the NICE teams included in the direct and indirect costs</w:t>
      </w:r>
      <w:r w:rsidR="007B6417">
        <w:rPr>
          <w:rStyle w:val="cf01"/>
          <w:rFonts w:ascii="Arial" w:hAnsi="Arial" w:cs="Times New Roman"/>
          <w:sz w:val="24"/>
          <w:szCs w:val="24"/>
        </w:rPr>
        <w:t xml:space="preserve"> and the functions contributing</w:t>
      </w:r>
      <w:r w:rsidR="25EC4844" w:rsidRPr="0508A24F">
        <w:rPr>
          <w:rStyle w:val="cf01"/>
          <w:rFonts w:ascii="Arial" w:hAnsi="Arial" w:cs="Times New Roman"/>
          <w:sz w:val="24"/>
          <w:szCs w:val="24"/>
        </w:rPr>
        <w:t xml:space="preserve"> to overheads.</w:t>
      </w:r>
    </w:p>
    <w:p w14:paraId="467CEDF9" w14:textId="77777777" w:rsidR="00905F23" w:rsidRDefault="00905F23" w:rsidP="00905F23">
      <w:pPr>
        <w:pStyle w:val="ParagraphNumbered"/>
        <w:rPr>
          <w:rStyle w:val="cf01"/>
          <w:rFonts w:ascii="Arial" w:hAnsi="Arial" w:cs="Times New Roman"/>
          <w:sz w:val="24"/>
          <w:szCs w:val="24"/>
        </w:rPr>
      </w:pPr>
      <w:r>
        <w:t>The factors influencing and driving the fee increase include:</w:t>
      </w:r>
    </w:p>
    <w:p w14:paraId="41C24997" w14:textId="45D620F7" w:rsidR="00905F23" w:rsidRDefault="00905F23" w:rsidP="00905F23">
      <w:pPr>
        <w:pStyle w:val="ParagraphNumbered"/>
        <w:numPr>
          <w:ilvl w:val="1"/>
          <w:numId w:val="1"/>
        </w:numPr>
        <w:spacing w:before="240"/>
      </w:pPr>
      <w:r>
        <w:t xml:space="preserve">A higher-than-expected </w:t>
      </w:r>
      <w:hyperlink r:id="rId25" w:history="1">
        <w:r w:rsidRPr="008E467B">
          <w:rPr>
            <w:rStyle w:val="Hyperlink"/>
          </w:rPr>
          <w:t>NHS pay award</w:t>
        </w:r>
      </w:hyperlink>
      <w:r>
        <w:t xml:space="preserve"> granted in 2023-24. An assumed 3% pay award was built into the 2023-24 prices; this was later confirmed to be 5%. NICE absorbed the additional 2% in 2023-24. The decision to absorb the extra cost was taken due to the timing of the NHS pay award</w:t>
      </w:r>
      <w:r w:rsidR="00A93855">
        <w:t xml:space="preserve"> and</w:t>
      </w:r>
      <w:r>
        <w:t xml:space="preserve"> it was agreed that it would not be appropriate to increase prices mid-year. At the time, NICE clarified that this increase would be reflected in the fee from 2024-25 onwards. </w:t>
      </w:r>
      <w:r w:rsidR="00A93855">
        <w:t>A</w:t>
      </w:r>
      <w:r>
        <w:t xml:space="preserve"> pay award of 4% </w:t>
      </w:r>
      <w:r w:rsidR="00A93855">
        <w:t>has been assumed for</w:t>
      </w:r>
      <w:r>
        <w:t xml:space="preserve"> the 2024-25 fees.</w:t>
      </w:r>
    </w:p>
    <w:p w14:paraId="558E016B" w14:textId="5A93E792" w:rsidR="00905F23" w:rsidRDefault="00905F23" w:rsidP="00905F23">
      <w:pPr>
        <w:pStyle w:val="ParagraphNumbered"/>
        <w:numPr>
          <w:ilvl w:val="1"/>
          <w:numId w:val="1"/>
        </w:numPr>
        <w:spacing w:before="240"/>
      </w:pPr>
      <w:r>
        <w:t xml:space="preserve">Included in </w:t>
      </w:r>
      <w:r w:rsidR="00B2612A">
        <w:t>fees</w:t>
      </w:r>
      <w:r>
        <w:t xml:space="preserve"> for</w:t>
      </w:r>
      <w:r w:rsidR="00B2612A">
        <w:t xml:space="preserve"> the</w:t>
      </w:r>
      <w:r>
        <w:t xml:space="preserve"> first time:</w:t>
      </w:r>
    </w:p>
    <w:p w14:paraId="43D93E5D" w14:textId="68695D2E" w:rsidR="00905F23" w:rsidRDefault="00905F23" w:rsidP="00905F23">
      <w:pPr>
        <w:pStyle w:val="ParagraphNumbered"/>
        <w:numPr>
          <w:ilvl w:val="2"/>
          <w:numId w:val="1"/>
        </w:numPr>
        <w:spacing w:before="240"/>
      </w:pPr>
      <w:r>
        <w:t>Medicines Optimisation Team – majority to support cost comparison activity</w:t>
      </w:r>
      <w:r w:rsidR="002D0793">
        <w:t>,</w:t>
      </w:r>
      <w:r>
        <w:t xml:space="preserve"> </w:t>
      </w:r>
      <w:r w:rsidR="00450F9E">
        <w:t>p</w:t>
      </w:r>
      <w:r>
        <w:t>athways and STAs.</w:t>
      </w:r>
    </w:p>
    <w:p w14:paraId="003A3D1F" w14:textId="44C1AF10" w:rsidR="00905F23" w:rsidRDefault="006D28F9" w:rsidP="00905F23">
      <w:pPr>
        <w:pStyle w:val="ParagraphNumbered"/>
        <w:numPr>
          <w:ilvl w:val="2"/>
          <w:numId w:val="1"/>
        </w:numPr>
        <w:spacing w:before="240"/>
      </w:pPr>
      <w:hyperlink r:id="rId26" w:history="1">
        <w:r w:rsidR="00905F23" w:rsidRPr="007E50A0">
          <w:rPr>
            <w:rStyle w:val="Hyperlink"/>
          </w:rPr>
          <w:t xml:space="preserve">Science Policy </w:t>
        </w:r>
        <w:r w:rsidR="00605C45">
          <w:rPr>
            <w:rStyle w:val="Hyperlink"/>
          </w:rPr>
          <w:t xml:space="preserve">and </w:t>
        </w:r>
        <w:r w:rsidR="00905F23" w:rsidRPr="007E50A0">
          <w:rPr>
            <w:rStyle w:val="Hyperlink"/>
          </w:rPr>
          <w:t>Research Team</w:t>
        </w:r>
      </w:hyperlink>
      <w:r w:rsidR="00905F23">
        <w:t xml:space="preserve"> – modular updates and broader research and methods related to TA and HST activity only.</w:t>
      </w:r>
    </w:p>
    <w:p w14:paraId="55477EBD" w14:textId="145B7244" w:rsidR="00905F23" w:rsidRDefault="00905F23" w:rsidP="00905F23">
      <w:pPr>
        <w:pStyle w:val="ParagraphNumbered"/>
        <w:numPr>
          <w:ilvl w:val="1"/>
          <w:numId w:val="1"/>
        </w:numPr>
        <w:spacing w:before="240"/>
      </w:pPr>
      <w:r>
        <w:lastRenderedPageBreak/>
        <w:t>The provision and delivery of the TA</w:t>
      </w:r>
      <w:r w:rsidR="009206D6">
        <w:t>-</w:t>
      </w:r>
      <w:r>
        <w:t xml:space="preserve">HST programme in their totality and the requirement to reflect the resources required to develop modular updates and associated changes to methods and processes. This includes the proportionate approach activity, for example cost comparison and pathways pilots.  </w:t>
      </w:r>
    </w:p>
    <w:p w14:paraId="3437DF53" w14:textId="4C4421BB" w:rsidR="00E00123" w:rsidRDefault="69A95D54" w:rsidP="00B50091">
      <w:pPr>
        <w:pStyle w:val="ParagraphNumbered"/>
        <w:ind w:left="426" w:hanging="426"/>
        <w:rPr>
          <w:rStyle w:val="cf01"/>
          <w:rFonts w:ascii="Arial" w:hAnsi="Arial" w:cs="Times New Roman"/>
          <w:sz w:val="24"/>
          <w:szCs w:val="24"/>
        </w:rPr>
      </w:pPr>
      <w:r w:rsidRPr="0508A24F">
        <w:rPr>
          <w:rStyle w:val="cf01"/>
          <w:rFonts w:ascii="Arial" w:hAnsi="Arial" w:cs="Times New Roman"/>
          <w:sz w:val="24"/>
          <w:szCs w:val="24"/>
        </w:rPr>
        <w:t xml:space="preserve">When </w:t>
      </w:r>
      <w:r w:rsidR="5B1E9963" w:rsidRPr="0508A24F">
        <w:rPr>
          <w:rStyle w:val="cf01"/>
          <w:rFonts w:ascii="Arial" w:hAnsi="Arial" w:cs="Times New Roman"/>
          <w:sz w:val="24"/>
          <w:szCs w:val="24"/>
        </w:rPr>
        <w:t xml:space="preserve">reviewing the </w:t>
      </w:r>
      <w:r w:rsidR="00887308">
        <w:rPr>
          <w:rStyle w:val="cf01"/>
          <w:rFonts w:ascii="Arial" w:hAnsi="Arial" w:cs="Times New Roman"/>
          <w:sz w:val="24"/>
          <w:szCs w:val="24"/>
        </w:rPr>
        <w:t>fees</w:t>
      </w:r>
      <w:r w:rsidR="5B1E9963" w:rsidRPr="0508A24F">
        <w:rPr>
          <w:rStyle w:val="cf01"/>
          <w:rFonts w:ascii="Arial" w:hAnsi="Arial" w:cs="Times New Roman"/>
          <w:sz w:val="24"/>
          <w:szCs w:val="24"/>
        </w:rPr>
        <w:t xml:space="preserve">, NICE must also consider the capacity of the </w:t>
      </w:r>
      <w:r w:rsidR="3E38C419" w:rsidRPr="0508A24F">
        <w:rPr>
          <w:rStyle w:val="cf01"/>
          <w:rFonts w:ascii="Arial" w:hAnsi="Arial" w:cs="Times New Roman"/>
          <w:sz w:val="24"/>
          <w:szCs w:val="24"/>
        </w:rPr>
        <w:t>work programme</w:t>
      </w:r>
      <w:r w:rsidR="59CEF50C" w:rsidRPr="0508A24F">
        <w:rPr>
          <w:rStyle w:val="cf01"/>
          <w:rFonts w:ascii="Arial" w:hAnsi="Arial" w:cs="Times New Roman"/>
          <w:sz w:val="24"/>
          <w:szCs w:val="24"/>
        </w:rPr>
        <w:t xml:space="preserve">. </w:t>
      </w:r>
      <w:r w:rsidR="0BCAF04B" w:rsidRPr="0508A24F">
        <w:rPr>
          <w:rStyle w:val="cf01"/>
          <w:rFonts w:ascii="Arial" w:hAnsi="Arial" w:cs="Times New Roman"/>
          <w:sz w:val="24"/>
          <w:szCs w:val="24"/>
        </w:rPr>
        <w:t xml:space="preserve">The </w:t>
      </w:r>
      <w:r w:rsidR="4FC29488" w:rsidRPr="0508A24F">
        <w:rPr>
          <w:rStyle w:val="cf01"/>
          <w:rFonts w:ascii="Arial" w:hAnsi="Arial" w:cs="Times New Roman"/>
          <w:sz w:val="24"/>
          <w:szCs w:val="24"/>
        </w:rPr>
        <w:t xml:space="preserve">projected </w:t>
      </w:r>
      <w:r w:rsidR="00BC7C25">
        <w:rPr>
          <w:rStyle w:val="cf01"/>
          <w:rFonts w:ascii="Arial" w:hAnsi="Arial" w:cs="Times New Roman"/>
          <w:sz w:val="24"/>
          <w:szCs w:val="24"/>
        </w:rPr>
        <w:t>total</w:t>
      </w:r>
      <w:r w:rsidR="00BC7C25" w:rsidRPr="0508A24F">
        <w:rPr>
          <w:rStyle w:val="cf01"/>
          <w:rFonts w:ascii="Arial" w:hAnsi="Arial" w:cs="Times New Roman"/>
          <w:sz w:val="24"/>
          <w:szCs w:val="24"/>
        </w:rPr>
        <w:t xml:space="preserve"> </w:t>
      </w:r>
      <w:r w:rsidR="4FC29488" w:rsidRPr="0508A24F">
        <w:rPr>
          <w:rStyle w:val="cf01"/>
          <w:rFonts w:ascii="Arial" w:hAnsi="Arial" w:cs="Times New Roman"/>
          <w:sz w:val="24"/>
          <w:szCs w:val="24"/>
        </w:rPr>
        <w:t>for</w:t>
      </w:r>
      <w:r w:rsidR="230386EF" w:rsidRPr="0508A24F" w:rsidDel="0BCAF04B">
        <w:rPr>
          <w:rStyle w:val="cf01"/>
          <w:rFonts w:ascii="Arial" w:hAnsi="Arial" w:cs="Times New Roman"/>
          <w:sz w:val="24"/>
          <w:szCs w:val="24"/>
        </w:rPr>
        <w:t xml:space="preserve"> </w:t>
      </w:r>
      <w:r w:rsidR="4FC29488" w:rsidRPr="0508A24F">
        <w:rPr>
          <w:rStyle w:val="cf01"/>
          <w:rFonts w:ascii="Arial" w:hAnsi="Arial" w:cs="Times New Roman"/>
          <w:sz w:val="24"/>
          <w:szCs w:val="24"/>
        </w:rPr>
        <w:t xml:space="preserve">2024-25 </w:t>
      </w:r>
      <w:r w:rsidR="72D1A06B" w:rsidRPr="0508A24F">
        <w:rPr>
          <w:rStyle w:val="cf01"/>
          <w:rFonts w:ascii="Arial" w:hAnsi="Arial" w:cs="Times New Roman"/>
          <w:sz w:val="24"/>
          <w:szCs w:val="24"/>
        </w:rPr>
        <w:t xml:space="preserve">is </w:t>
      </w:r>
      <w:r w:rsidR="00605C45">
        <w:rPr>
          <w:rStyle w:val="cf01"/>
          <w:rFonts w:ascii="Arial" w:hAnsi="Arial" w:cs="Times New Roman"/>
          <w:sz w:val="24"/>
          <w:szCs w:val="24"/>
        </w:rPr>
        <w:t>80</w:t>
      </w:r>
      <w:r w:rsidR="50143855" w:rsidRPr="0508A24F">
        <w:rPr>
          <w:rStyle w:val="cf01"/>
          <w:rFonts w:ascii="Arial" w:hAnsi="Arial" w:cs="Times New Roman"/>
          <w:sz w:val="24"/>
          <w:szCs w:val="24"/>
        </w:rPr>
        <w:t xml:space="preserve"> </w:t>
      </w:r>
      <w:r w:rsidR="0BCAF04B" w:rsidRPr="0508A24F">
        <w:rPr>
          <w:rStyle w:val="cf01"/>
          <w:rFonts w:ascii="Arial" w:hAnsi="Arial" w:cs="Times New Roman"/>
          <w:sz w:val="24"/>
          <w:szCs w:val="24"/>
        </w:rPr>
        <w:t>units</w:t>
      </w:r>
      <w:r w:rsidR="3408F320" w:rsidRPr="0508A24F">
        <w:rPr>
          <w:rStyle w:val="cf01"/>
          <w:rFonts w:ascii="Arial" w:hAnsi="Arial" w:cs="Times New Roman"/>
          <w:sz w:val="24"/>
          <w:szCs w:val="24"/>
        </w:rPr>
        <w:t>,</w:t>
      </w:r>
      <w:r w:rsidR="1D7BDA4A" w:rsidRPr="0508A24F">
        <w:rPr>
          <w:rStyle w:val="cf01"/>
          <w:rFonts w:ascii="Arial" w:hAnsi="Arial" w:cs="Times New Roman"/>
          <w:sz w:val="24"/>
          <w:szCs w:val="24"/>
        </w:rPr>
        <w:t xml:space="preserve"> </w:t>
      </w:r>
      <w:r w:rsidR="72D1A06B" w:rsidRPr="0508A24F">
        <w:rPr>
          <w:rStyle w:val="cf01"/>
          <w:rFonts w:ascii="Arial" w:hAnsi="Arial" w:cs="Times New Roman"/>
          <w:sz w:val="24"/>
          <w:szCs w:val="24"/>
        </w:rPr>
        <w:t>based on</w:t>
      </w:r>
      <w:r w:rsidR="230386EF" w:rsidRPr="0508A24F" w:rsidDel="3408F320">
        <w:rPr>
          <w:rStyle w:val="cf01"/>
          <w:rFonts w:ascii="Arial" w:hAnsi="Arial" w:cs="Times New Roman"/>
          <w:sz w:val="24"/>
          <w:szCs w:val="24"/>
        </w:rPr>
        <w:t xml:space="preserve"> </w:t>
      </w:r>
      <w:r w:rsidR="72D1A06B" w:rsidRPr="0508A24F">
        <w:rPr>
          <w:rStyle w:val="cf01"/>
          <w:rFonts w:ascii="Arial" w:hAnsi="Arial" w:cs="Times New Roman"/>
          <w:sz w:val="24"/>
          <w:szCs w:val="24"/>
        </w:rPr>
        <w:t xml:space="preserve">a combination of </w:t>
      </w:r>
      <w:r w:rsidR="297D5943" w:rsidRPr="0508A24F">
        <w:rPr>
          <w:rStyle w:val="cf01"/>
          <w:rFonts w:ascii="Arial" w:hAnsi="Arial" w:cs="Times New Roman"/>
          <w:sz w:val="24"/>
          <w:szCs w:val="24"/>
        </w:rPr>
        <w:t xml:space="preserve">previous </w:t>
      </w:r>
      <w:r w:rsidR="00FC71D2">
        <w:rPr>
          <w:rStyle w:val="cf01"/>
          <w:rFonts w:ascii="Arial" w:hAnsi="Arial" w:cs="Times New Roman"/>
          <w:sz w:val="24"/>
          <w:szCs w:val="24"/>
        </w:rPr>
        <w:t>year’s</w:t>
      </w:r>
      <w:r w:rsidR="00FC71D2" w:rsidRPr="0508A24F">
        <w:rPr>
          <w:rStyle w:val="cf01"/>
          <w:rFonts w:ascii="Arial" w:hAnsi="Arial" w:cs="Times New Roman"/>
          <w:sz w:val="24"/>
          <w:szCs w:val="24"/>
        </w:rPr>
        <w:t xml:space="preserve"> </w:t>
      </w:r>
      <w:r w:rsidR="297D5943" w:rsidRPr="0508A24F">
        <w:rPr>
          <w:rStyle w:val="cf01"/>
          <w:rFonts w:ascii="Arial" w:hAnsi="Arial" w:cs="Times New Roman"/>
          <w:sz w:val="24"/>
          <w:szCs w:val="24"/>
        </w:rPr>
        <w:t>actual</w:t>
      </w:r>
      <w:r w:rsidR="3E12929D" w:rsidRPr="0508A24F">
        <w:rPr>
          <w:rStyle w:val="cf01"/>
          <w:rFonts w:ascii="Arial" w:hAnsi="Arial" w:cs="Times New Roman"/>
          <w:sz w:val="24"/>
          <w:szCs w:val="24"/>
        </w:rPr>
        <w:t>s</w:t>
      </w:r>
      <w:r w:rsidR="297D5943" w:rsidRPr="0508A24F">
        <w:rPr>
          <w:rStyle w:val="cf01"/>
          <w:rFonts w:ascii="Arial" w:hAnsi="Arial" w:cs="Times New Roman"/>
          <w:sz w:val="24"/>
          <w:szCs w:val="24"/>
        </w:rPr>
        <w:t xml:space="preserve"> and </w:t>
      </w:r>
      <w:r w:rsidR="43AE03F5" w:rsidRPr="0508A24F">
        <w:rPr>
          <w:rStyle w:val="cf01"/>
          <w:rFonts w:ascii="Arial" w:hAnsi="Arial" w:cs="Times New Roman"/>
          <w:sz w:val="24"/>
          <w:szCs w:val="24"/>
        </w:rPr>
        <w:t xml:space="preserve">forecasted </w:t>
      </w:r>
      <w:r w:rsidR="6F756CA7" w:rsidRPr="0508A24F">
        <w:rPr>
          <w:rStyle w:val="cf01"/>
          <w:rFonts w:ascii="Arial" w:hAnsi="Arial" w:cs="Times New Roman"/>
          <w:sz w:val="24"/>
          <w:szCs w:val="24"/>
        </w:rPr>
        <w:t>demand</w:t>
      </w:r>
      <w:r w:rsidR="27A0BFB9" w:rsidRPr="0508A24F">
        <w:rPr>
          <w:rStyle w:val="cf01"/>
          <w:rFonts w:ascii="Arial" w:hAnsi="Arial" w:cs="Times New Roman"/>
          <w:sz w:val="24"/>
          <w:szCs w:val="24"/>
        </w:rPr>
        <w:t xml:space="preserve"> </w:t>
      </w:r>
      <w:r w:rsidR="72D1A06B" w:rsidRPr="0508A24F">
        <w:rPr>
          <w:rStyle w:val="cf01"/>
          <w:rFonts w:ascii="Arial" w:hAnsi="Arial" w:cs="Times New Roman"/>
          <w:sz w:val="24"/>
          <w:szCs w:val="24"/>
        </w:rPr>
        <w:t xml:space="preserve">in 2024-25 </w:t>
      </w:r>
      <w:r w:rsidR="63690950" w:rsidRPr="0508A24F">
        <w:rPr>
          <w:rStyle w:val="cf01"/>
          <w:rFonts w:ascii="Arial" w:hAnsi="Arial" w:cs="Times New Roman"/>
          <w:sz w:val="24"/>
          <w:szCs w:val="24"/>
        </w:rPr>
        <w:t>(</w:t>
      </w:r>
      <w:r w:rsidR="1C71C321" w:rsidRPr="0508A24F">
        <w:rPr>
          <w:rStyle w:val="cf01"/>
          <w:rFonts w:ascii="Arial" w:hAnsi="Arial" w:cs="Times New Roman"/>
          <w:sz w:val="24"/>
          <w:szCs w:val="24"/>
        </w:rPr>
        <w:t xml:space="preserve">considering </w:t>
      </w:r>
      <w:r w:rsidR="35227F33" w:rsidRPr="0508A24F">
        <w:rPr>
          <w:rStyle w:val="cf01"/>
          <w:rFonts w:ascii="Arial" w:hAnsi="Arial" w:cs="Times New Roman"/>
          <w:sz w:val="24"/>
          <w:szCs w:val="24"/>
        </w:rPr>
        <w:t>horizon scanning</w:t>
      </w:r>
      <w:r w:rsidR="31A062DE" w:rsidRPr="0508A24F">
        <w:rPr>
          <w:rStyle w:val="cf01"/>
          <w:rFonts w:ascii="Arial" w:hAnsi="Arial" w:cs="Times New Roman"/>
          <w:sz w:val="24"/>
          <w:szCs w:val="24"/>
        </w:rPr>
        <w:t xml:space="preserve">, </w:t>
      </w:r>
      <w:r w:rsidR="44C88114" w:rsidRPr="0508A24F">
        <w:rPr>
          <w:rStyle w:val="cf01"/>
          <w:rFonts w:ascii="Arial" w:hAnsi="Arial" w:cs="Times New Roman"/>
          <w:sz w:val="24"/>
          <w:szCs w:val="24"/>
        </w:rPr>
        <w:t xml:space="preserve">availability of </w:t>
      </w:r>
      <w:r w:rsidR="3516B1C9" w:rsidRPr="0508A24F">
        <w:rPr>
          <w:rStyle w:val="cf01"/>
          <w:rFonts w:ascii="Arial" w:hAnsi="Arial" w:cs="Times New Roman"/>
          <w:sz w:val="24"/>
          <w:szCs w:val="24"/>
        </w:rPr>
        <w:t>committee slots</w:t>
      </w:r>
      <w:r w:rsidR="0F0331E8" w:rsidRPr="0508A24F">
        <w:rPr>
          <w:rStyle w:val="cf01"/>
          <w:rFonts w:ascii="Arial" w:hAnsi="Arial" w:cs="Times New Roman"/>
          <w:sz w:val="24"/>
          <w:szCs w:val="24"/>
        </w:rPr>
        <w:t xml:space="preserve"> and </w:t>
      </w:r>
      <w:r w:rsidR="6F44DB6B" w:rsidRPr="0508A24F">
        <w:rPr>
          <w:rStyle w:val="cf01"/>
          <w:rFonts w:ascii="Arial" w:hAnsi="Arial" w:cs="Times New Roman"/>
          <w:sz w:val="24"/>
          <w:szCs w:val="24"/>
        </w:rPr>
        <w:t>external assessment group</w:t>
      </w:r>
      <w:r w:rsidR="44C88114" w:rsidRPr="0508A24F">
        <w:rPr>
          <w:rStyle w:val="cf01"/>
          <w:rFonts w:ascii="Arial" w:hAnsi="Arial" w:cs="Times New Roman"/>
          <w:sz w:val="24"/>
          <w:szCs w:val="24"/>
        </w:rPr>
        <w:t xml:space="preserve"> capacity</w:t>
      </w:r>
      <w:r w:rsidR="63690950" w:rsidRPr="0508A24F">
        <w:rPr>
          <w:rStyle w:val="cf01"/>
          <w:rFonts w:ascii="Arial" w:hAnsi="Arial" w:cs="Times New Roman"/>
          <w:sz w:val="24"/>
          <w:szCs w:val="24"/>
        </w:rPr>
        <w:t>)</w:t>
      </w:r>
      <w:r w:rsidR="0F0331E8" w:rsidRPr="0508A24F">
        <w:rPr>
          <w:rStyle w:val="cf01"/>
          <w:rFonts w:ascii="Arial" w:hAnsi="Arial" w:cs="Times New Roman"/>
          <w:sz w:val="24"/>
          <w:szCs w:val="24"/>
        </w:rPr>
        <w:t>.</w:t>
      </w:r>
      <w:r w:rsidR="1D7BDA4A" w:rsidRPr="0508A24F">
        <w:rPr>
          <w:rStyle w:val="cf01"/>
          <w:rFonts w:ascii="Arial" w:hAnsi="Arial" w:cs="Times New Roman"/>
          <w:sz w:val="24"/>
          <w:szCs w:val="24"/>
        </w:rPr>
        <w:t xml:space="preserve"> The expected capacity has been revised to ensure </w:t>
      </w:r>
      <w:r w:rsidR="1D7BDA4A">
        <w:t>that the capacity in place reflects the level of demand and that the</w:t>
      </w:r>
      <w:r w:rsidR="1D7BDA4A" w:rsidDel="00CD26D5">
        <w:t xml:space="preserve"> </w:t>
      </w:r>
      <w:r w:rsidR="00CD26D5">
        <w:t>fees</w:t>
      </w:r>
      <w:r w:rsidR="1D7BDA4A">
        <w:t xml:space="preserve"> are set at a level that allows the programme to recover </w:t>
      </w:r>
      <w:r w:rsidR="1D7BDA4A" w:rsidDel="0089106C">
        <w:t xml:space="preserve">all </w:t>
      </w:r>
      <w:r w:rsidR="1D7BDA4A">
        <w:t xml:space="preserve">costs. </w:t>
      </w:r>
    </w:p>
    <w:p w14:paraId="18CDC286" w14:textId="1D9ED19B" w:rsidR="00354EF0" w:rsidRDefault="5139E1A4" w:rsidP="00B50091">
      <w:pPr>
        <w:pStyle w:val="ParagraphNumbered"/>
        <w:ind w:left="426" w:hanging="426"/>
        <w:rPr>
          <w:rStyle w:val="cf01"/>
          <w:rFonts w:ascii="Arial" w:hAnsi="Arial" w:cs="Times New Roman"/>
          <w:sz w:val="24"/>
          <w:szCs w:val="24"/>
        </w:rPr>
      </w:pPr>
      <w:r w:rsidRPr="0508A24F">
        <w:rPr>
          <w:rStyle w:val="cf01"/>
          <w:rFonts w:ascii="Arial" w:hAnsi="Arial" w:cs="Times New Roman"/>
          <w:sz w:val="24"/>
          <w:szCs w:val="24"/>
        </w:rPr>
        <w:t xml:space="preserve">The work programme </w:t>
      </w:r>
      <w:r w:rsidR="766C06CB" w:rsidRPr="0508A24F">
        <w:rPr>
          <w:rStyle w:val="cf01"/>
          <w:rFonts w:ascii="Arial" w:hAnsi="Arial" w:cs="Times New Roman"/>
          <w:sz w:val="24"/>
          <w:szCs w:val="24"/>
        </w:rPr>
        <w:t xml:space="preserve">delivers the </w:t>
      </w:r>
      <w:r w:rsidR="00605C45">
        <w:rPr>
          <w:rStyle w:val="cf01"/>
          <w:rFonts w:ascii="Arial" w:hAnsi="Arial" w:cs="Times New Roman"/>
          <w:sz w:val="24"/>
          <w:szCs w:val="24"/>
        </w:rPr>
        <w:t>80</w:t>
      </w:r>
      <w:r w:rsidR="766C06CB" w:rsidRPr="0508A24F">
        <w:rPr>
          <w:rStyle w:val="cf01"/>
          <w:rFonts w:ascii="Arial" w:hAnsi="Arial" w:cs="Times New Roman"/>
          <w:sz w:val="24"/>
          <w:szCs w:val="24"/>
        </w:rPr>
        <w:t xml:space="preserve"> units flexibly</w:t>
      </w:r>
      <w:r w:rsidR="001253C0" w:rsidRPr="00A140A7">
        <w:rPr>
          <w:rStyle w:val="cf01"/>
          <w:rFonts w:ascii="Arial" w:hAnsi="Arial" w:cs="Times New Roman"/>
          <w:sz w:val="24"/>
          <w:szCs w:val="24"/>
        </w:rPr>
        <w:t>,</w:t>
      </w:r>
      <w:r w:rsidR="70291928" w:rsidRPr="0508A24F">
        <w:rPr>
          <w:rStyle w:val="cf01"/>
          <w:rFonts w:ascii="Arial" w:hAnsi="Arial" w:cs="Times New Roman"/>
          <w:sz w:val="24"/>
          <w:szCs w:val="24"/>
        </w:rPr>
        <w:t xml:space="preserve"> comprising </w:t>
      </w:r>
      <w:r w:rsidR="001253C0" w:rsidRPr="00A140A7">
        <w:rPr>
          <w:rStyle w:val="cf01"/>
          <w:rFonts w:ascii="Arial" w:hAnsi="Arial" w:cs="Times New Roman"/>
          <w:sz w:val="24"/>
          <w:szCs w:val="24"/>
        </w:rPr>
        <w:t>several</w:t>
      </w:r>
      <w:r w:rsidR="70291928" w:rsidRPr="0508A24F">
        <w:rPr>
          <w:rStyle w:val="cf01"/>
          <w:rFonts w:ascii="Arial" w:hAnsi="Arial" w:cs="Times New Roman"/>
          <w:sz w:val="24"/>
          <w:szCs w:val="24"/>
        </w:rPr>
        <w:t xml:space="preserve"> process types.</w:t>
      </w:r>
      <w:r w:rsidR="766C06CB" w:rsidRPr="0508A24F">
        <w:rPr>
          <w:rStyle w:val="cf01"/>
          <w:rFonts w:ascii="Arial" w:hAnsi="Arial" w:cs="Times New Roman"/>
          <w:sz w:val="24"/>
          <w:szCs w:val="24"/>
        </w:rPr>
        <w:t xml:space="preserve"> </w:t>
      </w:r>
      <w:r w:rsidRPr="0508A24F">
        <w:rPr>
          <w:rStyle w:val="cf01"/>
          <w:rFonts w:ascii="Arial" w:hAnsi="Arial" w:cs="Times New Roman"/>
          <w:sz w:val="24"/>
          <w:szCs w:val="24"/>
        </w:rPr>
        <w:t xml:space="preserve">It is important to emphasise that </w:t>
      </w:r>
      <w:r w:rsidR="00605C45">
        <w:rPr>
          <w:rStyle w:val="cf01"/>
          <w:rFonts w:ascii="Arial" w:hAnsi="Arial" w:cs="Times New Roman"/>
          <w:sz w:val="24"/>
          <w:szCs w:val="24"/>
        </w:rPr>
        <w:t>80</w:t>
      </w:r>
      <w:r w:rsidRPr="0508A24F">
        <w:rPr>
          <w:rStyle w:val="cf01"/>
          <w:rFonts w:ascii="Arial" w:hAnsi="Arial" w:cs="Times New Roman"/>
          <w:sz w:val="24"/>
          <w:szCs w:val="24"/>
        </w:rPr>
        <w:t xml:space="preserve"> units </w:t>
      </w:r>
      <w:r w:rsidR="7B0DC395" w:rsidRPr="0508A24F">
        <w:rPr>
          <w:rStyle w:val="cf01"/>
          <w:rFonts w:ascii="Arial" w:hAnsi="Arial" w:cs="Times New Roman"/>
          <w:sz w:val="24"/>
          <w:szCs w:val="24"/>
        </w:rPr>
        <w:t>do</w:t>
      </w:r>
      <w:r w:rsidR="2C692EB7" w:rsidRPr="0508A24F">
        <w:rPr>
          <w:rStyle w:val="cf01"/>
          <w:rFonts w:ascii="Arial" w:hAnsi="Arial" w:cs="Times New Roman"/>
          <w:sz w:val="24"/>
          <w:szCs w:val="24"/>
        </w:rPr>
        <w:t xml:space="preserve"> not</w:t>
      </w:r>
      <w:r w:rsidRPr="0508A24F">
        <w:rPr>
          <w:rStyle w:val="cf01"/>
          <w:rFonts w:ascii="Arial" w:hAnsi="Arial" w:cs="Times New Roman"/>
          <w:sz w:val="24"/>
          <w:szCs w:val="24"/>
        </w:rPr>
        <w:t xml:space="preserve"> </w:t>
      </w:r>
      <w:r w:rsidR="766C06CB" w:rsidRPr="0508A24F">
        <w:rPr>
          <w:rStyle w:val="cf01"/>
          <w:rFonts w:ascii="Arial" w:hAnsi="Arial" w:cs="Times New Roman"/>
          <w:sz w:val="24"/>
          <w:szCs w:val="24"/>
        </w:rPr>
        <w:t>directly correlate to the number of guidance publications per year</w:t>
      </w:r>
      <w:r w:rsidRPr="0508A24F">
        <w:rPr>
          <w:rStyle w:val="cf01"/>
          <w:rFonts w:ascii="Arial" w:hAnsi="Arial" w:cs="Times New Roman"/>
          <w:sz w:val="24"/>
          <w:szCs w:val="24"/>
        </w:rPr>
        <w:t>.</w:t>
      </w:r>
    </w:p>
    <w:p w14:paraId="39507367" w14:textId="3C9CEDAD" w:rsidR="00AB70BB" w:rsidRDefault="006F4680" w:rsidP="008223DB">
      <w:pPr>
        <w:pStyle w:val="Heading2"/>
      </w:pPr>
      <w:r>
        <w:t>Considerations for f</w:t>
      </w:r>
      <w:r w:rsidR="0069610A">
        <w:t>uture co</w:t>
      </w:r>
      <w:r w:rsidR="00D867B7">
        <w:t>sts</w:t>
      </w:r>
      <w:r w:rsidR="0069610A">
        <w:t xml:space="preserve"> </w:t>
      </w:r>
      <w:r w:rsidR="00F02140">
        <w:t>(not included in</w:t>
      </w:r>
      <w:r w:rsidR="00AB1161">
        <w:t xml:space="preserve"> the</w:t>
      </w:r>
      <w:r w:rsidR="00F02140">
        <w:t xml:space="preserve"> </w:t>
      </w:r>
      <w:r w:rsidR="00166D6C">
        <w:t xml:space="preserve">2024-25 </w:t>
      </w:r>
      <w:r w:rsidR="00061AEC">
        <w:t>fees</w:t>
      </w:r>
      <w:r w:rsidR="00F02140">
        <w:t>)</w:t>
      </w:r>
    </w:p>
    <w:p w14:paraId="296A8167" w14:textId="2CFA1123" w:rsidR="00F61026" w:rsidRDefault="7FFBFA46" w:rsidP="009C3E9E">
      <w:pPr>
        <w:pStyle w:val="ParagraphNumbered"/>
        <w:ind w:left="426" w:hanging="426"/>
      </w:pPr>
      <w:r>
        <w:t>By the end of 2023-24</w:t>
      </w:r>
      <w:r w:rsidR="7C3628DD">
        <w:t>,</w:t>
      </w:r>
      <w:r>
        <w:t xml:space="preserve"> NICE aims to </w:t>
      </w:r>
      <w:r w:rsidR="4516109B">
        <w:t xml:space="preserve">have aligned </w:t>
      </w:r>
      <w:r w:rsidR="655FF95C">
        <w:t xml:space="preserve">methods and processes between </w:t>
      </w:r>
      <w:r w:rsidR="35FD9952">
        <w:t xml:space="preserve">the </w:t>
      </w:r>
      <w:r w:rsidR="00605C45">
        <w:t xml:space="preserve">clinical </w:t>
      </w:r>
      <w:r w:rsidR="655FF95C">
        <w:t xml:space="preserve">guidelines and </w:t>
      </w:r>
      <w:r w:rsidR="7C3628DD">
        <w:t>TA</w:t>
      </w:r>
      <w:r w:rsidR="00F91E27">
        <w:t>-HST</w:t>
      </w:r>
      <w:r w:rsidR="35FD9952">
        <w:t xml:space="preserve"> programme</w:t>
      </w:r>
      <w:r w:rsidR="655FF95C">
        <w:t xml:space="preserve">, </w:t>
      </w:r>
      <w:r w:rsidR="159226F1">
        <w:t xml:space="preserve">with an interim </w:t>
      </w:r>
      <w:r w:rsidR="344372EA">
        <w:t xml:space="preserve">process published. </w:t>
      </w:r>
      <w:r w:rsidR="506F8080">
        <w:t>T</w:t>
      </w:r>
      <w:r w:rsidR="02A61A0A">
        <w:t xml:space="preserve">he </w:t>
      </w:r>
      <w:r w:rsidR="1F8F373F">
        <w:t>cost</w:t>
      </w:r>
      <w:r w:rsidR="7C49C984">
        <w:t xml:space="preserve"> </w:t>
      </w:r>
      <w:r w:rsidR="00295A0A">
        <w:t xml:space="preserve">of </w:t>
      </w:r>
      <w:r w:rsidR="0975FA2D">
        <w:t>incorporat</w:t>
      </w:r>
      <w:r w:rsidR="7C49C984">
        <w:t>ing</w:t>
      </w:r>
      <w:r w:rsidR="0975FA2D">
        <w:t xml:space="preserve"> </w:t>
      </w:r>
      <w:r w:rsidR="2978F910">
        <w:t>TAs</w:t>
      </w:r>
      <w:r w:rsidR="2B8EC6C5">
        <w:t xml:space="preserve"> into guidelines</w:t>
      </w:r>
      <w:r w:rsidR="68E68B77">
        <w:t xml:space="preserve"> </w:t>
      </w:r>
      <w:r w:rsidR="48AC9100">
        <w:t>will be reviewed</w:t>
      </w:r>
      <w:r w:rsidR="35FD9952">
        <w:t xml:space="preserve"> at this point</w:t>
      </w:r>
      <w:r w:rsidR="33115277">
        <w:t xml:space="preserve">. </w:t>
      </w:r>
    </w:p>
    <w:p w14:paraId="67FCBC55" w14:textId="1C39FFAA" w:rsidR="001E063B" w:rsidRDefault="5976D9D3" w:rsidP="009C3E9E">
      <w:pPr>
        <w:pStyle w:val="ParagraphNumbered"/>
        <w:ind w:left="426" w:hanging="426"/>
      </w:pPr>
      <w:r>
        <w:t xml:space="preserve">NICE </w:t>
      </w:r>
      <w:r w:rsidR="4D6E0331">
        <w:t>committee</w:t>
      </w:r>
      <w:r>
        <w:t xml:space="preserve"> members require</w:t>
      </w:r>
      <w:r w:rsidR="35FD9952">
        <w:t xml:space="preserve"> adequate</w:t>
      </w:r>
      <w:r w:rsidR="5CEB91EB">
        <w:t xml:space="preserve"> </w:t>
      </w:r>
      <w:r w:rsidR="7A35DDED">
        <w:t>remuneration</w:t>
      </w:r>
      <w:r w:rsidR="68D3C1EA">
        <w:t xml:space="preserve"> </w:t>
      </w:r>
      <w:r w:rsidR="35FD9952">
        <w:t>to facilitate their availability to attend and contribute to guidance development. There will be an increase in the rate of committee members that will receive renumeration in 2024-25. It is proposed that this w</w:t>
      </w:r>
      <w:r w:rsidR="3A2B7FD6">
        <w:t xml:space="preserve">ill be absorbed </w:t>
      </w:r>
      <w:r w:rsidR="7D40CBA6">
        <w:t>into the work pr</w:t>
      </w:r>
      <w:r w:rsidR="35E574DC">
        <w:t>ogramme</w:t>
      </w:r>
      <w:r w:rsidR="35FD9952">
        <w:t xml:space="preserve"> during 2024-25 but </w:t>
      </w:r>
      <w:r w:rsidR="67AE9362">
        <w:t xml:space="preserve">will require </w:t>
      </w:r>
      <w:r w:rsidR="00233CA3">
        <w:t xml:space="preserve">a </w:t>
      </w:r>
      <w:r w:rsidR="651D64D2">
        <w:t xml:space="preserve">later </w:t>
      </w:r>
      <w:r w:rsidR="67AE9362">
        <w:t>review</w:t>
      </w:r>
      <w:r w:rsidR="512D3317">
        <w:t>.</w:t>
      </w:r>
      <w:r w:rsidR="3A2B7FD6">
        <w:t xml:space="preserve"> </w:t>
      </w:r>
    </w:p>
    <w:p w14:paraId="23DD1BA1" w14:textId="23DD6337" w:rsidR="0046684D" w:rsidRPr="00605C45" w:rsidRDefault="00233CA3" w:rsidP="0083408D">
      <w:pPr>
        <w:pStyle w:val="ParagraphNumbered"/>
        <w:ind w:left="426" w:hanging="426"/>
      </w:pPr>
      <w:r>
        <w:lastRenderedPageBreak/>
        <w:t>NICE's pension contributions</w:t>
      </w:r>
      <w:r w:rsidR="00D15B72">
        <w:t xml:space="preserve"> are set to increase from 1 April 2024. This hasn’t been factored into the </w:t>
      </w:r>
      <w:r w:rsidR="00D77696">
        <w:t xml:space="preserve">2024-25 fees but </w:t>
      </w:r>
      <w:r w:rsidR="003B38F4">
        <w:t xml:space="preserve">will be </w:t>
      </w:r>
      <w:r w:rsidR="00143EB8">
        <w:t xml:space="preserve">included in </w:t>
      </w:r>
      <w:r w:rsidR="00495E65">
        <w:t xml:space="preserve">the </w:t>
      </w:r>
      <w:r w:rsidR="00143EB8">
        <w:t>future</w:t>
      </w:r>
      <w:r w:rsidR="00495E65">
        <w:t>.</w:t>
      </w:r>
    </w:p>
    <w:p w14:paraId="1E74EF8F" w14:textId="0B127972" w:rsidR="00821000" w:rsidRDefault="00821000" w:rsidP="00A77CA7">
      <w:pPr>
        <w:pStyle w:val="Heading1"/>
      </w:pPr>
      <w:r>
        <w:t xml:space="preserve">Proposals for consultation </w:t>
      </w:r>
    </w:p>
    <w:p w14:paraId="746C9C95" w14:textId="595A16C0" w:rsidR="00DC0C3B" w:rsidRDefault="007E1998" w:rsidP="0054592A">
      <w:pPr>
        <w:pStyle w:val="ParagraphNumbered"/>
        <w:ind w:left="426" w:hanging="426"/>
      </w:pPr>
      <w:bookmarkStart w:id="0" w:name="_Ref151023059"/>
      <w:r>
        <w:t xml:space="preserve">The review has considered all aspects of guidance development and the </w:t>
      </w:r>
      <w:r w:rsidR="007D4EDC">
        <w:t xml:space="preserve">interface with </w:t>
      </w:r>
      <w:r w:rsidR="00EF7779">
        <w:t>cost recovery</w:t>
      </w:r>
      <w:r w:rsidR="007D4EDC">
        <w:t xml:space="preserve">. </w:t>
      </w:r>
      <w:r w:rsidR="0054592A">
        <w:t xml:space="preserve">The following proposals have been developed </w:t>
      </w:r>
      <w:r w:rsidR="00D2755B">
        <w:t>to support the aim of achieving full cost recovery</w:t>
      </w:r>
      <w:r w:rsidR="009F025A">
        <w:t xml:space="preserve"> and </w:t>
      </w:r>
      <w:r w:rsidR="004226A9">
        <w:t xml:space="preserve">securing </w:t>
      </w:r>
      <w:r w:rsidR="009F025A">
        <w:t xml:space="preserve">the financial stability of the </w:t>
      </w:r>
      <w:r w:rsidR="00605C45">
        <w:t>TA</w:t>
      </w:r>
      <w:r w:rsidR="004226A9">
        <w:t>-</w:t>
      </w:r>
      <w:r w:rsidR="00605C45">
        <w:t xml:space="preserve">HST </w:t>
      </w:r>
      <w:r w:rsidR="009F025A">
        <w:t>work programme</w:t>
      </w:r>
      <w:r w:rsidR="0054592A">
        <w:t xml:space="preserve">. </w:t>
      </w:r>
      <w:r w:rsidR="00DC0C3B">
        <w:t>Stakeholders are asked to provide feedback on</w:t>
      </w:r>
      <w:bookmarkEnd w:id="0"/>
      <w:r w:rsidR="00605C45">
        <w:t>:</w:t>
      </w:r>
      <w:r w:rsidR="0054592A">
        <w:t xml:space="preserve"> </w:t>
      </w:r>
    </w:p>
    <w:p w14:paraId="6740C66B" w14:textId="12B6F147" w:rsidR="00DC528B" w:rsidRDefault="00620A17" w:rsidP="00E824EB">
      <w:pPr>
        <w:pStyle w:val="Bullets"/>
        <w:numPr>
          <w:ilvl w:val="0"/>
          <w:numId w:val="10"/>
        </w:numPr>
      </w:pPr>
      <w:r>
        <w:t>Confirming evaluation</w:t>
      </w:r>
      <w:r w:rsidR="00DC528B">
        <w:t xml:space="preserve"> timelines and commitment to pay</w:t>
      </w:r>
    </w:p>
    <w:p w14:paraId="3B08E265" w14:textId="18BA7582" w:rsidR="00DC528B" w:rsidRDefault="00DC528B" w:rsidP="00E824EB">
      <w:pPr>
        <w:pStyle w:val="Bullets"/>
        <w:numPr>
          <w:ilvl w:val="0"/>
          <w:numId w:val="10"/>
        </w:numPr>
      </w:pPr>
      <w:r>
        <w:t>Introduction of a change fee</w:t>
      </w:r>
    </w:p>
    <w:p w14:paraId="208A67F9" w14:textId="77777777" w:rsidR="00DC528B" w:rsidRDefault="00DC528B" w:rsidP="00E824EB">
      <w:pPr>
        <w:pStyle w:val="Bullets"/>
        <w:numPr>
          <w:ilvl w:val="0"/>
          <w:numId w:val="10"/>
        </w:numPr>
      </w:pPr>
      <w:r>
        <w:t>A charge for technical engagement</w:t>
      </w:r>
    </w:p>
    <w:p w14:paraId="78C36F01" w14:textId="3C3B3A99" w:rsidR="00DC528B" w:rsidRDefault="002C5483" w:rsidP="00E824EB">
      <w:pPr>
        <w:pStyle w:val="Bullets"/>
        <w:numPr>
          <w:ilvl w:val="0"/>
          <w:numId w:val="10"/>
        </w:numPr>
      </w:pPr>
      <w:r>
        <w:t>The</w:t>
      </w:r>
      <w:r w:rsidR="00DC528B">
        <w:t xml:space="preserve"> charge for pilot topics</w:t>
      </w:r>
      <w:r w:rsidR="0051178B">
        <w:t xml:space="preserve"> and amendments to processes </w:t>
      </w:r>
    </w:p>
    <w:p w14:paraId="7C86785D" w14:textId="5AD0FFF7" w:rsidR="00DC528B" w:rsidRDefault="00DC528B" w:rsidP="00E824EB">
      <w:pPr>
        <w:pStyle w:val="Bullets"/>
        <w:numPr>
          <w:ilvl w:val="0"/>
          <w:numId w:val="10"/>
        </w:numPr>
      </w:pPr>
      <w:r>
        <w:t>Updates to refund procedures</w:t>
      </w:r>
    </w:p>
    <w:p w14:paraId="49ED6A3E" w14:textId="73642D4B" w:rsidR="00C90EA0" w:rsidRPr="00F3398B" w:rsidRDefault="005F51F9" w:rsidP="00090C4C">
      <w:pPr>
        <w:pStyle w:val="Heading2"/>
      </w:pPr>
      <w:r>
        <w:t>Background - t</w:t>
      </w:r>
      <w:r w:rsidR="00156364">
        <w:t>he i</w:t>
      </w:r>
      <w:r w:rsidR="00C90EA0">
        <w:t>mpact of schedul</w:t>
      </w:r>
      <w:r w:rsidR="00156364">
        <w:t>ing</w:t>
      </w:r>
      <w:r w:rsidR="00C90EA0">
        <w:t xml:space="preserve"> changes </w:t>
      </w:r>
    </w:p>
    <w:p w14:paraId="3411ABD5" w14:textId="1BA4748C" w:rsidR="00C90EA0" w:rsidRDefault="00C90EA0" w:rsidP="00C90EA0">
      <w:pPr>
        <w:pStyle w:val="ParagraphNumbered"/>
        <w:ind w:left="426" w:hanging="426"/>
      </w:pPr>
      <w:r>
        <w:t xml:space="preserve">NICE must recover opportunity costs when planned resources are not utilised. NICE </w:t>
      </w:r>
      <w:r w:rsidR="006E040F">
        <w:t>cannot</w:t>
      </w:r>
      <w:r>
        <w:t xml:space="preserve"> produce a consistent cost recovery forecast due to company-driven changes to topic scheduling created by updates to regulatory timelines and company submission plans. This creates instability and difficulties in managing and planning resources for the work programme. Resources allocated to a topic (NICE staff, external assessment groups, committee slots) can be lost if </w:t>
      </w:r>
      <w:r w:rsidR="001A1CE6">
        <w:t>insufficient notice is</w:t>
      </w:r>
      <w:r>
        <w:t xml:space="preserve"> given, as they cannot be reallocated to another topic.</w:t>
      </w:r>
    </w:p>
    <w:p w14:paraId="24F9E605" w14:textId="6A910C1B" w:rsidR="00C90EA0" w:rsidRDefault="00BB1E51" w:rsidP="00C90EA0">
      <w:pPr>
        <w:pStyle w:val="ParagraphNumbered"/>
        <w:ind w:left="426" w:hanging="426"/>
      </w:pPr>
      <w:r>
        <w:t>The following has been</w:t>
      </w:r>
      <w:r w:rsidR="00C90EA0">
        <w:t xml:space="preserve"> analysed:</w:t>
      </w:r>
    </w:p>
    <w:p w14:paraId="21FA06EA" w14:textId="41425C8B" w:rsidR="00C90EA0" w:rsidRDefault="00C90EA0" w:rsidP="0031338A">
      <w:pPr>
        <w:pStyle w:val="Bullets"/>
      </w:pPr>
      <w:r>
        <w:t xml:space="preserve">The process of invoicing - seeking opportunities for NICE process efficiency gains </w:t>
      </w:r>
    </w:p>
    <w:p w14:paraId="0FE80239" w14:textId="77777777" w:rsidR="00C90EA0" w:rsidRDefault="00C90EA0" w:rsidP="0031338A">
      <w:pPr>
        <w:pStyle w:val="Bullets"/>
      </w:pPr>
      <w:r>
        <w:t>The impact of timeline changes - movements in the work programme schedule</w:t>
      </w:r>
    </w:p>
    <w:p w14:paraId="52A9F58F" w14:textId="77F08C6E" w:rsidR="00C90EA0" w:rsidRDefault="00C90EA0" w:rsidP="0031338A">
      <w:pPr>
        <w:pStyle w:val="Bullets"/>
      </w:pPr>
      <w:r>
        <w:lastRenderedPageBreak/>
        <w:t xml:space="preserve">Cost recovery for </w:t>
      </w:r>
      <w:r w:rsidR="009C1C24">
        <w:t xml:space="preserve">topic selection, </w:t>
      </w:r>
      <w:r w:rsidR="009C1C24" w:rsidDel="002B7A1E">
        <w:t>scheduling</w:t>
      </w:r>
      <w:r w:rsidR="002B7A1E">
        <w:t>,</w:t>
      </w:r>
      <w:r w:rsidR="009C1C24">
        <w:t xml:space="preserve"> and </w:t>
      </w:r>
      <w:r>
        <w:t>scoping</w:t>
      </w:r>
    </w:p>
    <w:p w14:paraId="5D3E5945" w14:textId="55BA20B5" w:rsidR="00C90EA0" w:rsidRDefault="00C90EA0" w:rsidP="0031338A">
      <w:pPr>
        <w:pStyle w:val="Bullets"/>
      </w:pPr>
      <w:r>
        <w:t>Lost opportunities for internal and external resource capacity</w:t>
      </w:r>
    </w:p>
    <w:p w14:paraId="3BF3A29B" w14:textId="6FB78227" w:rsidR="00C90EA0" w:rsidRDefault="00C90EA0" w:rsidP="0031338A">
      <w:pPr>
        <w:pStyle w:val="ParagraphNumbered"/>
        <w:spacing w:before="240"/>
        <w:ind w:left="426" w:hanging="426"/>
      </w:pPr>
      <w:r>
        <w:t xml:space="preserve">Currently, to secure payment for the evaluation NICE requests a Unique Reference Number (URN) from the company approximately 3 months before the </w:t>
      </w:r>
      <w:r w:rsidR="00BB1E51">
        <w:t>I</w:t>
      </w:r>
      <w:r>
        <w:t xml:space="preserve">nvitation to </w:t>
      </w:r>
      <w:r w:rsidR="00BB1E51">
        <w:t>P</w:t>
      </w:r>
      <w:r>
        <w:t>articipate (ITP) is issued. Invoice payment</w:t>
      </w:r>
      <w:r w:rsidDel="007E5B6E">
        <w:t xml:space="preserve"> </w:t>
      </w:r>
      <w:r>
        <w:t xml:space="preserve">is required by the </w:t>
      </w:r>
      <w:r w:rsidR="00BB1E51">
        <w:t xml:space="preserve">evidence </w:t>
      </w:r>
      <w:r>
        <w:t xml:space="preserve">submission deadline. </w:t>
      </w:r>
    </w:p>
    <w:p w14:paraId="0CB1D56D" w14:textId="30FE60A1" w:rsidR="00C90EA0" w:rsidRDefault="00C90EA0" w:rsidP="00C90EA0">
      <w:pPr>
        <w:pStyle w:val="ParagraphNumbered"/>
        <w:ind w:left="426" w:hanging="426"/>
      </w:pPr>
      <w:r>
        <w:t xml:space="preserve">As per the </w:t>
      </w:r>
      <w:hyperlink r:id="rId27" w:history="1">
        <w:r w:rsidR="007B340D" w:rsidRPr="007B340D">
          <w:rPr>
            <w:rStyle w:val="Hyperlink"/>
          </w:rPr>
          <w:t xml:space="preserve">NICE </w:t>
        </w:r>
        <w:r w:rsidRPr="007B340D">
          <w:rPr>
            <w:rStyle w:val="Hyperlink"/>
          </w:rPr>
          <w:t>health technology evaluation manual (section 5.2.4</w:t>
        </w:r>
      </w:hyperlink>
      <w:r w:rsidRPr="007B340D">
        <w:t>),</w:t>
      </w:r>
      <w:r>
        <w:t xml:space="preserve"> the scheduling of topics into the NICE work programme </w:t>
      </w:r>
      <w:r w:rsidR="004D6EAE">
        <w:t xml:space="preserve">is </w:t>
      </w:r>
      <w:r>
        <w:t xml:space="preserve">managed using information received from the company on expected MHRA regulatory approval dates and submission readiness. NICE seeks this information from companies at several points before </w:t>
      </w:r>
      <w:r w:rsidR="00F20847">
        <w:t xml:space="preserve">evaluation </w:t>
      </w:r>
      <w:r>
        <w:t xml:space="preserve">timelines are confirmed. </w:t>
      </w:r>
      <w:r w:rsidR="00BB1E51">
        <w:t xml:space="preserve">The </w:t>
      </w:r>
      <w:r>
        <w:t xml:space="preserve">Topic </w:t>
      </w:r>
      <w:r w:rsidR="00BB1E51">
        <w:t>S</w:t>
      </w:r>
      <w:r>
        <w:t>election</w:t>
      </w:r>
      <w:r w:rsidR="00BB1E51">
        <w:t xml:space="preserve"> team</w:t>
      </w:r>
      <w:r>
        <w:t xml:space="preserve"> </w:t>
      </w:r>
      <w:r w:rsidR="00BB1E51">
        <w:t>facilitates</w:t>
      </w:r>
      <w:r>
        <w:t xml:space="preserve"> communications regarding scheduling timelines with the Scheduling Technologies and Regulatory Timelines (START) form.  </w:t>
      </w:r>
    </w:p>
    <w:p w14:paraId="1D556428" w14:textId="47E082E6" w:rsidR="00C90EA0" w:rsidRDefault="00BB1E51" w:rsidP="00C90EA0">
      <w:pPr>
        <w:pStyle w:val="ParagraphNumbered"/>
        <w:ind w:left="426" w:hanging="426"/>
      </w:pPr>
      <w:r>
        <w:t>‘</w:t>
      </w:r>
      <w:r w:rsidR="00C90EA0">
        <w:t>Optimal</w:t>
      </w:r>
      <w:r>
        <w:t>’</w:t>
      </w:r>
      <w:r w:rsidR="00C90EA0">
        <w:t xml:space="preserve"> topics are scheduled in parallel with the anticipated MHRA marketing authorisation dates and final guidance </w:t>
      </w:r>
      <w:r w:rsidR="003A4B3B">
        <w:t xml:space="preserve">is </w:t>
      </w:r>
      <w:r w:rsidR="00C90EA0">
        <w:t xml:space="preserve">expected within </w:t>
      </w:r>
      <w:r>
        <w:t>90</w:t>
      </w:r>
      <w:r w:rsidR="00C90EA0">
        <w:t xml:space="preserve"> days of GB</w:t>
      </w:r>
      <w:r>
        <w:t xml:space="preserve"> </w:t>
      </w:r>
      <w:r w:rsidR="00C90EA0">
        <w:t xml:space="preserve">MA. Companies are asked to confirm submission timelines ahead of the </w:t>
      </w:r>
      <w:r w:rsidR="00E13C60">
        <w:t>start of scope development</w:t>
      </w:r>
      <w:r w:rsidR="00C90EA0">
        <w:t xml:space="preserve">. </w:t>
      </w:r>
    </w:p>
    <w:p w14:paraId="6FF016CA" w14:textId="28E3905B" w:rsidR="00C90EA0" w:rsidRDefault="00C90EA0" w:rsidP="00C90EA0">
      <w:pPr>
        <w:pStyle w:val="ParagraphNumbered"/>
        <w:ind w:left="426" w:hanging="426"/>
      </w:pPr>
      <w:r>
        <w:t xml:space="preserve">However, the company may prefer to submit to NICE on a later alternative submission timeline. These are scheduled as </w:t>
      </w:r>
      <w:r w:rsidR="00BB1E51">
        <w:t>‘</w:t>
      </w:r>
      <w:r>
        <w:t>divergent</w:t>
      </w:r>
      <w:r w:rsidR="00BB1E51">
        <w:t>’</w:t>
      </w:r>
      <w:r>
        <w:t xml:space="preserve"> topics and will not be timely</w:t>
      </w:r>
      <w:r w:rsidR="00BB1E51">
        <w:t xml:space="preserve"> (</w:t>
      </w:r>
      <w:r w:rsidR="003B6109">
        <w:t>i.e.,</w:t>
      </w:r>
      <w:r w:rsidR="00BB1E51">
        <w:t xml:space="preserve"> published within 90 days of GB MA). T</w:t>
      </w:r>
      <w:r>
        <w:t xml:space="preserve">he reasons for divergent topic scheduling can be seen in the </w:t>
      </w:r>
      <w:r w:rsidR="00BB1E51">
        <w:t>formal</w:t>
      </w:r>
      <w:r w:rsidR="00C61E52">
        <w:t xml:space="preserve"> </w:t>
      </w:r>
      <w:hyperlink r:id="rId28" w:history="1">
        <w:r w:rsidR="00C61E52" w:rsidRPr="00C61E52">
          <w:rPr>
            <w:rStyle w:val="Hyperlink"/>
          </w:rPr>
          <w:t>integrated performance report</w:t>
        </w:r>
      </w:hyperlink>
      <w:r w:rsidR="00C61E52">
        <w:t xml:space="preserve"> presented to the NICE board in September 2023.</w:t>
      </w:r>
      <w:r w:rsidR="00BB1E51">
        <w:t xml:space="preserve"> </w:t>
      </w:r>
    </w:p>
    <w:p w14:paraId="3156D22A" w14:textId="299D87EF" w:rsidR="00F60BF6" w:rsidRDefault="009A341E" w:rsidP="00F60BF6">
      <w:pPr>
        <w:pStyle w:val="ParagraphNumbered"/>
        <w:ind w:left="426" w:hanging="426"/>
      </w:pPr>
      <w:r>
        <w:t>Figure 1</w:t>
      </w:r>
      <w:r w:rsidR="00C90EA0">
        <w:t xml:space="preserve"> </w:t>
      </w:r>
      <w:r w:rsidR="00C90EA0" w:rsidRPr="009C1C24">
        <w:t>shows</w:t>
      </w:r>
      <w:r w:rsidR="00C90EA0">
        <w:t xml:space="preserve"> the current </w:t>
      </w:r>
      <w:r w:rsidR="00EE3B8F">
        <w:t>charging mechanism</w:t>
      </w:r>
      <w:r w:rsidR="008864E3">
        <w:t>,</w:t>
      </w:r>
      <w:r w:rsidR="00C90EA0" w:rsidRPr="009C1C24">
        <w:t xml:space="preserve"> </w:t>
      </w:r>
      <w:r w:rsidR="00370F40">
        <w:t xml:space="preserve">associated </w:t>
      </w:r>
      <w:r w:rsidR="004329D2">
        <w:t xml:space="preserve">timelines </w:t>
      </w:r>
      <w:r w:rsidR="00D46CCA">
        <w:t xml:space="preserve">and </w:t>
      </w:r>
      <w:r w:rsidR="0039155B">
        <w:t xml:space="preserve">the </w:t>
      </w:r>
      <w:r w:rsidR="00370F40">
        <w:t xml:space="preserve">topic selection, </w:t>
      </w:r>
      <w:r w:rsidR="00C90EA0" w:rsidDel="00E51487">
        <w:t>scheduling</w:t>
      </w:r>
      <w:r w:rsidR="00E51487">
        <w:t>,</w:t>
      </w:r>
      <w:r w:rsidR="00C90EA0">
        <w:t xml:space="preserve"> and scoping</w:t>
      </w:r>
      <w:r w:rsidR="00370F40">
        <w:t xml:space="preserve"> stages</w:t>
      </w:r>
      <w:r w:rsidR="00C90EA0">
        <w:t>.</w:t>
      </w:r>
      <w:r w:rsidR="00E7727E" w:rsidRPr="00E7727E">
        <w:t xml:space="preserve"> </w:t>
      </w:r>
      <w:r w:rsidR="00F60BF6">
        <w:t>Guidance publication is assumed at month 0.</w:t>
      </w:r>
    </w:p>
    <w:p w14:paraId="3177AC88" w14:textId="6AC96308" w:rsidR="00686E86" w:rsidRPr="00F60BF6" w:rsidRDefault="00686E86" w:rsidP="008864E3">
      <w:pPr>
        <w:pStyle w:val="ParagraphNumbered"/>
        <w:ind w:left="426" w:hanging="426"/>
        <w:sectPr w:rsidR="00686E86" w:rsidRPr="00F60BF6" w:rsidSect="008F6FB7">
          <w:pgSz w:w="11906" w:h="16838"/>
          <w:pgMar w:top="1440" w:right="1800" w:bottom="1440" w:left="1800" w:header="708" w:footer="708" w:gutter="0"/>
          <w:cols w:space="708"/>
          <w:titlePg/>
          <w:docGrid w:linePitch="360"/>
        </w:sectPr>
      </w:pPr>
    </w:p>
    <w:p w14:paraId="3673F2D2" w14:textId="29829B9D" w:rsidR="00B51F45" w:rsidRPr="008864E3" w:rsidRDefault="009A341E" w:rsidP="008864E3">
      <w:pPr>
        <w:pStyle w:val="Tableheading"/>
        <w:spacing w:before="0"/>
        <w:rPr>
          <w:bCs/>
          <w:sz w:val="24"/>
        </w:rPr>
      </w:pPr>
      <w:r>
        <w:rPr>
          <w:bCs/>
          <w:sz w:val="24"/>
        </w:rPr>
        <w:lastRenderedPageBreak/>
        <w:t>Figure</w:t>
      </w:r>
      <w:r w:rsidR="00B51F45" w:rsidRPr="008864E3">
        <w:rPr>
          <w:bCs/>
          <w:sz w:val="24"/>
        </w:rPr>
        <w:t xml:space="preserve"> </w:t>
      </w:r>
      <w:r w:rsidR="001F4558" w:rsidRPr="008864E3">
        <w:rPr>
          <w:bCs/>
          <w:sz w:val="24"/>
        </w:rPr>
        <w:t>1</w:t>
      </w:r>
      <w:r w:rsidR="00B51F45" w:rsidRPr="008864E3">
        <w:rPr>
          <w:bCs/>
          <w:sz w:val="24"/>
        </w:rPr>
        <w:t xml:space="preserve"> – charging </w:t>
      </w:r>
      <w:proofErr w:type="gramStart"/>
      <w:r w:rsidR="00B51F45" w:rsidRPr="008864E3">
        <w:rPr>
          <w:bCs/>
          <w:sz w:val="24"/>
        </w:rPr>
        <w:t>mechanism</w:t>
      </w:r>
      <w:proofErr w:type="gramEnd"/>
    </w:p>
    <w:p w14:paraId="70D3661A" w14:textId="0ED51573" w:rsidR="00C90EA0" w:rsidRDefault="0090422C" w:rsidP="00210437">
      <w:pPr>
        <w:pStyle w:val="ParagraphNumbered"/>
        <w:numPr>
          <w:ilvl w:val="0"/>
          <w:numId w:val="0"/>
        </w:numPr>
        <w:spacing w:before="120"/>
      </w:pPr>
      <w:r w:rsidRPr="0090422C">
        <w:t xml:space="preserve"> </w:t>
      </w:r>
      <w:r w:rsidR="00DF6C0E">
        <w:object w:dxaOrig="8076" w:dyaOrig="7345" w14:anchorId="1F8D4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urrent timeline of key milestones for TA-HSTs and charging" style="width:403.5pt;height:367.5pt" o:ole="">
            <v:imagedata r:id="rId29" o:title=""/>
          </v:shape>
          <o:OLEObject Type="Embed" ProgID="Visio.Drawing.15" ShapeID="_x0000_i1025" DrawAspect="Content" ObjectID="_1762005049" r:id="rId30"/>
        </w:object>
      </w:r>
    </w:p>
    <w:p w14:paraId="329382E9" w14:textId="0C2C60EE" w:rsidR="0060773B" w:rsidRDefault="00FB1E7A">
      <w:pPr>
        <w:pStyle w:val="ParagraphNumbered"/>
        <w:ind w:left="426" w:hanging="426"/>
      </w:pPr>
      <w:r>
        <w:t>The scheduling team monitors the number of topic movements in the work programme</w:t>
      </w:r>
      <w:r w:rsidR="00C90EA0">
        <w:t>. In the period April to October 2023, 41% of scheduling changes were related to a licencing change, and 37% were through company requests. These changes create a tension between achieving full cost recovery and planning the work programme to meet timeliness targets.</w:t>
      </w:r>
    </w:p>
    <w:p w14:paraId="303D4AEB" w14:textId="48B159C0" w:rsidR="00C90EA0" w:rsidRDefault="00C90EA0" w:rsidP="0060773B">
      <w:pPr>
        <w:pStyle w:val="ParagraphNumbered"/>
        <w:ind w:left="426" w:hanging="426"/>
      </w:pPr>
      <w:r>
        <w:t xml:space="preserve">Table </w:t>
      </w:r>
      <w:r w:rsidR="00933333" w:rsidRPr="005F7000">
        <w:t>3</w:t>
      </w:r>
      <w:r>
        <w:t xml:space="preserve"> provides a summary of the topic scheduling changes for the current business year 2023-24. </w:t>
      </w:r>
    </w:p>
    <w:p w14:paraId="61CD9CA2" w14:textId="77777777" w:rsidR="00722C47" w:rsidRDefault="00722C47" w:rsidP="00933333">
      <w:pPr>
        <w:pStyle w:val="Tableheading"/>
        <w:spacing w:before="0"/>
        <w:rPr>
          <w:rStyle w:val="cf01"/>
          <w:rFonts w:ascii="Arial" w:hAnsi="Arial" w:cs="Times New Roman"/>
          <w:bCs/>
          <w:sz w:val="24"/>
          <w:szCs w:val="24"/>
        </w:rPr>
        <w:sectPr w:rsidR="00722C47" w:rsidSect="008F6FB7">
          <w:pgSz w:w="11906" w:h="16838"/>
          <w:pgMar w:top="1440" w:right="1800" w:bottom="1440" w:left="1800" w:header="708" w:footer="708" w:gutter="0"/>
          <w:cols w:space="708"/>
          <w:titlePg/>
          <w:docGrid w:linePitch="360"/>
        </w:sectPr>
      </w:pPr>
    </w:p>
    <w:p w14:paraId="71E9588C" w14:textId="6849381F" w:rsidR="00933333" w:rsidRPr="00933333" w:rsidRDefault="00933333" w:rsidP="00933333">
      <w:pPr>
        <w:pStyle w:val="Tableheading"/>
        <w:spacing w:before="0"/>
        <w:rPr>
          <w:rStyle w:val="cf01"/>
          <w:rFonts w:ascii="Arial" w:hAnsi="Arial" w:cs="Times New Roman"/>
          <w:bCs/>
          <w:sz w:val="24"/>
          <w:szCs w:val="24"/>
        </w:rPr>
      </w:pPr>
      <w:r w:rsidRPr="00933333">
        <w:rPr>
          <w:rStyle w:val="cf01"/>
          <w:rFonts w:ascii="Arial" w:hAnsi="Arial" w:cs="Times New Roman"/>
          <w:bCs/>
          <w:sz w:val="24"/>
          <w:szCs w:val="24"/>
        </w:rPr>
        <w:lastRenderedPageBreak/>
        <w:t xml:space="preserve">Table </w:t>
      </w:r>
      <w:r>
        <w:rPr>
          <w:rStyle w:val="cf01"/>
          <w:rFonts w:ascii="Arial" w:hAnsi="Arial" w:cs="Times New Roman"/>
          <w:bCs/>
          <w:sz w:val="24"/>
          <w:szCs w:val="24"/>
        </w:rPr>
        <w:t>3</w:t>
      </w:r>
      <w:r w:rsidRPr="00933333">
        <w:rPr>
          <w:rStyle w:val="cf01"/>
          <w:rFonts w:ascii="Arial" w:hAnsi="Arial" w:cs="Times New Roman"/>
          <w:bCs/>
          <w:sz w:val="24"/>
          <w:szCs w:val="24"/>
        </w:rPr>
        <w:t xml:space="preserve"> – </w:t>
      </w:r>
      <w:r w:rsidR="00E55EC0">
        <w:rPr>
          <w:rStyle w:val="cf01"/>
          <w:rFonts w:ascii="Arial" w:hAnsi="Arial" w:cs="Times New Roman"/>
          <w:bCs/>
          <w:sz w:val="24"/>
          <w:szCs w:val="24"/>
        </w:rPr>
        <w:t>topic scheduling changes for 2023-24</w:t>
      </w:r>
    </w:p>
    <w:tbl>
      <w:tblPr>
        <w:tblStyle w:val="TableGridLight"/>
        <w:tblW w:w="0" w:type="auto"/>
        <w:tblInd w:w="426" w:type="dxa"/>
        <w:tblLook w:val="04A0" w:firstRow="1" w:lastRow="0" w:firstColumn="1" w:lastColumn="0" w:noHBand="0" w:noVBand="1"/>
      </w:tblPr>
      <w:tblGrid>
        <w:gridCol w:w="1129"/>
        <w:gridCol w:w="1983"/>
        <w:gridCol w:w="1984"/>
        <w:gridCol w:w="1984"/>
      </w:tblGrid>
      <w:tr w:rsidR="00C90EA0" w14:paraId="1D5AF50C" w14:textId="77777777" w:rsidTr="00CD1714">
        <w:tc>
          <w:tcPr>
            <w:tcW w:w="1129" w:type="dxa"/>
            <w:vAlign w:val="center"/>
          </w:tcPr>
          <w:p w14:paraId="3A6FE81F" w14:textId="77777777" w:rsidR="00C90EA0" w:rsidRPr="00996C95" w:rsidRDefault="00C90EA0">
            <w:pPr>
              <w:pStyle w:val="Tableheading"/>
            </w:pPr>
            <w:r w:rsidRPr="00996C95">
              <w:t>Month</w:t>
            </w:r>
          </w:p>
        </w:tc>
        <w:tc>
          <w:tcPr>
            <w:tcW w:w="1983" w:type="dxa"/>
            <w:vAlign w:val="center"/>
          </w:tcPr>
          <w:p w14:paraId="7228C36D" w14:textId="77777777" w:rsidR="00C90EA0" w:rsidRPr="00996C95" w:rsidRDefault="00C90EA0">
            <w:pPr>
              <w:pStyle w:val="Tableheading"/>
            </w:pPr>
            <w:r w:rsidRPr="00996C95">
              <w:t>Company request</w:t>
            </w:r>
          </w:p>
        </w:tc>
        <w:tc>
          <w:tcPr>
            <w:tcW w:w="1984" w:type="dxa"/>
            <w:vAlign w:val="center"/>
          </w:tcPr>
          <w:p w14:paraId="20DE2875" w14:textId="77777777" w:rsidR="00C90EA0" w:rsidRPr="00996C95" w:rsidRDefault="00C90EA0">
            <w:pPr>
              <w:pStyle w:val="Tableheading"/>
            </w:pPr>
            <w:r w:rsidRPr="00996C95">
              <w:t>Licencing change (MHRA)</w:t>
            </w:r>
          </w:p>
        </w:tc>
        <w:tc>
          <w:tcPr>
            <w:tcW w:w="1984" w:type="dxa"/>
            <w:vAlign w:val="center"/>
          </w:tcPr>
          <w:p w14:paraId="05C2CDB9" w14:textId="78764746" w:rsidR="00C90EA0" w:rsidRPr="00996C95" w:rsidRDefault="00C90EA0">
            <w:pPr>
              <w:pStyle w:val="Tableheading"/>
            </w:pPr>
            <w:r w:rsidRPr="00996C95">
              <w:t>Other</w:t>
            </w:r>
          </w:p>
        </w:tc>
      </w:tr>
      <w:tr w:rsidR="00C90EA0" w14:paraId="5104AFD6" w14:textId="77777777" w:rsidTr="00CD1714">
        <w:tc>
          <w:tcPr>
            <w:tcW w:w="1129" w:type="dxa"/>
            <w:vAlign w:val="center"/>
          </w:tcPr>
          <w:p w14:paraId="457781BC" w14:textId="77777777" w:rsidR="00C90EA0" w:rsidRDefault="00C90EA0">
            <w:pPr>
              <w:pStyle w:val="Tabletext"/>
            </w:pPr>
            <w:r>
              <w:t>Apr-23</w:t>
            </w:r>
          </w:p>
        </w:tc>
        <w:tc>
          <w:tcPr>
            <w:tcW w:w="1983" w:type="dxa"/>
            <w:vAlign w:val="center"/>
          </w:tcPr>
          <w:p w14:paraId="14B8E1DD" w14:textId="77777777" w:rsidR="00C90EA0" w:rsidRDefault="00C90EA0" w:rsidP="0048566F">
            <w:pPr>
              <w:pStyle w:val="Tabletext"/>
              <w:jc w:val="right"/>
            </w:pPr>
            <w:r>
              <w:t>11</w:t>
            </w:r>
          </w:p>
        </w:tc>
        <w:tc>
          <w:tcPr>
            <w:tcW w:w="1984" w:type="dxa"/>
            <w:vAlign w:val="center"/>
          </w:tcPr>
          <w:p w14:paraId="13BDA997" w14:textId="77777777" w:rsidR="00C90EA0" w:rsidRDefault="00C90EA0" w:rsidP="0048566F">
            <w:pPr>
              <w:pStyle w:val="Tabletext"/>
              <w:jc w:val="right"/>
            </w:pPr>
            <w:r>
              <w:t>10</w:t>
            </w:r>
          </w:p>
        </w:tc>
        <w:tc>
          <w:tcPr>
            <w:tcW w:w="1984" w:type="dxa"/>
            <w:vAlign w:val="center"/>
          </w:tcPr>
          <w:p w14:paraId="6E1FB236" w14:textId="77777777" w:rsidR="00C90EA0" w:rsidRDefault="00C90EA0" w:rsidP="0048566F">
            <w:pPr>
              <w:pStyle w:val="Tabletext"/>
              <w:jc w:val="right"/>
            </w:pPr>
            <w:r>
              <w:t>22</w:t>
            </w:r>
          </w:p>
        </w:tc>
      </w:tr>
      <w:tr w:rsidR="00C90EA0" w14:paraId="1297BA3F" w14:textId="77777777" w:rsidTr="00CD1714">
        <w:tc>
          <w:tcPr>
            <w:tcW w:w="1129" w:type="dxa"/>
            <w:vAlign w:val="center"/>
          </w:tcPr>
          <w:p w14:paraId="3BDA8613" w14:textId="77777777" w:rsidR="00C90EA0" w:rsidRDefault="00C90EA0">
            <w:pPr>
              <w:pStyle w:val="Tabletext"/>
            </w:pPr>
            <w:r>
              <w:t>May-23</w:t>
            </w:r>
          </w:p>
        </w:tc>
        <w:tc>
          <w:tcPr>
            <w:tcW w:w="1983" w:type="dxa"/>
            <w:vAlign w:val="center"/>
          </w:tcPr>
          <w:p w14:paraId="49565EDE" w14:textId="77777777" w:rsidR="00C90EA0" w:rsidRDefault="00C90EA0" w:rsidP="0048566F">
            <w:pPr>
              <w:pStyle w:val="Tabletext"/>
              <w:jc w:val="right"/>
            </w:pPr>
            <w:r>
              <w:t>16</w:t>
            </w:r>
          </w:p>
        </w:tc>
        <w:tc>
          <w:tcPr>
            <w:tcW w:w="1984" w:type="dxa"/>
            <w:vAlign w:val="center"/>
          </w:tcPr>
          <w:p w14:paraId="11824DEE" w14:textId="77777777" w:rsidR="00C90EA0" w:rsidRDefault="00C90EA0" w:rsidP="0048566F">
            <w:pPr>
              <w:pStyle w:val="Tabletext"/>
              <w:jc w:val="right"/>
            </w:pPr>
            <w:r>
              <w:t>19</w:t>
            </w:r>
          </w:p>
        </w:tc>
        <w:tc>
          <w:tcPr>
            <w:tcW w:w="1984" w:type="dxa"/>
            <w:vAlign w:val="center"/>
          </w:tcPr>
          <w:p w14:paraId="4EF470C9" w14:textId="77777777" w:rsidR="00C90EA0" w:rsidRDefault="00C90EA0" w:rsidP="0048566F">
            <w:pPr>
              <w:pStyle w:val="Tabletext"/>
              <w:jc w:val="right"/>
            </w:pPr>
            <w:r>
              <w:t>5</w:t>
            </w:r>
          </w:p>
        </w:tc>
      </w:tr>
      <w:tr w:rsidR="00C90EA0" w14:paraId="31F97AF9" w14:textId="77777777" w:rsidTr="00CD1714">
        <w:tc>
          <w:tcPr>
            <w:tcW w:w="1129" w:type="dxa"/>
            <w:vAlign w:val="center"/>
          </w:tcPr>
          <w:p w14:paraId="61D0B397" w14:textId="77777777" w:rsidR="00C90EA0" w:rsidRDefault="00C90EA0">
            <w:pPr>
              <w:pStyle w:val="Tabletext"/>
            </w:pPr>
            <w:r>
              <w:t>Jun-23</w:t>
            </w:r>
          </w:p>
        </w:tc>
        <w:tc>
          <w:tcPr>
            <w:tcW w:w="1983" w:type="dxa"/>
            <w:vAlign w:val="center"/>
          </w:tcPr>
          <w:p w14:paraId="1E86843F" w14:textId="77777777" w:rsidR="00C90EA0" w:rsidRDefault="00C90EA0" w:rsidP="0048566F">
            <w:pPr>
              <w:pStyle w:val="Tabletext"/>
              <w:jc w:val="right"/>
            </w:pPr>
            <w:r>
              <w:t>9</w:t>
            </w:r>
          </w:p>
        </w:tc>
        <w:tc>
          <w:tcPr>
            <w:tcW w:w="1984" w:type="dxa"/>
            <w:vAlign w:val="center"/>
          </w:tcPr>
          <w:p w14:paraId="298C16F1" w14:textId="77777777" w:rsidR="00C90EA0" w:rsidRDefault="00C90EA0" w:rsidP="0048566F">
            <w:pPr>
              <w:pStyle w:val="Tabletext"/>
              <w:jc w:val="right"/>
            </w:pPr>
            <w:r>
              <w:t>11</w:t>
            </w:r>
          </w:p>
        </w:tc>
        <w:tc>
          <w:tcPr>
            <w:tcW w:w="1984" w:type="dxa"/>
            <w:vAlign w:val="center"/>
          </w:tcPr>
          <w:p w14:paraId="7E58DBE9" w14:textId="77777777" w:rsidR="00C90EA0" w:rsidRDefault="00C90EA0" w:rsidP="0048566F">
            <w:pPr>
              <w:pStyle w:val="Tabletext"/>
              <w:jc w:val="right"/>
            </w:pPr>
            <w:r>
              <w:t>5</w:t>
            </w:r>
          </w:p>
        </w:tc>
      </w:tr>
      <w:tr w:rsidR="00C90EA0" w14:paraId="0C8AB93D" w14:textId="77777777" w:rsidTr="00CD1714">
        <w:tc>
          <w:tcPr>
            <w:tcW w:w="1129" w:type="dxa"/>
            <w:vAlign w:val="center"/>
          </w:tcPr>
          <w:p w14:paraId="4AEF69B7" w14:textId="77777777" w:rsidR="00C90EA0" w:rsidRDefault="00C90EA0">
            <w:pPr>
              <w:pStyle w:val="Tabletext"/>
            </w:pPr>
            <w:r>
              <w:t>Jul-23</w:t>
            </w:r>
          </w:p>
        </w:tc>
        <w:tc>
          <w:tcPr>
            <w:tcW w:w="1983" w:type="dxa"/>
            <w:vAlign w:val="center"/>
          </w:tcPr>
          <w:p w14:paraId="5DB7615A" w14:textId="77777777" w:rsidR="00C90EA0" w:rsidRDefault="00C90EA0" w:rsidP="0048566F">
            <w:pPr>
              <w:pStyle w:val="Tabletext"/>
              <w:jc w:val="right"/>
            </w:pPr>
            <w:r>
              <w:t>19</w:t>
            </w:r>
          </w:p>
        </w:tc>
        <w:tc>
          <w:tcPr>
            <w:tcW w:w="1984" w:type="dxa"/>
            <w:vAlign w:val="center"/>
          </w:tcPr>
          <w:p w14:paraId="5F1EABA9" w14:textId="77777777" w:rsidR="00C90EA0" w:rsidRDefault="00C90EA0" w:rsidP="0048566F">
            <w:pPr>
              <w:pStyle w:val="Tabletext"/>
              <w:jc w:val="right"/>
            </w:pPr>
            <w:r>
              <w:t>14</w:t>
            </w:r>
          </w:p>
        </w:tc>
        <w:tc>
          <w:tcPr>
            <w:tcW w:w="1984" w:type="dxa"/>
            <w:vAlign w:val="center"/>
          </w:tcPr>
          <w:p w14:paraId="36AC56CD" w14:textId="77777777" w:rsidR="00C90EA0" w:rsidRDefault="00C90EA0" w:rsidP="0048566F">
            <w:pPr>
              <w:pStyle w:val="Tabletext"/>
              <w:jc w:val="right"/>
            </w:pPr>
            <w:r>
              <w:t>11</w:t>
            </w:r>
          </w:p>
        </w:tc>
      </w:tr>
      <w:tr w:rsidR="00C90EA0" w14:paraId="36310FE3" w14:textId="77777777" w:rsidTr="00CD1714">
        <w:tc>
          <w:tcPr>
            <w:tcW w:w="1129" w:type="dxa"/>
            <w:vAlign w:val="center"/>
          </w:tcPr>
          <w:p w14:paraId="40F10691" w14:textId="77777777" w:rsidR="00C90EA0" w:rsidRDefault="00C90EA0">
            <w:pPr>
              <w:pStyle w:val="Tabletext"/>
            </w:pPr>
            <w:r>
              <w:t>Aug-23</w:t>
            </w:r>
          </w:p>
        </w:tc>
        <w:tc>
          <w:tcPr>
            <w:tcW w:w="1983" w:type="dxa"/>
            <w:vAlign w:val="center"/>
          </w:tcPr>
          <w:p w14:paraId="7995C55C" w14:textId="77777777" w:rsidR="00C90EA0" w:rsidRDefault="00C90EA0" w:rsidP="0048566F">
            <w:pPr>
              <w:pStyle w:val="Tabletext"/>
              <w:jc w:val="right"/>
            </w:pPr>
            <w:r>
              <w:t>18</w:t>
            </w:r>
          </w:p>
        </w:tc>
        <w:tc>
          <w:tcPr>
            <w:tcW w:w="1984" w:type="dxa"/>
            <w:vAlign w:val="center"/>
          </w:tcPr>
          <w:p w14:paraId="01C14EB7" w14:textId="77777777" w:rsidR="00C90EA0" w:rsidRDefault="00C90EA0" w:rsidP="0048566F">
            <w:pPr>
              <w:pStyle w:val="Tabletext"/>
              <w:jc w:val="right"/>
            </w:pPr>
            <w:r>
              <w:t>11</w:t>
            </w:r>
          </w:p>
        </w:tc>
        <w:tc>
          <w:tcPr>
            <w:tcW w:w="1984" w:type="dxa"/>
            <w:vAlign w:val="center"/>
          </w:tcPr>
          <w:p w14:paraId="6FF5725B" w14:textId="77777777" w:rsidR="00C90EA0" w:rsidRDefault="00C90EA0" w:rsidP="0048566F">
            <w:pPr>
              <w:pStyle w:val="Tabletext"/>
              <w:jc w:val="right"/>
            </w:pPr>
            <w:r>
              <w:t>2</w:t>
            </w:r>
          </w:p>
        </w:tc>
      </w:tr>
      <w:tr w:rsidR="00C90EA0" w14:paraId="748AB368" w14:textId="77777777" w:rsidTr="00CD1714">
        <w:tc>
          <w:tcPr>
            <w:tcW w:w="1129" w:type="dxa"/>
            <w:vAlign w:val="center"/>
          </w:tcPr>
          <w:p w14:paraId="133B4791" w14:textId="77777777" w:rsidR="00C90EA0" w:rsidRDefault="00C90EA0">
            <w:pPr>
              <w:pStyle w:val="Tabletext"/>
            </w:pPr>
            <w:r>
              <w:t>Sep-23</w:t>
            </w:r>
          </w:p>
        </w:tc>
        <w:tc>
          <w:tcPr>
            <w:tcW w:w="1983" w:type="dxa"/>
            <w:vAlign w:val="center"/>
          </w:tcPr>
          <w:p w14:paraId="64353FD1" w14:textId="77777777" w:rsidR="00C90EA0" w:rsidRDefault="00C90EA0" w:rsidP="0048566F">
            <w:pPr>
              <w:pStyle w:val="Tabletext"/>
              <w:jc w:val="right"/>
            </w:pPr>
            <w:r>
              <w:t>11</w:t>
            </w:r>
          </w:p>
        </w:tc>
        <w:tc>
          <w:tcPr>
            <w:tcW w:w="1984" w:type="dxa"/>
            <w:vAlign w:val="center"/>
          </w:tcPr>
          <w:p w14:paraId="69DE3354" w14:textId="77777777" w:rsidR="00C90EA0" w:rsidRDefault="00C90EA0" w:rsidP="0048566F">
            <w:pPr>
              <w:pStyle w:val="Tabletext"/>
              <w:jc w:val="right"/>
            </w:pPr>
            <w:r>
              <w:t>7</w:t>
            </w:r>
          </w:p>
        </w:tc>
        <w:tc>
          <w:tcPr>
            <w:tcW w:w="1984" w:type="dxa"/>
            <w:vAlign w:val="center"/>
          </w:tcPr>
          <w:p w14:paraId="0C6407C4" w14:textId="77777777" w:rsidR="00C90EA0" w:rsidRDefault="00C90EA0" w:rsidP="0048566F">
            <w:pPr>
              <w:pStyle w:val="Tabletext"/>
              <w:jc w:val="right"/>
            </w:pPr>
            <w:r>
              <w:t>4</w:t>
            </w:r>
          </w:p>
        </w:tc>
      </w:tr>
      <w:tr w:rsidR="00C90EA0" w14:paraId="6B9781F5" w14:textId="77777777" w:rsidTr="00CD1714">
        <w:tc>
          <w:tcPr>
            <w:tcW w:w="1129" w:type="dxa"/>
            <w:vAlign w:val="center"/>
          </w:tcPr>
          <w:p w14:paraId="08118862" w14:textId="77777777" w:rsidR="00C90EA0" w:rsidRDefault="00C90EA0">
            <w:pPr>
              <w:pStyle w:val="Tabletext"/>
            </w:pPr>
            <w:r>
              <w:t>Oct-23</w:t>
            </w:r>
          </w:p>
        </w:tc>
        <w:tc>
          <w:tcPr>
            <w:tcW w:w="1983" w:type="dxa"/>
            <w:vAlign w:val="center"/>
          </w:tcPr>
          <w:p w14:paraId="23A9C4C9" w14:textId="77777777" w:rsidR="00C90EA0" w:rsidRDefault="00C90EA0" w:rsidP="0048566F">
            <w:pPr>
              <w:pStyle w:val="Tabletext"/>
              <w:jc w:val="right"/>
            </w:pPr>
            <w:r>
              <w:t>7</w:t>
            </w:r>
          </w:p>
        </w:tc>
        <w:tc>
          <w:tcPr>
            <w:tcW w:w="1984" w:type="dxa"/>
            <w:vAlign w:val="center"/>
          </w:tcPr>
          <w:p w14:paraId="42EF1ACD" w14:textId="77777777" w:rsidR="00C90EA0" w:rsidRDefault="00C90EA0" w:rsidP="0048566F">
            <w:pPr>
              <w:pStyle w:val="Tabletext"/>
              <w:jc w:val="right"/>
            </w:pPr>
            <w:r>
              <w:t>29</w:t>
            </w:r>
          </w:p>
        </w:tc>
        <w:tc>
          <w:tcPr>
            <w:tcW w:w="1984" w:type="dxa"/>
            <w:vAlign w:val="center"/>
          </w:tcPr>
          <w:p w14:paraId="69E404C2" w14:textId="77777777" w:rsidR="00C90EA0" w:rsidRDefault="00C90EA0" w:rsidP="0048566F">
            <w:pPr>
              <w:pStyle w:val="Tabletext"/>
              <w:jc w:val="right"/>
            </w:pPr>
            <w:r>
              <w:t>4</w:t>
            </w:r>
          </w:p>
        </w:tc>
      </w:tr>
      <w:tr w:rsidR="00C90EA0" w14:paraId="29F704EE" w14:textId="77777777" w:rsidTr="00CD1714">
        <w:tc>
          <w:tcPr>
            <w:tcW w:w="1129" w:type="dxa"/>
            <w:vAlign w:val="center"/>
          </w:tcPr>
          <w:p w14:paraId="2E617B08" w14:textId="77777777" w:rsidR="00C90EA0" w:rsidRDefault="00C90EA0">
            <w:pPr>
              <w:pStyle w:val="Tabletext"/>
            </w:pPr>
            <w:r>
              <w:rPr>
                <w:b/>
                <w:bCs/>
              </w:rPr>
              <w:t>Total</w:t>
            </w:r>
          </w:p>
        </w:tc>
        <w:tc>
          <w:tcPr>
            <w:tcW w:w="1983" w:type="dxa"/>
            <w:vAlign w:val="center"/>
          </w:tcPr>
          <w:p w14:paraId="6CB9B274" w14:textId="77777777" w:rsidR="00C90EA0" w:rsidRDefault="00C90EA0" w:rsidP="0048566F">
            <w:pPr>
              <w:pStyle w:val="Tabletext"/>
              <w:jc w:val="right"/>
            </w:pPr>
            <w:r>
              <w:rPr>
                <w:b/>
              </w:rPr>
              <w:t>91</w:t>
            </w:r>
          </w:p>
        </w:tc>
        <w:tc>
          <w:tcPr>
            <w:tcW w:w="1984" w:type="dxa"/>
            <w:vAlign w:val="center"/>
          </w:tcPr>
          <w:p w14:paraId="2AFFF019" w14:textId="77777777" w:rsidR="00C90EA0" w:rsidRDefault="00C90EA0" w:rsidP="0048566F">
            <w:pPr>
              <w:pStyle w:val="Tabletext"/>
              <w:jc w:val="right"/>
            </w:pPr>
            <w:r>
              <w:rPr>
                <w:b/>
                <w:bCs/>
              </w:rPr>
              <w:t>101</w:t>
            </w:r>
          </w:p>
        </w:tc>
        <w:tc>
          <w:tcPr>
            <w:tcW w:w="1984" w:type="dxa"/>
            <w:vAlign w:val="center"/>
          </w:tcPr>
          <w:p w14:paraId="37AAAE8C" w14:textId="77777777" w:rsidR="00C90EA0" w:rsidRDefault="00C90EA0" w:rsidP="0048566F">
            <w:pPr>
              <w:pStyle w:val="Tabletext"/>
              <w:jc w:val="right"/>
            </w:pPr>
            <w:r>
              <w:rPr>
                <w:b/>
                <w:bCs/>
              </w:rPr>
              <w:t>53</w:t>
            </w:r>
          </w:p>
        </w:tc>
      </w:tr>
      <w:tr w:rsidR="00C90EA0" w14:paraId="14D710CC" w14:textId="77777777" w:rsidTr="00CD1714">
        <w:tc>
          <w:tcPr>
            <w:tcW w:w="1129" w:type="dxa"/>
            <w:vAlign w:val="center"/>
          </w:tcPr>
          <w:p w14:paraId="0484F0A9" w14:textId="77777777" w:rsidR="00C90EA0" w:rsidRDefault="00C90EA0">
            <w:pPr>
              <w:pStyle w:val="Tabletext"/>
            </w:pPr>
            <w:r>
              <w:t>% of total</w:t>
            </w:r>
          </w:p>
        </w:tc>
        <w:tc>
          <w:tcPr>
            <w:tcW w:w="1983" w:type="dxa"/>
            <w:vAlign w:val="center"/>
          </w:tcPr>
          <w:p w14:paraId="7B1140D5" w14:textId="77777777" w:rsidR="00C90EA0" w:rsidRDefault="00C90EA0" w:rsidP="0048566F">
            <w:pPr>
              <w:pStyle w:val="Tabletext"/>
              <w:jc w:val="right"/>
            </w:pPr>
            <w:r>
              <w:t>37%</w:t>
            </w:r>
          </w:p>
        </w:tc>
        <w:tc>
          <w:tcPr>
            <w:tcW w:w="1984" w:type="dxa"/>
            <w:vAlign w:val="center"/>
          </w:tcPr>
          <w:p w14:paraId="5FF1297B" w14:textId="77777777" w:rsidR="00C90EA0" w:rsidRDefault="00C90EA0" w:rsidP="0048566F">
            <w:pPr>
              <w:pStyle w:val="Tabletext"/>
              <w:jc w:val="right"/>
            </w:pPr>
            <w:r>
              <w:t>41%</w:t>
            </w:r>
          </w:p>
        </w:tc>
        <w:tc>
          <w:tcPr>
            <w:tcW w:w="1984" w:type="dxa"/>
            <w:vAlign w:val="center"/>
          </w:tcPr>
          <w:p w14:paraId="41D1487F" w14:textId="77777777" w:rsidR="00C90EA0" w:rsidRDefault="00C90EA0" w:rsidP="0048566F">
            <w:pPr>
              <w:pStyle w:val="Tabletext"/>
              <w:jc w:val="right"/>
            </w:pPr>
            <w:r>
              <w:t>22%</w:t>
            </w:r>
          </w:p>
        </w:tc>
      </w:tr>
    </w:tbl>
    <w:p w14:paraId="5B5A3FEF" w14:textId="38C79CD6" w:rsidR="00C90EA0" w:rsidRDefault="00C90EA0" w:rsidP="006067C6">
      <w:pPr>
        <w:pStyle w:val="Heading3"/>
      </w:pPr>
      <w:r w:rsidRPr="00833B06">
        <w:t>Proposal</w:t>
      </w:r>
      <w:r>
        <w:t xml:space="preserve"> </w:t>
      </w:r>
      <w:r w:rsidR="00765A72">
        <w:t>1</w:t>
      </w:r>
      <w:r>
        <w:t xml:space="preserve"> – </w:t>
      </w:r>
      <w:r w:rsidR="00D27F40">
        <w:t>Confirming evaluation</w:t>
      </w:r>
      <w:r>
        <w:t xml:space="preserve"> timelines and commitment to </w:t>
      </w:r>
      <w:proofErr w:type="gramStart"/>
      <w:r>
        <w:t>pay</w:t>
      </w:r>
      <w:proofErr w:type="gramEnd"/>
    </w:p>
    <w:p w14:paraId="30539874" w14:textId="3CFC85D9" w:rsidR="00C90EA0" w:rsidRDefault="00C90EA0" w:rsidP="00C90EA0">
      <w:pPr>
        <w:pStyle w:val="ParagraphNumbered"/>
        <w:ind w:left="284" w:hanging="426"/>
      </w:pPr>
      <w:r>
        <w:t>The topic selection stage determines whether a topic will be selected for evaluation</w:t>
      </w:r>
      <w:r w:rsidR="00722C47">
        <w:t xml:space="preserve"> and at this point c</w:t>
      </w:r>
      <w:r>
        <w:t>ompanies are informed of the proposed NICE submission dates. The company will be required to signal their preference for optimal (aligned to marketing authorisation dates) or divergent scheduling (aligned to the company's preferred NICE submission date) when completing the START form.</w:t>
      </w:r>
    </w:p>
    <w:p w14:paraId="5E9AAF9D" w14:textId="432C0B13" w:rsidR="002F2628" w:rsidRDefault="00C90EA0" w:rsidP="00627F37">
      <w:pPr>
        <w:pStyle w:val="ParagraphNumbered"/>
        <w:ind w:left="426" w:hanging="426"/>
      </w:pPr>
      <w:r>
        <w:t>Upon receipt of the START form the scheduling team will plan scoping and evaluation timelines based on the company's preference. Once a company confirms in writing they accept the evaluation timelines including the ITP date and submission deadline, they will be asked to provide a URN. The</w:t>
      </w:r>
      <w:r w:rsidR="00293CB6">
        <w:t xml:space="preserve"> URN </w:t>
      </w:r>
      <w:r w:rsidR="0034491D">
        <w:t>demonstrates a commitment</w:t>
      </w:r>
      <w:r>
        <w:t xml:space="preserve"> to the agreed timelines and to pay the associated charge. </w:t>
      </w:r>
      <w:r w:rsidR="00F027B0">
        <w:t>The URN must be received</w:t>
      </w:r>
      <w:r w:rsidR="00205377">
        <w:t xml:space="preserve"> for the</w:t>
      </w:r>
      <w:r w:rsidR="007E50B9">
        <w:t xml:space="preserve"> timeline to be confirmed</w:t>
      </w:r>
      <w:r w:rsidR="00CF04DB">
        <w:t xml:space="preserve"> within the NICE work programme</w:t>
      </w:r>
      <w:r w:rsidR="007E50B9">
        <w:t>.</w:t>
      </w:r>
      <w:r w:rsidR="00205377">
        <w:t xml:space="preserve"> </w:t>
      </w:r>
      <w:r>
        <w:t xml:space="preserve"> </w:t>
      </w:r>
    </w:p>
    <w:p w14:paraId="6AD1C8CE" w14:textId="2A14EF42" w:rsidR="00740D84" w:rsidRDefault="00C90EA0" w:rsidP="00627F37">
      <w:pPr>
        <w:pStyle w:val="ParagraphNumbered"/>
        <w:ind w:left="426" w:hanging="426"/>
      </w:pPr>
      <w:r>
        <w:t xml:space="preserve">By advancing this step in parallel with confirming evaluation timelines, NICE will drive forward a more predictable work programme to better inform financial forecasting, reporting, and resourcing. This change will also positively support the financial planning cycle for companies. </w:t>
      </w:r>
      <w:r w:rsidR="005667B4">
        <w:t>T</w:t>
      </w:r>
      <w:r w:rsidR="005724B4">
        <w:t xml:space="preserve">here is </w:t>
      </w:r>
      <w:r w:rsidR="005724B4">
        <w:lastRenderedPageBreak/>
        <w:t xml:space="preserve">no change to </w:t>
      </w:r>
      <w:r w:rsidR="00891962">
        <w:t xml:space="preserve">when the invoice is </w:t>
      </w:r>
      <w:proofErr w:type="gramStart"/>
      <w:r w:rsidR="00891962">
        <w:t>issued</w:t>
      </w:r>
      <w:proofErr w:type="gramEnd"/>
      <w:r w:rsidR="004329D2">
        <w:t xml:space="preserve"> and </w:t>
      </w:r>
      <w:r w:rsidR="005724B4">
        <w:t>payment will continue to be required by the submission deadline</w:t>
      </w:r>
      <w:r>
        <w:t>.</w:t>
      </w:r>
      <w:r w:rsidR="00370F40">
        <w:t xml:space="preserve"> </w:t>
      </w:r>
    </w:p>
    <w:p w14:paraId="4DA65E5F" w14:textId="32E925CF" w:rsidR="00370F40" w:rsidRDefault="009A341E" w:rsidP="00627F37">
      <w:pPr>
        <w:pStyle w:val="ParagraphNumbered"/>
        <w:ind w:left="426" w:hanging="426"/>
      </w:pPr>
      <w:r>
        <w:t>Figure</w:t>
      </w:r>
      <w:r w:rsidR="00370F40">
        <w:t xml:space="preserve"> </w:t>
      </w:r>
      <w:r w:rsidR="004F7640">
        <w:t>2</w:t>
      </w:r>
      <w:r w:rsidR="00370F40">
        <w:t xml:space="preserve"> shows</w:t>
      </w:r>
      <w:r w:rsidR="002F2628" w:rsidRPr="002F2628">
        <w:t xml:space="preserve"> </w:t>
      </w:r>
      <w:r w:rsidR="002F2628">
        <w:t xml:space="preserve">the proposed changes to the charging </w:t>
      </w:r>
      <w:r w:rsidR="008818D3">
        <w:t>mechanism</w:t>
      </w:r>
      <w:r w:rsidR="00370F40">
        <w:t xml:space="preserve"> </w:t>
      </w:r>
      <w:r w:rsidR="002F2628">
        <w:t>and</w:t>
      </w:r>
      <w:r w:rsidR="00370F40">
        <w:t xml:space="preserve"> associated timelines for charging and the topic selection, scheduling</w:t>
      </w:r>
      <w:r w:rsidR="002651F8">
        <w:t>,</w:t>
      </w:r>
      <w:r w:rsidR="00370F40">
        <w:t xml:space="preserve"> and scoping stages.</w:t>
      </w:r>
      <w:r w:rsidR="00740D84">
        <w:t xml:space="preserve"> Guidance publication is </w:t>
      </w:r>
      <w:r w:rsidR="00AE05B0">
        <w:t xml:space="preserve">assumed at </w:t>
      </w:r>
      <w:r w:rsidR="00740D84">
        <w:t>month 0</w:t>
      </w:r>
      <w:r w:rsidR="00F60BF6">
        <w:t>.</w:t>
      </w:r>
    </w:p>
    <w:p w14:paraId="7DDF3003" w14:textId="7FCE7DE3" w:rsidR="009711FE" w:rsidRPr="00B51F45" w:rsidRDefault="009A341E" w:rsidP="00B51F45">
      <w:pPr>
        <w:pStyle w:val="Tableheading"/>
        <w:spacing w:before="0"/>
        <w:rPr>
          <w:bCs/>
          <w:sz w:val="24"/>
        </w:rPr>
      </w:pPr>
      <w:r>
        <w:rPr>
          <w:bCs/>
          <w:sz w:val="24"/>
        </w:rPr>
        <w:t>Figure</w:t>
      </w:r>
      <w:r w:rsidR="004F7640" w:rsidRPr="00B51F45">
        <w:rPr>
          <w:bCs/>
          <w:sz w:val="24"/>
        </w:rPr>
        <w:t xml:space="preserve"> 2 </w:t>
      </w:r>
      <w:r w:rsidR="00691E8B" w:rsidRPr="00B51F45">
        <w:rPr>
          <w:bCs/>
          <w:sz w:val="24"/>
        </w:rPr>
        <w:t>–</w:t>
      </w:r>
      <w:r w:rsidR="004F7640" w:rsidRPr="00B51F45">
        <w:rPr>
          <w:bCs/>
          <w:sz w:val="24"/>
        </w:rPr>
        <w:t xml:space="preserve"> </w:t>
      </w:r>
      <w:r w:rsidR="00691E8B" w:rsidRPr="00B51F45">
        <w:rPr>
          <w:bCs/>
          <w:sz w:val="24"/>
        </w:rPr>
        <w:t xml:space="preserve">proposed changes to the charging </w:t>
      </w:r>
      <w:r w:rsidR="008818D3" w:rsidRPr="00B51F45">
        <w:rPr>
          <w:bCs/>
          <w:sz w:val="24"/>
        </w:rPr>
        <w:t>mechanism</w:t>
      </w:r>
    </w:p>
    <w:p w14:paraId="17868C64" w14:textId="2B6E44DB" w:rsidR="00C90EA0" w:rsidRDefault="00DF6C0E" w:rsidP="00C90EA0">
      <w:pPr>
        <w:pStyle w:val="ParagraphNumbered"/>
        <w:numPr>
          <w:ilvl w:val="0"/>
          <w:numId w:val="0"/>
        </w:numPr>
        <w:spacing w:before="240"/>
      </w:pPr>
      <w:r>
        <w:object w:dxaOrig="8257" w:dyaOrig="8257" w14:anchorId="3E4A6A7A">
          <v:shape id="_x0000_i1026" type="#_x0000_t75" alt="Proposed timeline of key milestones for TA-HSTs and charging" style="width:412.5pt;height:412.5pt" o:ole="">
            <v:imagedata r:id="rId31" o:title=""/>
          </v:shape>
          <o:OLEObject Type="Embed" ProgID="Visio.Drawing.15" ShapeID="_x0000_i1026" DrawAspect="Content" ObjectID="_1762005050" r:id="rId32"/>
        </w:object>
      </w:r>
    </w:p>
    <w:p w14:paraId="1FC483B7" w14:textId="77777777" w:rsidR="00C90EA0" w:rsidRDefault="00C90EA0" w:rsidP="00C90EA0">
      <w:pPr>
        <w:pStyle w:val="Bullets"/>
        <w:numPr>
          <w:ilvl w:val="0"/>
          <w:numId w:val="0"/>
        </w:numPr>
        <w:ind w:left="993"/>
      </w:pPr>
    </w:p>
    <w:p w14:paraId="50FDBD79" w14:textId="63BC20AE" w:rsidR="00C90EA0" w:rsidRDefault="00C90EA0" w:rsidP="006067C6">
      <w:pPr>
        <w:pStyle w:val="Heading3"/>
      </w:pPr>
      <w:r>
        <w:lastRenderedPageBreak/>
        <w:t xml:space="preserve">Proposal </w:t>
      </w:r>
      <w:r w:rsidR="0085474B">
        <w:t>2</w:t>
      </w:r>
      <w:r>
        <w:t xml:space="preserve"> – introduction of a change fee</w:t>
      </w:r>
    </w:p>
    <w:p w14:paraId="6BA69224" w14:textId="77777777" w:rsidR="000C4D46" w:rsidRDefault="00C90EA0" w:rsidP="000C4D46">
      <w:pPr>
        <w:pStyle w:val="ParagraphNumbered"/>
        <w:ind w:left="284" w:hanging="426"/>
      </w:pPr>
      <w:r>
        <w:t xml:space="preserve">To address the impact of topic rescheduling and to recover lost opportunity costs, NICE proposes implementing a change </w:t>
      </w:r>
      <w:r w:rsidRPr="009A341E">
        <w:t xml:space="preserve">fee. </w:t>
      </w:r>
      <w:r w:rsidR="008C3045" w:rsidRPr="009A341E">
        <w:t>The change fee will apply</w:t>
      </w:r>
      <w:r w:rsidR="0022448A" w:rsidRPr="009A341E">
        <w:t xml:space="preserve"> after the </w:t>
      </w:r>
      <w:r w:rsidR="00644742">
        <w:t>company has confirmed the evaluation timelines</w:t>
      </w:r>
      <w:r w:rsidR="00E66661" w:rsidRPr="009A341E">
        <w:t>,</w:t>
      </w:r>
      <w:r w:rsidR="0022448A" w:rsidRPr="009A341E">
        <w:t xml:space="preserve"> </w:t>
      </w:r>
      <w:r w:rsidR="00BE6C43" w:rsidRPr="009A341E">
        <w:t>in the following scenarios</w:t>
      </w:r>
      <w:r w:rsidR="00605BD2" w:rsidRPr="009A341E">
        <w:t>.</w:t>
      </w:r>
    </w:p>
    <w:p w14:paraId="69925834" w14:textId="77777777" w:rsidR="000C4D46" w:rsidRDefault="009C7285" w:rsidP="00A874BB">
      <w:pPr>
        <w:pStyle w:val="Bullets"/>
      </w:pPr>
      <w:r>
        <w:t>A</w:t>
      </w:r>
      <w:r w:rsidRPr="009A341E">
        <w:t xml:space="preserve"> </w:t>
      </w:r>
      <w:r w:rsidR="0022448A" w:rsidRPr="009A341E">
        <w:t>company request to change</w:t>
      </w:r>
      <w:r w:rsidR="00DF3157" w:rsidRPr="009A341E">
        <w:t xml:space="preserve"> the </w:t>
      </w:r>
      <w:proofErr w:type="gramStart"/>
      <w:r w:rsidR="00DF3157" w:rsidRPr="009A341E">
        <w:t>timelines</w:t>
      </w:r>
      <w:proofErr w:type="gramEnd"/>
    </w:p>
    <w:p w14:paraId="0E9F8329" w14:textId="77777777" w:rsidR="000C4D46" w:rsidRDefault="0022448A" w:rsidP="00A874BB">
      <w:pPr>
        <w:pStyle w:val="Bullets"/>
      </w:pPr>
      <w:r w:rsidRPr="009A341E">
        <w:t xml:space="preserve">There are </w:t>
      </w:r>
      <w:r w:rsidR="00C714FA" w:rsidRPr="009A341E">
        <w:t xml:space="preserve">regulatory </w:t>
      </w:r>
      <w:proofErr w:type="gramStart"/>
      <w:r w:rsidR="00C714FA" w:rsidRPr="009A341E">
        <w:t>delays</w:t>
      </w:r>
      <w:proofErr w:type="gramEnd"/>
    </w:p>
    <w:p w14:paraId="14548219" w14:textId="51C506B7" w:rsidR="003D2181" w:rsidRPr="009A341E" w:rsidRDefault="00001ADB" w:rsidP="00A874BB">
      <w:pPr>
        <w:pStyle w:val="Bullets"/>
      </w:pPr>
      <w:r>
        <w:t>A</w:t>
      </w:r>
      <w:r w:rsidRPr="009A341E">
        <w:t xml:space="preserve"> </w:t>
      </w:r>
      <w:r w:rsidR="003D2181" w:rsidRPr="009A341E">
        <w:t xml:space="preserve">company </w:t>
      </w:r>
      <w:r w:rsidR="00A70DDC" w:rsidRPr="009A341E">
        <w:t xml:space="preserve">no longer wishes to provide a submission for the </w:t>
      </w:r>
      <w:r w:rsidR="4C3FEE94">
        <w:t>evaluation</w:t>
      </w:r>
      <w:r w:rsidR="00A70DDC" w:rsidRPr="009A341E">
        <w:t>.</w:t>
      </w:r>
    </w:p>
    <w:p w14:paraId="00D510BB" w14:textId="73555B2B" w:rsidR="00C90EA0" w:rsidRDefault="00C90EA0" w:rsidP="00D94D52">
      <w:pPr>
        <w:pStyle w:val="ParagraphNumbered"/>
        <w:tabs>
          <w:tab w:val="clear" w:pos="426"/>
        </w:tabs>
        <w:spacing w:before="240"/>
        <w:ind w:left="426" w:hanging="568"/>
      </w:pPr>
      <w:r>
        <w:t xml:space="preserve">This will allow NICE to recover costs when resources have been allocated and not utilised. Resources include planning and operations functions such as topic selection, scoping and allocating NICE staff and committee slots. </w:t>
      </w:r>
    </w:p>
    <w:p w14:paraId="08EF7808" w14:textId="036B0ECF" w:rsidR="00C90EA0" w:rsidRDefault="00006EA1" w:rsidP="00D94D52">
      <w:pPr>
        <w:pStyle w:val="ParagraphNumbered"/>
        <w:tabs>
          <w:tab w:val="clear" w:pos="426"/>
        </w:tabs>
        <w:spacing w:before="240"/>
        <w:ind w:left="426" w:hanging="568"/>
      </w:pPr>
      <w:r>
        <w:t xml:space="preserve">Regarding a request to change timelines or regulatory delays, the change fee will be </w:t>
      </w:r>
      <w:r w:rsidR="00273361">
        <w:t>set</w:t>
      </w:r>
      <w:r>
        <w:t xml:space="preserve"> </w:t>
      </w:r>
      <w:r w:rsidR="00FF4AEA">
        <w:t>at</w:t>
      </w:r>
      <w:r w:rsidR="00C90EA0">
        <w:t xml:space="preserve"> £18,610 for 2024-25 charges.</w:t>
      </w:r>
      <w:r w:rsidR="00E0557B">
        <w:t xml:space="preserve"> </w:t>
      </w:r>
      <w:r w:rsidR="007C1686">
        <w:t>If</w:t>
      </w:r>
      <w:r w:rsidR="00E0557B">
        <w:t xml:space="preserve"> the company no longer wishes to provide a submission</w:t>
      </w:r>
      <w:r w:rsidR="004120F0">
        <w:t xml:space="preserve">, </w:t>
      </w:r>
      <w:r w:rsidR="004120F0" w:rsidRPr="002E2672">
        <w:t>NICE will confirm the fee once it has considered the resource effort utilised on the topic</w:t>
      </w:r>
      <w:r w:rsidR="004120F0">
        <w:t>.</w:t>
      </w:r>
    </w:p>
    <w:p w14:paraId="65DC70D2" w14:textId="5E006CD2" w:rsidR="00C90EA0" w:rsidRPr="00086781" w:rsidRDefault="00C90EA0" w:rsidP="00D94D52">
      <w:pPr>
        <w:pStyle w:val="ParagraphNumbered"/>
        <w:tabs>
          <w:tab w:val="clear" w:pos="426"/>
        </w:tabs>
        <w:spacing w:before="240"/>
        <w:ind w:left="426" w:hanging="568"/>
      </w:pPr>
      <w:r>
        <w:t xml:space="preserve">The URN provided by the company when </w:t>
      </w:r>
      <w:r w:rsidR="0013049F">
        <w:t>evaluation</w:t>
      </w:r>
      <w:r>
        <w:t xml:space="preserve"> timelines are confirmed will be utilised to recover the change fee.  </w:t>
      </w:r>
    </w:p>
    <w:p w14:paraId="6AB2EAE8" w14:textId="721F3DC5" w:rsidR="00C90EA0" w:rsidRPr="002E2672" w:rsidRDefault="00754C21" w:rsidP="00C90EA0">
      <w:pPr>
        <w:pStyle w:val="ParagraphNumbered"/>
        <w:ind w:left="425" w:hanging="425"/>
      </w:pPr>
      <w:r>
        <w:t xml:space="preserve">In all scenarios, </w:t>
      </w:r>
      <w:r w:rsidR="00C90EA0" w:rsidRPr="002E2672">
        <w:t xml:space="preserve">payment will be required from the company before final guidance </w:t>
      </w:r>
      <w:r>
        <w:t xml:space="preserve">is </w:t>
      </w:r>
      <w:r w:rsidR="00C90EA0" w:rsidRPr="002E2672">
        <w:t>publi</w:t>
      </w:r>
      <w:r>
        <w:t>shed.</w:t>
      </w:r>
    </w:p>
    <w:p w14:paraId="5B420D43" w14:textId="005FF3DC" w:rsidR="0034042A" w:rsidRDefault="0034042A" w:rsidP="00C90EA0">
      <w:pPr>
        <w:pStyle w:val="ParagraphNumbered"/>
        <w:ind w:left="425" w:hanging="425"/>
      </w:pPr>
      <w:r>
        <w:t>The change fee will not apply if</w:t>
      </w:r>
      <w:r w:rsidR="00E763FD">
        <w:t>.</w:t>
      </w:r>
    </w:p>
    <w:p w14:paraId="33C7D628" w14:textId="35A6965B" w:rsidR="0034042A" w:rsidRDefault="0034042A" w:rsidP="00BE5431">
      <w:pPr>
        <w:pStyle w:val="Bullets"/>
      </w:pPr>
      <w:r>
        <w:t xml:space="preserve">An ITP has been issued. In this case, the refund process will be followed. </w:t>
      </w:r>
    </w:p>
    <w:p w14:paraId="68EE1928" w14:textId="49117B1A" w:rsidR="0034042A" w:rsidRPr="002E2672" w:rsidRDefault="0034042A" w:rsidP="00BE5431">
      <w:pPr>
        <w:pStyle w:val="Bullets"/>
      </w:pPr>
      <w:r>
        <w:t xml:space="preserve">NICE </w:t>
      </w:r>
      <w:r w:rsidR="001B2134">
        <w:t xml:space="preserve">initiates the change to timelines. </w:t>
      </w:r>
    </w:p>
    <w:p w14:paraId="01FDFB23" w14:textId="69874488" w:rsidR="00CC133B" w:rsidRPr="002D36B3" w:rsidRDefault="00FF64B2" w:rsidP="006067C6">
      <w:pPr>
        <w:pStyle w:val="Heading2"/>
      </w:pPr>
      <w:r w:rsidRPr="006067C6">
        <w:rPr>
          <w:rStyle w:val="Hyperlink"/>
          <w:color w:val="228096"/>
          <w:u w:val="none"/>
        </w:rPr>
        <w:lastRenderedPageBreak/>
        <w:t>Background - t</w:t>
      </w:r>
      <w:r w:rsidR="00813BA6" w:rsidRPr="006067C6">
        <w:rPr>
          <w:rStyle w:val="Hyperlink"/>
          <w:color w:val="228096"/>
          <w:u w:val="none"/>
        </w:rPr>
        <w:t>echnical engagement</w:t>
      </w:r>
    </w:p>
    <w:p w14:paraId="5CF652B8" w14:textId="2806E45E" w:rsidR="002043CC" w:rsidRDefault="2B513B4A" w:rsidP="2547C23C">
      <w:pPr>
        <w:pStyle w:val="ParagraphNumbered"/>
        <w:ind w:left="425" w:hanging="425"/>
      </w:pPr>
      <w:r>
        <w:t>In April 2023, the technical engagement step was removed as a standard point in the TA process</w:t>
      </w:r>
      <w:r w:rsidR="00E22F0F">
        <w:t>,</w:t>
      </w:r>
      <w:r>
        <w:t xml:space="preserve"> as it did not meet its aims of achieving topics to have final guidance </w:t>
      </w:r>
      <w:r w:rsidR="00CF04DB">
        <w:t>produced at the</w:t>
      </w:r>
      <w:r>
        <w:t xml:space="preserve"> first committee meeting. </w:t>
      </w:r>
    </w:p>
    <w:p w14:paraId="084EE2B8" w14:textId="2B73B9CC" w:rsidR="002043CC" w:rsidRDefault="617610B4" w:rsidP="2547C23C">
      <w:pPr>
        <w:pStyle w:val="ParagraphNumbered"/>
        <w:ind w:left="425" w:hanging="425"/>
      </w:pPr>
      <w:r>
        <w:t xml:space="preserve">The recently updated </w:t>
      </w:r>
      <w:hyperlink r:id="rId33">
        <w:r w:rsidRPr="0508A24F">
          <w:rPr>
            <w:rStyle w:val="Hyperlink"/>
          </w:rPr>
          <w:t>NICE health technology evaluations: the manual</w:t>
        </w:r>
      </w:hyperlink>
      <w:r>
        <w:t xml:space="preserve"> describes the decision </w:t>
      </w:r>
      <w:r w:rsidR="00E22F0F">
        <w:t>to</w:t>
      </w:r>
      <w:r>
        <w:t xml:space="preserve"> use the technical engagement step as follows:</w:t>
      </w:r>
    </w:p>
    <w:p w14:paraId="48FBD1CA" w14:textId="2CD24AA6" w:rsidR="002043CC" w:rsidRDefault="60C41BA0" w:rsidP="2547C23C">
      <w:pPr>
        <w:pStyle w:val="Bullets"/>
      </w:pPr>
      <w:r w:rsidRPr="2547C23C">
        <w:t xml:space="preserve">5.7.2 Technical engagement will only be included if NICE considers that it is appropriate, </w:t>
      </w:r>
      <w:r w:rsidR="00975CBF" w:rsidRPr="2547C23C">
        <w:t>helpful,</w:t>
      </w:r>
      <w:r w:rsidRPr="2547C23C">
        <w:t xml:space="preserve"> and proportionate, </w:t>
      </w:r>
      <w:proofErr w:type="gramStart"/>
      <w:r w:rsidRPr="2547C23C">
        <w:t>taking into account</w:t>
      </w:r>
      <w:proofErr w:type="gramEnd"/>
      <w:r w:rsidRPr="2547C23C">
        <w:t xml:space="preserve"> whether the technical engagement process is likely to resolve key issues before the committee meeting, </w:t>
      </w:r>
    </w:p>
    <w:p w14:paraId="42FD57C3" w14:textId="786C6472" w:rsidR="002043CC" w:rsidRDefault="60C41BA0" w:rsidP="2547C23C">
      <w:pPr>
        <w:pStyle w:val="Bullets"/>
      </w:pPr>
      <w:r w:rsidRPr="2547C23C">
        <w:t xml:space="preserve">5.7.3 If technical engagement is included, timelines will be amended to allow for engagement time with </w:t>
      </w:r>
      <w:proofErr w:type="gramStart"/>
      <w:r w:rsidRPr="2547C23C">
        <w:t>stakeholders</w:t>
      </w:r>
      <w:proofErr w:type="gramEnd"/>
      <w:r w:rsidRPr="2547C23C">
        <w:t xml:space="preserve">   </w:t>
      </w:r>
    </w:p>
    <w:p w14:paraId="64142252" w14:textId="24EA39E0" w:rsidR="002043CC" w:rsidRDefault="482EEEFB" w:rsidP="009C3E9E">
      <w:pPr>
        <w:pStyle w:val="ParagraphNumbered"/>
        <w:spacing w:before="240"/>
        <w:ind w:left="425" w:hanging="425"/>
      </w:pPr>
      <w:r>
        <w:t xml:space="preserve">The </w:t>
      </w:r>
      <w:r w:rsidR="4F846FA4">
        <w:t>t</w:t>
      </w:r>
      <w:r w:rsidR="51D0E1E3">
        <w:t>echnical engagement</w:t>
      </w:r>
      <w:r>
        <w:t xml:space="preserve"> stage</w:t>
      </w:r>
      <w:r w:rsidR="51D0E1E3">
        <w:t xml:space="preserve"> is not </w:t>
      </w:r>
      <w:r w:rsidR="6B12BF50">
        <w:t>included in the charge for a</w:t>
      </w:r>
      <w:r w:rsidR="51D0E1E3">
        <w:t xml:space="preserve"> TA</w:t>
      </w:r>
      <w:r w:rsidR="6FF7BEE2">
        <w:t xml:space="preserve"> or HST</w:t>
      </w:r>
      <w:r w:rsidR="43BE0D8D">
        <w:t>. T</w:t>
      </w:r>
      <w:r w:rsidR="7ED3F573">
        <w:t xml:space="preserve">he </w:t>
      </w:r>
      <w:r w:rsidR="1A0AD2C6">
        <w:t>step</w:t>
      </w:r>
      <w:r w:rsidR="38DB7489">
        <w:t xml:space="preserve"> is </w:t>
      </w:r>
      <w:r w:rsidR="63B25D31">
        <w:t xml:space="preserve">helpful </w:t>
      </w:r>
      <w:r w:rsidR="38DB7489">
        <w:t xml:space="preserve">for some evaluations but is not always necessary or proportionate. </w:t>
      </w:r>
    </w:p>
    <w:p w14:paraId="6F6AE2CD" w14:textId="231763B2" w:rsidR="00154C6E" w:rsidRDefault="19596AF6" w:rsidP="002043CC">
      <w:pPr>
        <w:pStyle w:val="ParagraphNumbered"/>
        <w:ind w:left="425" w:hanging="425"/>
      </w:pPr>
      <w:r>
        <w:t>I</w:t>
      </w:r>
      <w:r w:rsidR="38DB7489">
        <w:t xml:space="preserve">n practice, all evaluations scheduled </w:t>
      </w:r>
      <w:r w:rsidR="7DF6C55A">
        <w:t>between</w:t>
      </w:r>
      <w:r w:rsidR="38DB7489">
        <w:t xml:space="preserve"> </w:t>
      </w:r>
      <w:r w:rsidR="7DF6C55A">
        <w:t xml:space="preserve">1 April </w:t>
      </w:r>
      <w:r w:rsidR="38DB7489">
        <w:t xml:space="preserve">2022 </w:t>
      </w:r>
      <w:r w:rsidR="7DF6C55A">
        <w:t>and 3 March 2023 had</w:t>
      </w:r>
      <w:r w:rsidR="4CC0A52D">
        <w:t xml:space="preserve"> technical engagement</w:t>
      </w:r>
      <w:r w:rsidR="38DB7489">
        <w:t xml:space="preserve"> included by default, and this step </w:t>
      </w:r>
      <w:r w:rsidR="184D66E4">
        <w:t>w</w:t>
      </w:r>
      <w:r w:rsidR="38DB7489">
        <w:t xml:space="preserve">as only removed in a small number of cases. This means that some evaluations included this step when it was </w:t>
      </w:r>
      <w:r w:rsidR="0095451A">
        <w:t>unnecessary</w:t>
      </w:r>
      <w:r w:rsidR="4CC0A52D">
        <w:t xml:space="preserve">; this was regarded </w:t>
      </w:r>
      <w:r w:rsidR="5FF8ABC8">
        <w:t xml:space="preserve">as </w:t>
      </w:r>
      <w:r w:rsidR="1432C645">
        <w:t xml:space="preserve">a </w:t>
      </w:r>
      <w:r w:rsidR="5FF8ABC8">
        <w:t xml:space="preserve">non-recoverable </w:t>
      </w:r>
      <w:r w:rsidR="658E18D1">
        <w:t xml:space="preserve">unit of </w:t>
      </w:r>
      <w:r w:rsidR="5FF8ABC8">
        <w:t xml:space="preserve">activity. </w:t>
      </w:r>
      <w:r w:rsidR="38DB7489">
        <w:t xml:space="preserve"> </w:t>
      </w:r>
    </w:p>
    <w:p w14:paraId="75846E3D" w14:textId="35D2EDEA" w:rsidR="00154C6E" w:rsidRDefault="21133A29" w:rsidP="00CC133B">
      <w:pPr>
        <w:pStyle w:val="ParagraphNumbered"/>
        <w:ind w:left="425" w:hanging="425"/>
      </w:pPr>
      <w:r>
        <w:t xml:space="preserve">As described above, </w:t>
      </w:r>
      <w:r w:rsidR="6C1483EE">
        <w:t>p</w:t>
      </w:r>
      <w:r w:rsidR="38DB7489">
        <w:t xml:space="preserve">rocesses </w:t>
      </w:r>
      <w:r w:rsidR="2F10B67A">
        <w:t>have been refined</w:t>
      </w:r>
      <w:r w:rsidR="008557C1">
        <w:t>, and technical engagement will only be added when it adds</w:t>
      </w:r>
      <w:r w:rsidR="50642134">
        <w:t xml:space="preserve"> value by resolving key issues ahead of the committee meeting. </w:t>
      </w:r>
      <w:r w:rsidR="3EAA3F83">
        <w:t xml:space="preserve">This ensures it is only used when it </w:t>
      </w:r>
      <w:r w:rsidR="38DB7489">
        <w:t xml:space="preserve">can </w:t>
      </w:r>
      <w:r w:rsidR="3EAA3F83">
        <w:t xml:space="preserve">aid </w:t>
      </w:r>
      <w:r w:rsidR="38DB7489">
        <w:t xml:space="preserve">efficient </w:t>
      </w:r>
      <w:r w:rsidR="00914D1B">
        <w:t>decision-making</w:t>
      </w:r>
      <w:r w:rsidR="38DB7489">
        <w:t xml:space="preserve"> </w:t>
      </w:r>
      <w:r w:rsidR="3EAA3F83">
        <w:t>and contribute</w:t>
      </w:r>
      <w:r w:rsidR="38DB7489">
        <w:t xml:space="preserve"> to </w:t>
      </w:r>
      <w:r w:rsidR="3EAA3F83">
        <w:t>retaining rapid access to clinically and cost-effective medicines</w:t>
      </w:r>
      <w:r w:rsidR="66B48990">
        <w:t>.</w:t>
      </w:r>
    </w:p>
    <w:p w14:paraId="74493094" w14:textId="321BF840" w:rsidR="001651CA" w:rsidRDefault="001651CA" w:rsidP="006067C6">
      <w:pPr>
        <w:pStyle w:val="Heading3"/>
      </w:pPr>
      <w:r w:rsidRPr="00DC41F4" w:rsidDel="000E0A3E">
        <w:lastRenderedPageBreak/>
        <w:t>Proposal</w:t>
      </w:r>
      <w:r w:rsidR="00907ABB" w:rsidDel="000E0A3E">
        <w:t xml:space="preserve"> </w:t>
      </w:r>
      <w:r w:rsidR="00D53373">
        <w:t>3</w:t>
      </w:r>
      <w:r w:rsidR="00804369">
        <w:t xml:space="preserve"> </w:t>
      </w:r>
      <w:r w:rsidR="00907ABB">
        <w:t xml:space="preserve">– </w:t>
      </w:r>
      <w:r w:rsidR="00804369">
        <w:t xml:space="preserve">a </w:t>
      </w:r>
      <w:r w:rsidR="00907ABB">
        <w:t xml:space="preserve">charge for technical engagement </w:t>
      </w:r>
    </w:p>
    <w:p w14:paraId="1F75F0B5" w14:textId="27A6D5CF" w:rsidR="004715F7" w:rsidRPr="00FF26D1" w:rsidRDefault="6B12BF50" w:rsidP="004715F7">
      <w:pPr>
        <w:pStyle w:val="ParagraphNumbered"/>
        <w:spacing w:before="240"/>
        <w:ind w:left="426" w:hanging="426"/>
      </w:pPr>
      <w:r>
        <w:t>I</w:t>
      </w:r>
      <w:r w:rsidR="51D0E1E3">
        <w:t xml:space="preserve">f </w:t>
      </w:r>
      <w:r w:rsidR="40185DA3">
        <w:t>NICE decide</w:t>
      </w:r>
      <w:r>
        <w:t xml:space="preserve"> that technical engagement is</w:t>
      </w:r>
      <w:r w:rsidR="51D0E1E3">
        <w:t xml:space="preserve"> required to support</w:t>
      </w:r>
      <w:r w:rsidR="40185DA3">
        <w:t xml:space="preserve"> a</w:t>
      </w:r>
      <w:r w:rsidR="51D0E1E3">
        <w:t xml:space="preserve"> </w:t>
      </w:r>
      <w:r w:rsidR="1432C645">
        <w:t xml:space="preserve">topic's </w:t>
      </w:r>
      <w:r w:rsidR="51D0E1E3">
        <w:t>progression</w:t>
      </w:r>
      <w:r w:rsidR="00FF64B2">
        <w:t xml:space="preserve"> </w:t>
      </w:r>
      <w:r w:rsidR="006D1C15">
        <w:t xml:space="preserve">and </w:t>
      </w:r>
      <w:r w:rsidR="003F4BBB">
        <w:t>t</w:t>
      </w:r>
      <w:r w:rsidR="003F4BBB" w:rsidRPr="0508A24F">
        <w:rPr>
          <w:rFonts w:cs="Arial"/>
        </w:rPr>
        <w:t>o</w:t>
      </w:r>
      <w:r w:rsidR="004715F7" w:rsidRPr="0508A24F">
        <w:rPr>
          <w:rFonts w:cs="Arial"/>
        </w:rPr>
        <w:t xml:space="preserve"> recuperate all costs associated with the evaluation, t</w:t>
      </w:r>
      <w:r w:rsidR="004715F7">
        <w:t xml:space="preserve">he exceptional charge for technical engagement will be fixed at 5% of the STA charge, and payment will be required from the company before final guidance publication. </w:t>
      </w:r>
    </w:p>
    <w:p w14:paraId="652B34C5" w14:textId="50DDAC00" w:rsidR="005A25F6" w:rsidRDefault="00F231F1" w:rsidP="00F231F1">
      <w:pPr>
        <w:pStyle w:val="Heading2"/>
      </w:pPr>
      <w:r>
        <w:t>Background - t</w:t>
      </w:r>
      <w:r w:rsidR="00DD1E19">
        <w:t xml:space="preserve">est and learn of new </w:t>
      </w:r>
      <w:proofErr w:type="gramStart"/>
      <w:r w:rsidR="00DD1E19">
        <w:t>processes</w:t>
      </w:r>
      <w:proofErr w:type="gramEnd"/>
    </w:p>
    <w:p w14:paraId="1EB592D8" w14:textId="22EF3791" w:rsidR="0055170D" w:rsidRDefault="6DA79FD5" w:rsidP="005E1818">
      <w:pPr>
        <w:pStyle w:val="ParagraphNumbered"/>
        <w:ind w:left="426" w:hanging="426"/>
      </w:pPr>
      <w:r>
        <w:t xml:space="preserve">To deliver </w:t>
      </w:r>
      <w:r w:rsidR="005E1818">
        <w:t>NICE’s</w:t>
      </w:r>
      <w:r>
        <w:t xml:space="preserve"> transformation plan and</w:t>
      </w:r>
      <w:r w:rsidR="7B45609F">
        <w:t xml:space="preserve"> produce</w:t>
      </w:r>
      <w:r>
        <w:t xml:space="preserve"> relevant, timely, useable, and impactful guidance</w:t>
      </w:r>
      <w:r w:rsidR="7B45609F">
        <w:t xml:space="preserve">, there is sometimes a </w:t>
      </w:r>
      <w:r w:rsidR="3C5D5818">
        <w:t xml:space="preserve">need to pilot new approaches and </w:t>
      </w:r>
      <w:r w:rsidR="03A7541E">
        <w:t>working methods</w:t>
      </w:r>
      <w:r w:rsidR="3C5D5818">
        <w:t xml:space="preserve">. </w:t>
      </w:r>
      <w:r w:rsidR="0055170D">
        <w:t>The Proportionate Approach to Technology Appraisals</w:t>
      </w:r>
      <w:r w:rsidR="00B2334E">
        <w:t xml:space="preserve"> (PATT)</w:t>
      </w:r>
      <w:r w:rsidR="0055170D">
        <w:t xml:space="preserve"> has developed and continues to </w:t>
      </w:r>
      <w:r w:rsidR="00CE5641">
        <w:t>evolve</w:t>
      </w:r>
      <w:r w:rsidR="0055170D">
        <w:t xml:space="preserve">, new processes and methods to deliver the ambitions of the transformation plan. </w:t>
      </w:r>
    </w:p>
    <w:p w14:paraId="5E1D0137" w14:textId="184CF438" w:rsidR="001C7DD4" w:rsidRDefault="3C5D5818" w:rsidP="00FF26D1">
      <w:pPr>
        <w:pStyle w:val="ParagraphNumbered"/>
        <w:ind w:left="426" w:hanging="426"/>
      </w:pPr>
      <w:r>
        <w:t xml:space="preserve">For example, </w:t>
      </w:r>
      <w:r w:rsidR="03A7541E">
        <w:t>new treatments for similar disease areas are</w:t>
      </w:r>
      <w:r w:rsidR="01A8C373">
        <w:t xml:space="preserve"> increasing</w:t>
      </w:r>
      <w:r w:rsidR="00605899">
        <w:t>,</w:t>
      </w:r>
      <w:r w:rsidR="01A8C373">
        <w:t xml:space="preserve"> </w:t>
      </w:r>
      <w:r w:rsidR="00605899">
        <w:t>n</w:t>
      </w:r>
      <w:r w:rsidR="01A8C373">
        <w:t xml:space="preserve">early half of </w:t>
      </w:r>
      <w:r w:rsidR="03A7541E">
        <w:t>TAs</w:t>
      </w:r>
      <w:r w:rsidR="01A8C373">
        <w:t xml:space="preserve"> are in only 10 disease areas.</w:t>
      </w:r>
      <w:r w:rsidR="22AE0AE4">
        <w:t xml:space="preserve"> </w:t>
      </w:r>
      <w:r w:rsidR="00B2334E">
        <w:t>PATT</w:t>
      </w:r>
      <w:r w:rsidR="0055170D">
        <w:t xml:space="preserve"> is developing a </w:t>
      </w:r>
      <w:r w:rsidR="58373018">
        <w:t>‘</w:t>
      </w:r>
      <w:r w:rsidR="22AE0AE4">
        <w:t>pathways</w:t>
      </w:r>
      <w:r w:rsidR="58373018">
        <w:t>’</w:t>
      </w:r>
      <w:r w:rsidR="22AE0AE4">
        <w:t xml:space="preserve"> approach</w:t>
      </w:r>
      <w:r>
        <w:t xml:space="preserve"> </w:t>
      </w:r>
      <w:r w:rsidR="0055170D">
        <w:t xml:space="preserve">to </w:t>
      </w:r>
      <w:r w:rsidR="00251987">
        <w:t>TA’s</w:t>
      </w:r>
      <w:r w:rsidR="0055170D">
        <w:t xml:space="preserve">, </w:t>
      </w:r>
      <w:r>
        <w:t>currently in its pilot phase</w:t>
      </w:r>
      <w:r w:rsidR="0055170D">
        <w:t xml:space="preserve">. </w:t>
      </w:r>
      <w:r w:rsidR="00380957">
        <w:t>Pathways aim</w:t>
      </w:r>
      <w:r w:rsidR="000A019A">
        <w:t>s</w:t>
      </w:r>
      <w:r w:rsidR="5DA0BC78">
        <w:t xml:space="preserve"> to</w:t>
      </w:r>
      <w:r w:rsidR="22AE0AE4">
        <w:t xml:space="preserve"> combine several appraisals within a single disease pathway, such as renal cell carcinoma and non-small cell lung cancer</w:t>
      </w:r>
      <w:r w:rsidR="0055170D">
        <w:t xml:space="preserve"> (both subject to the current pilots)</w:t>
      </w:r>
      <w:r w:rsidR="22AE0AE4">
        <w:t>.</w:t>
      </w:r>
    </w:p>
    <w:p w14:paraId="18201FBA" w14:textId="4DD1601A" w:rsidR="000C6EB6" w:rsidRDefault="000C6EB6" w:rsidP="006067C6">
      <w:pPr>
        <w:pStyle w:val="Heading3"/>
      </w:pPr>
      <w:r>
        <w:t>Proposal</w:t>
      </w:r>
      <w:r w:rsidR="00D04D37">
        <w:t xml:space="preserve"> </w:t>
      </w:r>
      <w:r w:rsidR="00D53373">
        <w:t>4</w:t>
      </w:r>
      <w:r w:rsidR="00BB3D1F">
        <w:t xml:space="preserve"> </w:t>
      </w:r>
      <w:r w:rsidR="00D04D37">
        <w:t xml:space="preserve">– </w:t>
      </w:r>
      <w:r w:rsidR="002C5483">
        <w:t>the</w:t>
      </w:r>
      <w:r w:rsidR="00BB3D1F">
        <w:t xml:space="preserve"> </w:t>
      </w:r>
      <w:r w:rsidR="00D04D37">
        <w:t>charge for pilot topics</w:t>
      </w:r>
      <w:r w:rsidR="0051178B">
        <w:t xml:space="preserve"> and amendments to processes</w:t>
      </w:r>
    </w:p>
    <w:p w14:paraId="627506CE" w14:textId="1B540BA3" w:rsidR="00EE1313" w:rsidRDefault="049FB613">
      <w:pPr>
        <w:pStyle w:val="ParagraphNumbered"/>
        <w:ind w:left="426" w:hanging="426"/>
      </w:pPr>
      <w:r>
        <w:t xml:space="preserve">Where </w:t>
      </w:r>
      <w:r w:rsidR="1F342A92">
        <w:t>guidance evaluations are deliver</w:t>
      </w:r>
      <w:r w:rsidR="10822800">
        <w:t>ed</w:t>
      </w:r>
      <w:r w:rsidR="1F342A92">
        <w:t xml:space="preserve"> </w:t>
      </w:r>
      <w:r w:rsidR="272A7127">
        <w:t>via</w:t>
      </w:r>
      <w:r w:rsidR="2A923FAB">
        <w:t xml:space="preserve"> a pilot, topics will be subject to </w:t>
      </w:r>
      <w:proofErr w:type="gramStart"/>
      <w:r w:rsidR="2A923FAB">
        <w:t>a</w:t>
      </w:r>
      <w:r w:rsidR="00B503A7">
        <w:t>n</w:t>
      </w:r>
      <w:proofErr w:type="gramEnd"/>
      <w:r w:rsidR="00B503A7">
        <w:t xml:space="preserve"> </w:t>
      </w:r>
      <w:r w:rsidR="009A1640">
        <w:t xml:space="preserve">divergent </w:t>
      </w:r>
      <w:r w:rsidR="004C6440">
        <w:t>fee</w:t>
      </w:r>
      <w:r w:rsidR="5605513B">
        <w:t>.</w:t>
      </w:r>
      <w:r w:rsidR="7F5C9839">
        <w:t xml:space="preserve"> For example, </w:t>
      </w:r>
      <w:r w:rsidR="58373018">
        <w:t>‘</w:t>
      </w:r>
      <w:r w:rsidR="7F5C9839">
        <w:t>pathways</w:t>
      </w:r>
      <w:r w:rsidR="58373018">
        <w:t>’</w:t>
      </w:r>
      <w:r w:rsidR="7F5C9839">
        <w:t xml:space="preserve"> to</w:t>
      </w:r>
      <w:r w:rsidR="2513D0C0">
        <w:t xml:space="preserve">pics will </w:t>
      </w:r>
      <w:r w:rsidR="5EBD220E">
        <w:t xml:space="preserve">have </w:t>
      </w:r>
      <w:r w:rsidR="5EBD220E" w:rsidDel="0083397A">
        <w:t>a</w:t>
      </w:r>
      <w:r w:rsidR="00640924">
        <w:t xml:space="preserve"> </w:t>
      </w:r>
      <w:r w:rsidR="0055170D">
        <w:t>different</w:t>
      </w:r>
      <w:r w:rsidR="001266AA">
        <w:t xml:space="preserve"> </w:t>
      </w:r>
      <w:r w:rsidR="006A3B07">
        <w:t xml:space="preserve">fee </w:t>
      </w:r>
      <w:r w:rsidR="4590C7C3">
        <w:t xml:space="preserve">during the pilot </w:t>
      </w:r>
      <w:r w:rsidR="00EE1313">
        <w:t>phase</w:t>
      </w:r>
      <w:r w:rsidR="008A423D">
        <w:t>. Should ‘Pathways’ become a standard business-as-usual approach</w:t>
      </w:r>
      <w:r w:rsidR="4590C7C3">
        <w:t xml:space="preserve"> </w:t>
      </w:r>
      <w:r w:rsidR="00A16DBA">
        <w:t>the fee will be</w:t>
      </w:r>
      <w:r w:rsidR="4590C7C3">
        <w:t xml:space="preserve"> written into charging procedures</w:t>
      </w:r>
      <w:r w:rsidR="367D6257">
        <w:t xml:space="preserve">. </w:t>
      </w:r>
      <w:r w:rsidR="737DA018" w:rsidDel="00EC5723">
        <w:t>In this scenario,</w:t>
      </w:r>
      <w:r w:rsidR="005667B4">
        <w:t xml:space="preserve"> we expect</w:t>
      </w:r>
      <w:r w:rsidR="737DA018" w:rsidDel="00EC5723">
        <w:t xml:space="preserve"> the </w:t>
      </w:r>
      <w:r w:rsidR="000E0E13">
        <w:t>fee</w:t>
      </w:r>
      <w:r w:rsidR="000E0E13" w:rsidDel="00EC5723">
        <w:t xml:space="preserve"> </w:t>
      </w:r>
      <w:r w:rsidR="007B4D28">
        <w:t>to</w:t>
      </w:r>
      <w:r w:rsidR="737DA018" w:rsidDel="00EC5723">
        <w:t xml:space="preserve"> be no more than the largest </w:t>
      </w:r>
      <w:r w:rsidR="00625C70">
        <w:t xml:space="preserve">or </w:t>
      </w:r>
      <w:r w:rsidR="737DA018" w:rsidDel="00EC5723">
        <w:t xml:space="preserve">lowest fee set out within the </w:t>
      </w:r>
      <w:hyperlink r:id="rId34">
        <w:r w:rsidR="737DA018" w:rsidRPr="0508A24F" w:rsidDel="00EC5723">
          <w:rPr>
            <w:rStyle w:val="Hyperlink"/>
          </w:rPr>
          <w:t>NICE charging procedures.</w:t>
        </w:r>
      </w:hyperlink>
      <w:r w:rsidR="737DA018" w:rsidDel="00EC5723">
        <w:t xml:space="preserve"> </w:t>
      </w:r>
    </w:p>
    <w:p w14:paraId="2673927E" w14:textId="0D61BA9B" w:rsidR="00EC5723" w:rsidRDefault="7795480F" w:rsidP="00ED6624">
      <w:pPr>
        <w:pStyle w:val="ParagraphNumbered"/>
        <w:ind w:left="426" w:hanging="426"/>
      </w:pPr>
      <w:r>
        <w:lastRenderedPageBreak/>
        <w:t xml:space="preserve">In some </w:t>
      </w:r>
      <w:r w:rsidR="6B38DDA6">
        <w:t>cases,</w:t>
      </w:r>
      <w:r>
        <w:t xml:space="preserve"> </w:t>
      </w:r>
      <w:r w:rsidR="006943E7">
        <w:t>NICE may have an opportunity</w:t>
      </w:r>
      <w:r>
        <w:t xml:space="preserve"> with agreement from the company to </w:t>
      </w:r>
      <w:r w:rsidR="00C46D5D">
        <w:t xml:space="preserve">amend </w:t>
      </w:r>
      <w:r w:rsidR="003C08C9">
        <w:t>standard processes</w:t>
      </w:r>
      <w:r w:rsidR="67E15380">
        <w:t xml:space="preserve">. </w:t>
      </w:r>
      <w:r w:rsidR="73686B49">
        <w:t>In these cases</w:t>
      </w:r>
      <w:r w:rsidR="00AB28FA">
        <w:t>,</w:t>
      </w:r>
      <w:r w:rsidR="009E51DA">
        <w:t xml:space="preserve"> </w:t>
      </w:r>
      <w:r w:rsidR="009E51DA">
        <w:rPr>
          <w:rStyle w:val="ui-provider"/>
        </w:rPr>
        <w:t xml:space="preserve">a </w:t>
      </w:r>
      <w:r w:rsidR="0055170D">
        <w:rPr>
          <w:rStyle w:val="ui-provider"/>
        </w:rPr>
        <w:t>different</w:t>
      </w:r>
      <w:r w:rsidR="009E51DA">
        <w:rPr>
          <w:rStyle w:val="ui-provider"/>
        </w:rPr>
        <w:t xml:space="preserve"> fee will be explored assessing the resource and unit capacity to be utilised</w:t>
      </w:r>
      <w:r w:rsidR="009E51DA">
        <w:t>.</w:t>
      </w:r>
      <w:r w:rsidR="00E8343F">
        <w:t xml:space="preserve"> </w:t>
      </w:r>
      <w:r w:rsidR="00EC5723">
        <w:t>In th</w:t>
      </w:r>
      <w:r w:rsidR="00EC5723" w:rsidDel="00EC5723">
        <w:t>is</w:t>
      </w:r>
      <w:r w:rsidR="00E8343F">
        <w:t xml:space="preserve"> scenario</w:t>
      </w:r>
      <w:r w:rsidR="00C46D5D">
        <w:t xml:space="preserve">, </w:t>
      </w:r>
      <w:r w:rsidR="007B4D28">
        <w:t xml:space="preserve">we expect </w:t>
      </w:r>
      <w:r w:rsidR="00EC5723">
        <w:t xml:space="preserve">the </w:t>
      </w:r>
      <w:r w:rsidR="00583168">
        <w:t>fee</w:t>
      </w:r>
      <w:r w:rsidR="00EC5723" w:rsidDel="00583168">
        <w:t xml:space="preserve"> </w:t>
      </w:r>
      <w:r w:rsidR="007460E9">
        <w:t>to</w:t>
      </w:r>
      <w:r w:rsidR="00EC5723">
        <w:t xml:space="preserve"> be no more than the largest </w:t>
      </w:r>
      <w:r w:rsidR="006943E7">
        <w:t xml:space="preserve">or </w:t>
      </w:r>
      <w:r w:rsidR="00EC5723">
        <w:t xml:space="preserve">lowest fee set out within the </w:t>
      </w:r>
      <w:hyperlink r:id="rId35">
        <w:r w:rsidR="00EC5723" w:rsidRPr="0508A24F">
          <w:rPr>
            <w:rStyle w:val="Hyperlink"/>
          </w:rPr>
          <w:t>NICE charging procedures.</w:t>
        </w:r>
      </w:hyperlink>
      <w:r w:rsidR="00EC5723">
        <w:t xml:space="preserve"> </w:t>
      </w:r>
    </w:p>
    <w:p w14:paraId="2BA6E403" w14:textId="0AE06749" w:rsidR="00E77C91" w:rsidRDefault="005F51F9" w:rsidP="001A4BBA">
      <w:pPr>
        <w:pStyle w:val="Heading2"/>
      </w:pPr>
      <w:r>
        <w:t>Background - r</w:t>
      </w:r>
      <w:r w:rsidR="00E77C91">
        <w:t>efunds</w:t>
      </w:r>
    </w:p>
    <w:p w14:paraId="159256B7" w14:textId="0E4441FD" w:rsidR="00E0796F" w:rsidRDefault="3876A60D" w:rsidP="00CE1EFE">
      <w:pPr>
        <w:pStyle w:val="ParagraphNumbered"/>
        <w:ind w:left="426" w:hanging="426"/>
      </w:pPr>
      <w:r>
        <w:t xml:space="preserve">The </w:t>
      </w:r>
      <w:r w:rsidR="0033055C">
        <w:t xml:space="preserve">current </w:t>
      </w:r>
      <w:hyperlink r:id="rId36" w:anchor="refunds" w:history="1">
        <w:r w:rsidR="0033055C" w:rsidRPr="0033055C">
          <w:rPr>
            <w:rStyle w:val="Hyperlink"/>
          </w:rPr>
          <w:t xml:space="preserve">NICE </w:t>
        </w:r>
        <w:r w:rsidRPr="0033055C">
          <w:rPr>
            <w:rStyle w:val="Hyperlink"/>
          </w:rPr>
          <w:t>charging procedures</w:t>
        </w:r>
      </w:hyperlink>
      <w:r>
        <w:t xml:space="preserve"> state that </w:t>
      </w:r>
      <w:r w:rsidR="210CCB0A">
        <w:t>NICE will fully or partially refund the charge of the evaluation if:</w:t>
      </w:r>
    </w:p>
    <w:p w14:paraId="586B8E9E" w14:textId="77777777" w:rsidR="00E0796F" w:rsidRDefault="00E0796F" w:rsidP="00C1571B">
      <w:pPr>
        <w:pStyle w:val="Bullets"/>
      </w:pPr>
      <w:r>
        <w:t>A single technology appraisal (STA) is converted into a cost comparison appraisal (CCA). In this case, NICE will refund the difference in charge.</w:t>
      </w:r>
    </w:p>
    <w:p w14:paraId="314B3285" w14:textId="3375AC42" w:rsidR="00462048" w:rsidRDefault="2855DDDC" w:rsidP="00C1571B">
      <w:pPr>
        <w:pStyle w:val="Bullets"/>
      </w:pPr>
      <w:r>
        <w:t>In the sole opinion of NICE, NICE is unable to complete the appraisal after it has started (for example, if the technology does not receive regulatory approval or the company withdraws an application from the relevant regulatory authority). NICE will refund the amount paid</w:t>
      </w:r>
      <w:r w:rsidR="00265D5B">
        <w:t>,</w:t>
      </w:r>
      <w:r>
        <w:t xml:space="preserve"> less any costs incurred during the appraisal process up to that point (including fair allowance for overheads and other similar costs).</w:t>
      </w:r>
    </w:p>
    <w:p w14:paraId="2CDDDA1B" w14:textId="3BF0ECEA" w:rsidR="00462048" w:rsidRDefault="2855DDDC" w:rsidP="00C1571B">
      <w:pPr>
        <w:pStyle w:val="Bullets"/>
      </w:pPr>
      <w:r>
        <w:t xml:space="preserve">The evaluation is </w:t>
      </w:r>
      <w:r w:rsidR="0055170D">
        <w:t>delayed and</w:t>
      </w:r>
      <w:r>
        <w:t xml:space="preserve"> rescheduled more than six months later than </w:t>
      </w:r>
      <w:r w:rsidR="3640EAC2">
        <w:t xml:space="preserve">the </w:t>
      </w:r>
      <w:r>
        <w:t>original invitation to participate (ITP) date. NICE will refund the amount paid and recharge at the appropriate rate and time. This helps with managing public monies appropriately, in line with financial regulations and NICE schedules.</w:t>
      </w:r>
    </w:p>
    <w:p w14:paraId="560503B7" w14:textId="05D16606" w:rsidR="00462048" w:rsidRDefault="2855DDDC" w:rsidP="00C1571B">
      <w:pPr>
        <w:pStyle w:val="Bullets"/>
      </w:pPr>
      <w:r>
        <w:t xml:space="preserve">Where an evaluation has required substantially different </w:t>
      </w:r>
      <w:r w:rsidDel="00462048">
        <w:t xml:space="preserve">resource </w:t>
      </w:r>
      <w:r>
        <w:t>to that of a standard evaluation, alternative refund models may be explored by NICE using a methodology consistent with Managing Public Money.</w:t>
      </w:r>
    </w:p>
    <w:p w14:paraId="6680817B" w14:textId="77777777" w:rsidR="005855E5" w:rsidRDefault="2855DDDC" w:rsidP="00C1571B">
      <w:pPr>
        <w:pStyle w:val="Bullets"/>
        <w:numPr>
          <w:ilvl w:val="0"/>
          <w:numId w:val="2"/>
        </w:numPr>
        <w:ind w:left="993" w:hanging="426"/>
      </w:pPr>
      <w:r>
        <w:t xml:space="preserve">All refunds are subject to a standard administration charge. The administration charge allows NICE to recover the administrative costs related to staff and SBS </w:t>
      </w:r>
      <w:r w:rsidDel="00462048">
        <w:t xml:space="preserve">resource </w:t>
      </w:r>
      <w:r>
        <w:t xml:space="preserve">used to raise and complete the refund. The administration charge for non-small companies is </w:t>
      </w:r>
      <w:r>
        <w:lastRenderedPageBreak/>
        <w:t>£100 per refund. Small companies</w:t>
      </w:r>
      <w:r w:rsidR="66286E7E">
        <w:t xml:space="preserve"> </w:t>
      </w:r>
      <w:r w:rsidDel="00462048">
        <w:t>receive a 75% discount, the fee is</w:t>
      </w:r>
      <w:r>
        <w:t xml:space="preserve"> £25 per refund.</w:t>
      </w:r>
      <w:r w:rsidR="005E6AE2">
        <w:t xml:space="preserve"> </w:t>
      </w:r>
    </w:p>
    <w:p w14:paraId="446EF68E" w14:textId="2EDB763F" w:rsidR="00DB4C51" w:rsidRDefault="00BD7153" w:rsidP="00672DDD">
      <w:pPr>
        <w:pStyle w:val="ParagraphNumbered"/>
        <w:spacing w:before="240"/>
        <w:ind w:left="426" w:hanging="426"/>
      </w:pPr>
      <w:r>
        <w:t>For</w:t>
      </w:r>
      <w:r w:rsidR="00C1571B">
        <w:t xml:space="preserve"> the </w:t>
      </w:r>
      <w:r>
        <w:t>review, w</w:t>
      </w:r>
      <w:r w:rsidR="2FD39075">
        <w:t>e have considered</w:t>
      </w:r>
      <w:r w:rsidR="005563C8">
        <w:t>.</w:t>
      </w:r>
    </w:p>
    <w:p w14:paraId="39CED46E" w14:textId="7FD59FB8" w:rsidR="00DB4C51" w:rsidRDefault="00DB4C51" w:rsidP="001C7625">
      <w:pPr>
        <w:pStyle w:val="Bullets"/>
      </w:pPr>
      <w:r>
        <w:t>T</w:t>
      </w:r>
      <w:r w:rsidR="2FD39075">
        <w:t xml:space="preserve">he </w:t>
      </w:r>
      <w:r w:rsidR="00BD7153">
        <w:t xml:space="preserve">current </w:t>
      </w:r>
      <w:r w:rsidR="00D42582">
        <w:t xml:space="preserve">refund </w:t>
      </w:r>
      <w:proofErr w:type="gramStart"/>
      <w:r>
        <w:t>processes</w:t>
      </w:r>
      <w:proofErr w:type="gramEnd"/>
    </w:p>
    <w:p w14:paraId="4E974ED6" w14:textId="77777777" w:rsidR="00DB4C51" w:rsidRDefault="00DB4C51" w:rsidP="001C7625">
      <w:pPr>
        <w:pStyle w:val="Bullets"/>
      </w:pPr>
      <w:r>
        <w:t>T</w:t>
      </w:r>
      <w:r w:rsidR="00D42582">
        <w:t>he key milestones included in</w:t>
      </w:r>
      <w:r w:rsidR="2FD39075">
        <w:t xml:space="preserve"> the </w:t>
      </w:r>
      <w:proofErr w:type="gramStart"/>
      <w:r w:rsidR="00D42582">
        <w:t>charge</w:t>
      </w:r>
      <w:proofErr w:type="gramEnd"/>
      <w:r w:rsidR="00D42582">
        <w:t xml:space="preserve"> </w:t>
      </w:r>
    </w:p>
    <w:p w14:paraId="248C376D" w14:textId="176D3A18" w:rsidR="00802BBB" w:rsidRDefault="00DB4C51" w:rsidP="001C7625">
      <w:pPr>
        <w:pStyle w:val="Bullets"/>
      </w:pPr>
      <w:r>
        <w:t>T</w:t>
      </w:r>
      <w:r w:rsidR="00D42582">
        <w:t xml:space="preserve">he </w:t>
      </w:r>
      <w:r w:rsidR="2FD39075">
        <w:t xml:space="preserve">impact of guidance stopping on </w:t>
      </w:r>
      <w:r>
        <w:t>achieving</w:t>
      </w:r>
      <w:r w:rsidR="00271565">
        <w:t xml:space="preserve"> full </w:t>
      </w:r>
      <w:r w:rsidR="2FD39075">
        <w:t>cost recovery</w:t>
      </w:r>
    </w:p>
    <w:p w14:paraId="2C89F8D9" w14:textId="6023D4BF" w:rsidR="001D250D" w:rsidRDefault="001D250D" w:rsidP="006067C6">
      <w:pPr>
        <w:pStyle w:val="Heading3"/>
      </w:pPr>
      <w:r>
        <w:t xml:space="preserve">Proposal </w:t>
      </w:r>
      <w:r w:rsidR="00E24D8C">
        <w:t>5</w:t>
      </w:r>
      <w:r w:rsidR="003859D2">
        <w:t xml:space="preserve"> </w:t>
      </w:r>
      <w:r>
        <w:t>– update</w:t>
      </w:r>
      <w:r w:rsidR="00FB1B45">
        <w:t>s</w:t>
      </w:r>
      <w:r>
        <w:t xml:space="preserve"> to refund </w:t>
      </w:r>
      <w:proofErr w:type="gramStart"/>
      <w:r>
        <w:t>procedures</w:t>
      </w:r>
      <w:proofErr w:type="gramEnd"/>
    </w:p>
    <w:p w14:paraId="2AF32357" w14:textId="5CBBCE3B" w:rsidR="001D250D" w:rsidRDefault="1FD308AC" w:rsidP="006067C6">
      <w:pPr>
        <w:pStyle w:val="ParagraphNumbered"/>
        <w:ind w:left="426" w:hanging="426"/>
      </w:pPr>
      <w:r>
        <w:t xml:space="preserve">Currently, </w:t>
      </w:r>
      <w:r w:rsidR="3DB2A308">
        <w:t xml:space="preserve">there is no eligibility for a refund </w:t>
      </w:r>
      <w:r>
        <w:t>o</w:t>
      </w:r>
      <w:r w:rsidR="74A11C3C">
        <w:t xml:space="preserve">nce a </w:t>
      </w:r>
      <w:r w:rsidR="3DB2A308">
        <w:t xml:space="preserve">company has submitted to </w:t>
      </w:r>
      <w:r w:rsidR="74A11C3C">
        <w:t xml:space="preserve">NICE and the </w:t>
      </w:r>
      <w:r w:rsidR="00B92363">
        <w:t>submission review</w:t>
      </w:r>
      <w:r w:rsidR="59E6CE7C">
        <w:t xml:space="preserve"> </w:t>
      </w:r>
      <w:r w:rsidR="74A11C3C">
        <w:t>has started</w:t>
      </w:r>
      <w:r w:rsidR="55FB8071">
        <w:t xml:space="preserve">. </w:t>
      </w:r>
      <w:r w:rsidR="7545E73F">
        <w:t>T</w:t>
      </w:r>
      <w:r w:rsidR="55FB8071">
        <w:t>he procedures</w:t>
      </w:r>
      <w:r w:rsidR="292A82DC">
        <w:t xml:space="preserve"> will </w:t>
      </w:r>
      <w:r w:rsidR="40728D85">
        <w:t>be updated to</w:t>
      </w:r>
      <w:r w:rsidR="292A82DC">
        <w:t xml:space="preserve"> allow </w:t>
      </w:r>
      <w:r w:rsidR="7545E73F">
        <w:t xml:space="preserve">companies </w:t>
      </w:r>
      <w:r w:rsidR="292A82DC">
        <w:t>the</w:t>
      </w:r>
      <w:r w:rsidR="74A11C3C">
        <w:t xml:space="preserve"> opportunity to receive a proportionate refund</w:t>
      </w:r>
      <w:r w:rsidR="001452A7">
        <w:t xml:space="preserve"> </w:t>
      </w:r>
      <w:r w:rsidR="006E0E4B">
        <w:t xml:space="preserve">depending on </w:t>
      </w:r>
      <w:r w:rsidR="001452A7">
        <w:rPr>
          <w:rStyle w:val="ui-provider"/>
        </w:rPr>
        <w:t>the</w:t>
      </w:r>
      <w:r w:rsidR="00F918BE">
        <w:rPr>
          <w:rStyle w:val="ui-provider"/>
        </w:rPr>
        <w:t xml:space="preserve"> key milestones met,</w:t>
      </w:r>
      <w:r w:rsidR="001452A7">
        <w:rPr>
          <w:rStyle w:val="ui-provider"/>
        </w:rPr>
        <w:t xml:space="preserve"> resource and unit capacity </w:t>
      </w:r>
      <w:r w:rsidR="00F918BE">
        <w:rPr>
          <w:rStyle w:val="ui-provider"/>
        </w:rPr>
        <w:t>used</w:t>
      </w:r>
      <w:r w:rsidR="005716CC">
        <w:rPr>
          <w:rStyle w:val="ui-provider"/>
        </w:rPr>
        <w:t>.</w:t>
      </w:r>
      <w:r w:rsidR="0AAA35FC">
        <w:rPr>
          <w:rStyle w:val="ui-provider"/>
        </w:rPr>
        <w:t xml:space="preserve"> </w:t>
      </w:r>
      <w:r w:rsidR="6CCB3263">
        <w:t xml:space="preserve">However, </w:t>
      </w:r>
      <w:r w:rsidR="460BCCCE">
        <w:t>o</w:t>
      </w:r>
      <w:r w:rsidR="6CCB3263">
        <w:t>nce the External Assessment Report has been completed</w:t>
      </w:r>
      <w:r w:rsidR="6F87237E">
        <w:t>,</w:t>
      </w:r>
      <w:r w:rsidR="6CCB3263">
        <w:t xml:space="preserve"> </w:t>
      </w:r>
      <w:r w:rsidR="460BCCCE">
        <w:t>a refund will not be applicable</w:t>
      </w:r>
      <w:r w:rsidR="00FF0AD0">
        <w:t>.</w:t>
      </w:r>
    </w:p>
    <w:p w14:paraId="35AC5419" w14:textId="4677AA1C" w:rsidR="00B63B4C" w:rsidRDefault="0055170D" w:rsidP="000941B5">
      <w:pPr>
        <w:pStyle w:val="ParagraphNumbered"/>
        <w:ind w:left="426" w:hanging="426"/>
      </w:pPr>
      <w:r>
        <w:t>Consideration has been given to</w:t>
      </w:r>
      <w:r w:rsidR="1D9AE981">
        <w:t xml:space="preserve"> the impact </w:t>
      </w:r>
      <w:r w:rsidR="3BD9F0F0">
        <w:t>of rescheduling timelines on cost recovery and future forecasting, as</w:t>
      </w:r>
      <w:r w:rsidR="41FF76CD">
        <w:t xml:space="preserve"> described in </w:t>
      </w:r>
      <w:hyperlink w:anchor="_Proposal_1_–" w:history="1">
        <w:r w:rsidR="009952E8">
          <w:rPr>
            <w:rStyle w:val="Hyperlink"/>
          </w:rPr>
          <w:t>proposals</w:t>
        </w:r>
      </w:hyperlink>
      <w:r w:rsidR="009952E8">
        <w:rPr>
          <w:rStyle w:val="Hyperlink"/>
        </w:rPr>
        <w:t xml:space="preserve"> 1 and 2</w:t>
      </w:r>
      <w:r w:rsidR="41FF76CD">
        <w:t xml:space="preserve">, </w:t>
      </w:r>
      <w:r w:rsidR="1835AFC2">
        <w:t>where</w:t>
      </w:r>
      <w:r w:rsidR="41FF76CD">
        <w:t xml:space="preserve"> a change fee will apply</w:t>
      </w:r>
      <w:r w:rsidR="022E2828">
        <w:t>. Depending on the payment status, NICE will refund the amount paid minus the change fee</w:t>
      </w:r>
      <w:r w:rsidR="7FA78798">
        <w:t xml:space="preserve"> where topics are rescheduled more than </w:t>
      </w:r>
      <w:r w:rsidR="3BD9F0F0">
        <w:t>four</w:t>
      </w:r>
      <w:r w:rsidR="7FA78798">
        <w:t xml:space="preserve"> months after the agreed </w:t>
      </w:r>
      <w:r w:rsidR="3201BC04">
        <w:t xml:space="preserve">ITP </w:t>
      </w:r>
      <w:r w:rsidR="7FA78798">
        <w:t>date</w:t>
      </w:r>
      <w:r w:rsidR="009952E8">
        <w:t>,</w:t>
      </w:r>
      <w:r w:rsidR="0E9EC6B6">
        <w:t xml:space="preserve"> and a </w:t>
      </w:r>
      <w:r w:rsidR="2623961E">
        <w:t>new URN will be requested once the timelines for the re-scheduled dates are agreed</w:t>
      </w:r>
      <w:r w:rsidR="3201BC04">
        <w:t>.</w:t>
      </w:r>
    </w:p>
    <w:p w14:paraId="3AC0AFB5" w14:textId="5EB5599A" w:rsidR="00DD4EA0" w:rsidRDefault="0055170D" w:rsidP="000941B5">
      <w:pPr>
        <w:pStyle w:val="ParagraphNumbered"/>
        <w:ind w:left="426" w:hanging="426"/>
      </w:pPr>
      <w:r>
        <w:t>In recognition of</w:t>
      </w:r>
      <w:r w:rsidR="68B4E900">
        <w:t xml:space="preserve"> </w:t>
      </w:r>
      <w:r w:rsidR="002242FA">
        <w:t>introducing and implementing</w:t>
      </w:r>
      <w:r w:rsidR="68B4E900">
        <w:t xml:space="preserve"> new processes</w:t>
      </w:r>
      <w:r>
        <w:t xml:space="preserve"> in April 2023, w</w:t>
      </w:r>
      <w:r w:rsidR="245640E5">
        <w:t>hen</w:t>
      </w:r>
      <w:r w:rsidR="68B4E900">
        <w:t xml:space="preserve"> </w:t>
      </w:r>
      <w:r w:rsidR="245640E5">
        <w:t>an</w:t>
      </w:r>
      <w:r w:rsidR="68B4E900">
        <w:t xml:space="preserve"> STA follows the streamlined committee decision process, </w:t>
      </w:r>
      <w:r w:rsidR="76DAC7D3">
        <w:t xml:space="preserve">NICE </w:t>
      </w:r>
      <w:r w:rsidR="272A4033">
        <w:t>will</w:t>
      </w:r>
      <w:r w:rsidR="76DAC7D3">
        <w:t xml:space="preserve"> </w:t>
      </w:r>
      <w:r w:rsidR="219F29A3">
        <w:t>issue a proportionate refund</w:t>
      </w:r>
      <w:r w:rsidR="36BE56C9">
        <w:t>, less any costs incurred during the evaluation process</w:t>
      </w:r>
      <w:r w:rsidR="72AB373B">
        <w:t xml:space="preserve">. </w:t>
      </w:r>
    </w:p>
    <w:p w14:paraId="0956FB0C" w14:textId="133EC750" w:rsidR="00DD4EA0" w:rsidRDefault="0D546D1F" w:rsidP="000941B5">
      <w:pPr>
        <w:pStyle w:val="ParagraphNumbered"/>
        <w:ind w:left="426" w:hanging="426"/>
      </w:pPr>
      <w:r>
        <w:t>All refunds will continue to be subject to a standard administration charge of £100</w:t>
      </w:r>
      <w:r w:rsidR="31E5627B">
        <w:t xml:space="preserve"> </w:t>
      </w:r>
      <w:r w:rsidR="245640E5">
        <w:t xml:space="preserve">and </w:t>
      </w:r>
      <w:r w:rsidR="31E5627B">
        <w:t>£25 for small companies eligible for the discount.</w:t>
      </w:r>
    </w:p>
    <w:p w14:paraId="28238E32" w14:textId="223F385D" w:rsidR="00463342" w:rsidRPr="00DD4EA0" w:rsidRDefault="006D28F9" w:rsidP="000941B5">
      <w:pPr>
        <w:pStyle w:val="ParagraphNumbered"/>
        <w:ind w:left="426" w:hanging="426"/>
      </w:pPr>
      <w:hyperlink w:anchor="_Appendix_3_-" w:history="1">
        <w:r w:rsidR="0AAA35FC" w:rsidRPr="00283570">
          <w:rPr>
            <w:rStyle w:val="Hyperlink"/>
          </w:rPr>
          <w:t>Appendix 3</w:t>
        </w:r>
      </w:hyperlink>
      <w:r w:rsidR="0AAA35FC">
        <w:t xml:space="preserve"> </w:t>
      </w:r>
      <w:r w:rsidR="3475FBD8">
        <w:t>describes t</w:t>
      </w:r>
      <w:r w:rsidR="0AAA35FC">
        <w:t xml:space="preserve">he proposed changes </w:t>
      </w:r>
      <w:r w:rsidR="00FB6E85">
        <w:t xml:space="preserve">to </w:t>
      </w:r>
      <w:r w:rsidR="0AAA35FC">
        <w:t xml:space="preserve">the refund procedures </w:t>
      </w:r>
      <w:r w:rsidR="3475FBD8">
        <w:t xml:space="preserve">in full. </w:t>
      </w:r>
    </w:p>
    <w:p w14:paraId="1528E5A8" w14:textId="7CA00A84" w:rsidR="00690AC0" w:rsidRDefault="00464280" w:rsidP="00D4531A">
      <w:pPr>
        <w:pStyle w:val="Heading2"/>
      </w:pPr>
      <w:r>
        <w:t>P</w:t>
      </w:r>
      <w:r w:rsidR="00DD72F0">
        <w:t>roposals</w:t>
      </w:r>
      <w:r>
        <w:t xml:space="preserve"> considered but</w:t>
      </w:r>
      <w:r w:rsidR="00D24B81">
        <w:t xml:space="preserve"> not </w:t>
      </w:r>
      <w:proofErr w:type="gramStart"/>
      <w:r w:rsidR="00D24B81">
        <w:t>progressed</w:t>
      </w:r>
      <w:proofErr w:type="gramEnd"/>
      <w:r w:rsidR="00DD72F0">
        <w:t xml:space="preserve"> </w:t>
      </w:r>
    </w:p>
    <w:p w14:paraId="699CA0A0" w14:textId="2AD855D4" w:rsidR="00BF7CE3" w:rsidRDefault="00F63339" w:rsidP="005A77B1">
      <w:pPr>
        <w:pStyle w:val="ParagraphNumbered"/>
        <w:ind w:left="426" w:hanging="426"/>
      </w:pPr>
      <w:r>
        <w:t xml:space="preserve">The review also </w:t>
      </w:r>
      <w:r w:rsidR="00690AC0">
        <w:t xml:space="preserve">considered alternative </w:t>
      </w:r>
      <w:r>
        <w:t>approaches to the charging mechanism</w:t>
      </w:r>
      <w:r w:rsidR="00DD72F0">
        <w:t>; these were dismissed a</w:t>
      </w:r>
      <w:r w:rsidR="0009138C">
        <w:t xml:space="preserve">s unfavourable options to implement and </w:t>
      </w:r>
      <w:r w:rsidR="00BF7CE3">
        <w:t xml:space="preserve">proceed. </w:t>
      </w:r>
    </w:p>
    <w:p w14:paraId="6AC44355" w14:textId="338A7D58" w:rsidR="00D4531A" w:rsidRDefault="001D7BA4" w:rsidP="005A77B1">
      <w:pPr>
        <w:pStyle w:val="ParagraphNumbered"/>
        <w:ind w:left="426" w:hanging="426"/>
      </w:pPr>
      <w:r>
        <w:t>The</w:t>
      </w:r>
      <w:r w:rsidR="00BF7CE3">
        <w:t xml:space="preserve"> </w:t>
      </w:r>
      <w:r w:rsidR="002A517C">
        <w:t>feasibility</w:t>
      </w:r>
      <w:r w:rsidR="00BF7CE3">
        <w:t xml:space="preserve"> of</w:t>
      </w:r>
      <w:r w:rsidR="00DA609E">
        <w:t xml:space="preserve"> issuing multiple invoices to recover costs </w:t>
      </w:r>
      <w:r w:rsidR="002A517C">
        <w:t>during guidance development</w:t>
      </w:r>
      <w:r>
        <w:t xml:space="preserve"> was examined</w:t>
      </w:r>
      <w:r w:rsidR="002A517C">
        <w:t>. This proposal considered</w:t>
      </w:r>
      <w:r w:rsidR="00E7529E">
        <w:t xml:space="preserve"> whether it would be possible to </w:t>
      </w:r>
      <w:r w:rsidR="00BF7CE3">
        <w:t>charg</w:t>
      </w:r>
      <w:r w:rsidR="00E7529E">
        <w:t>e</w:t>
      </w:r>
      <w:r w:rsidR="00BF7CE3">
        <w:t xml:space="preserve"> companies the lowest fee (</w:t>
      </w:r>
      <w:r w:rsidR="00DA609E">
        <w:t>the cost comparison</w:t>
      </w:r>
      <w:r w:rsidR="007052D9">
        <w:t>/</w:t>
      </w:r>
      <w:r w:rsidR="00DA609E">
        <w:t>rapid review fee)</w:t>
      </w:r>
      <w:r w:rsidR="00E7529E">
        <w:t xml:space="preserve"> and issue a further invoice pre-guidance publication to recover </w:t>
      </w:r>
      <w:r w:rsidR="00AE0497">
        <w:t xml:space="preserve">the </w:t>
      </w:r>
      <w:r w:rsidR="00E7529E">
        <w:t xml:space="preserve">remaining costs. However, </w:t>
      </w:r>
      <w:r w:rsidR="008C0FFB">
        <w:t xml:space="preserve">as the work programme </w:t>
      </w:r>
      <w:r w:rsidR="000F6A77">
        <w:t>primarily</w:t>
      </w:r>
      <w:r w:rsidR="00892148">
        <w:t xml:space="preserve"> </w:t>
      </w:r>
      <w:r w:rsidR="000F6A77">
        <w:t xml:space="preserve">consists </w:t>
      </w:r>
      <w:r w:rsidR="008C0FFB">
        <w:t xml:space="preserve">of standard STA evaluations, this would create a significant </w:t>
      </w:r>
      <w:r w:rsidR="00B64907">
        <w:t xml:space="preserve">burden and cost to </w:t>
      </w:r>
      <w:r w:rsidR="004E64FA">
        <w:t>administer and</w:t>
      </w:r>
      <w:r w:rsidR="00B64907">
        <w:t xml:space="preserve"> require </w:t>
      </w:r>
      <w:r w:rsidR="00AB28FA">
        <w:t xml:space="preserve">funding </w:t>
      </w:r>
      <w:r w:rsidR="0029544F">
        <w:t xml:space="preserve">via </w:t>
      </w:r>
      <w:r w:rsidR="004E64FA">
        <w:t>an increase in</w:t>
      </w:r>
      <w:r w:rsidR="00AB28FA">
        <w:t xml:space="preserve"> </w:t>
      </w:r>
      <w:r w:rsidR="0029544F">
        <w:t xml:space="preserve">direct and overhead costs. </w:t>
      </w:r>
    </w:p>
    <w:p w14:paraId="53A42696" w14:textId="63AFC426" w:rsidR="00A50808" w:rsidRDefault="00AB28FA" w:rsidP="005A77B1">
      <w:pPr>
        <w:pStyle w:val="ParagraphNumbered"/>
        <w:ind w:left="426" w:hanging="426"/>
      </w:pPr>
      <w:r>
        <w:t>Similarly,</w:t>
      </w:r>
      <w:r w:rsidR="00A50808">
        <w:t xml:space="preserve"> the feasibility of </w:t>
      </w:r>
      <w:r w:rsidR="001D7BA4">
        <w:t xml:space="preserve">offering a phased payment option to all companies (not just to small companies) was </w:t>
      </w:r>
      <w:r w:rsidR="004E64FA">
        <w:t>considered. This would create a significant burden and cost to administer and require funding via an increase in direct and overhead costs</w:t>
      </w:r>
      <w:r w:rsidR="006D7632">
        <w:t>.</w:t>
      </w:r>
    </w:p>
    <w:p w14:paraId="51D31BA1" w14:textId="1D52055B" w:rsidR="00463342" w:rsidRPr="00DD4EA0" w:rsidRDefault="00463342" w:rsidP="00E65D5D">
      <w:pPr>
        <w:pStyle w:val="ParagraphNumbered"/>
        <w:numPr>
          <w:ilvl w:val="0"/>
          <w:numId w:val="0"/>
        </w:numPr>
      </w:pPr>
    </w:p>
    <w:p w14:paraId="0A20ADB8" w14:textId="462DDD2F" w:rsidR="006D03A2" w:rsidRDefault="006D03A2">
      <w:pPr>
        <w:rPr>
          <w:rFonts w:ascii="Arial" w:hAnsi="Arial" w:cs="Arial"/>
          <w:b/>
          <w:bCs/>
          <w:kern w:val="32"/>
          <w:sz w:val="32"/>
          <w:szCs w:val="32"/>
          <w:lang w:eastAsia="en-US"/>
        </w:rPr>
      </w:pPr>
    </w:p>
    <w:p w14:paraId="472946B0" w14:textId="77777777" w:rsidR="00703642" w:rsidRDefault="00703642" w:rsidP="002F18ED">
      <w:pPr>
        <w:pStyle w:val="Heading1"/>
        <w:sectPr w:rsidR="00703642" w:rsidSect="008F6FB7">
          <w:pgSz w:w="11906" w:h="16838"/>
          <w:pgMar w:top="1440" w:right="1800" w:bottom="1440" w:left="1800" w:header="708" w:footer="708" w:gutter="0"/>
          <w:cols w:space="708"/>
          <w:titlePg/>
          <w:docGrid w:linePitch="360"/>
        </w:sectPr>
      </w:pPr>
    </w:p>
    <w:p w14:paraId="5F9C26D3" w14:textId="56C174F4" w:rsidR="00F52A0E" w:rsidRPr="00F52A0E" w:rsidRDefault="00703642" w:rsidP="000F09B1">
      <w:pPr>
        <w:pStyle w:val="Heading1"/>
      </w:pPr>
      <w:r>
        <w:lastRenderedPageBreak/>
        <w:t xml:space="preserve">Appendix </w:t>
      </w:r>
      <w:r w:rsidR="00251091">
        <w:t>1</w:t>
      </w:r>
      <w:r w:rsidR="000F09B1">
        <w:t xml:space="preserve"> - </w:t>
      </w:r>
      <w:r w:rsidR="00F52A0E">
        <w:t>Table of direct</w:t>
      </w:r>
      <w:r w:rsidR="00FE4DCB">
        <w:t xml:space="preserve">, indirect </w:t>
      </w:r>
      <w:r w:rsidR="00D55D6D">
        <w:t>costs,</w:t>
      </w:r>
      <w:r w:rsidR="00FE4DCB">
        <w:t xml:space="preserve"> and overheads</w:t>
      </w:r>
    </w:p>
    <w:p w14:paraId="58757F38" w14:textId="10D7865D" w:rsidR="6DD1E5BB" w:rsidRDefault="6DD1E5BB" w:rsidP="0060219F">
      <w:pPr>
        <w:pStyle w:val="Paragraphindent"/>
        <w:tabs>
          <w:tab w:val="clear" w:pos="567"/>
        </w:tabs>
        <w:ind w:left="0"/>
      </w:pPr>
      <w:r w:rsidRPr="183E352E">
        <w:rPr>
          <w:rFonts w:eastAsia="Inter"/>
        </w:rPr>
        <w:t>*Included in charges from 24/25 for the first time</w:t>
      </w:r>
    </w:p>
    <w:tbl>
      <w:tblPr>
        <w:tblStyle w:val="TableGridLight"/>
        <w:tblW w:w="0" w:type="auto"/>
        <w:tblLook w:val="04A0" w:firstRow="1" w:lastRow="0" w:firstColumn="1" w:lastColumn="0" w:noHBand="0" w:noVBand="1"/>
      </w:tblPr>
      <w:tblGrid>
        <w:gridCol w:w="2074"/>
        <w:gridCol w:w="3796"/>
        <w:gridCol w:w="3796"/>
        <w:gridCol w:w="3796"/>
      </w:tblGrid>
      <w:tr w:rsidR="004543B5" w:rsidRPr="007616DA" w14:paraId="0AD218B4" w14:textId="77777777" w:rsidTr="007616DA">
        <w:tc>
          <w:tcPr>
            <w:tcW w:w="2074" w:type="dxa"/>
            <w:vAlign w:val="center"/>
          </w:tcPr>
          <w:p w14:paraId="0CCA2473" w14:textId="062BC699" w:rsidR="00E958CA" w:rsidRPr="007616DA" w:rsidRDefault="00E958CA" w:rsidP="0053154F">
            <w:pPr>
              <w:pStyle w:val="Tableheading"/>
              <w:rPr>
                <w:szCs w:val="22"/>
              </w:rPr>
            </w:pPr>
          </w:p>
        </w:tc>
        <w:tc>
          <w:tcPr>
            <w:tcW w:w="3796" w:type="dxa"/>
            <w:vAlign w:val="center"/>
          </w:tcPr>
          <w:p w14:paraId="41E4F937" w14:textId="586E83F8" w:rsidR="00E958CA" w:rsidRPr="007616DA" w:rsidRDefault="00E958CA" w:rsidP="007616DA">
            <w:pPr>
              <w:pStyle w:val="Tableheading"/>
              <w:rPr>
                <w:szCs w:val="22"/>
              </w:rPr>
            </w:pPr>
            <w:r w:rsidRPr="007616DA">
              <w:rPr>
                <w:szCs w:val="22"/>
              </w:rPr>
              <w:t>Direct costs</w:t>
            </w:r>
          </w:p>
        </w:tc>
        <w:tc>
          <w:tcPr>
            <w:tcW w:w="3796" w:type="dxa"/>
            <w:vAlign w:val="center"/>
          </w:tcPr>
          <w:p w14:paraId="0839779E" w14:textId="22C99743" w:rsidR="00E958CA" w:rsidRPr="007616DA" w:rsidRDefault="00E958CA" w:rsidP="007616DA">
            <w:pPr>
              <w:pStyle w:val="Tableheading"/>
              <w:rPr>
                <w:szCs w:val="22"/>
              </w:rPr>
            </w:pPr>
            <w:r w:rsidRPr="007616DA">
              <w:rPr>
                <w:szCs w:val="22"/>
              </w:rPr>
              <w:t>Indirect costs</w:t>
            </w:r>
          </w:p>
        </w:tc>
        <w:tc>
          <w:tcPr>
            <w:tcW w:w="3796" w:type="dxa"/>
            <w:vAlign w:val="center"/>
          </w:tcPr>
          <w:p w14:paraId="1FAEAA90" w14:textId="2ABCBAD6" w:rsidR="00E958CA" w:rsidRPr="007616DA" w:rsidRDefault="00E958CA" w:rsidP="007616DA">
            <w:pPr>
              <w:pStyle w:val="Tableheading"/>
              <w:rPr>
                <w:szCs w:val="22"/>
              </w:rPr>
            </w:pPr>
            <w:r w:rsidRPr="007616DA">
              <w:rPr>
                <w:szCs w:val="22"/>
              </w:rPr>
              <w:t>Overheads</w:t>
            </w:r>
          </w:p>
        </w:tc>
      </w:tr>
      <w:tr w:rsidR="004543B5" w:rsidRPr="007616DA" w14:paraId="59C95F65" w14:textId="77777777" w:rsidTr="007616DA">
        <w:tc>
          <w:tcPr>
            <w:tcW w:w="2074" w:type="dxa"/>
          </w:tcPr>
          <w:p w14:paraId="390A6252" w14:textId="255860E3" w:rsidR="00E958CA" w:rsidRPr="007616DA" w:rsidRDefault="00E958CA" w:rsidP="008D5B93">
            <w:pPr>
              <w:pStyle w:val="Tableheading"/>
              <w:rPr>
                <w:szCs w:val="22"/>
              </w:rPr>
            </w:pPr>
            <w:r w:rsidRPr="007616DA">
              <w:rPr>
                <w:szCs w:val="22"/>
              </w:rPr>
              <w:t>What</w:t>
            </w:r>
          </w:p>
        </w:tc>
        <w:tc>
          <w:tcPr>
            <w:tcW w:w="3796" w:type="dxa"/>
          </w:tcPr>
          <w:p w14:paraId="5E6AAEB7" w14:textId="616E909A" w:rsidR="00E958CA" w:rsidRPr="007616DA" w:rsidRDefault="00E958CA" w:rsidP="007616DA">
            <w:pPr>
              <w:pStyle w:val="Tabletext"/>
              <w:rPr>
                <w:szCs w:val="22"/>
              </w:rPr>
            </w:pPr>
            <w:r w:rsidRPr="007616DA">
              <w:rPr>
                <w:szCs w:val="22"/>
              </w:rPr>
              <w:t xml:space="preserve">Costs directly incurred and controlled by the </w:t>
            </w:r>
            <w:r w:rsidR="00D43B09" w:rsidRPr="007616DA">
              <w:rPr>
                <w:szCs w:val="22"/>
              </w:rPr>
              <w:t>TA-HST programme</w:t>
            </w:r>
            <w:r w:rsidRPr="007616DA">
              <w:rPr>
                <w:szCs w:val="22"/>
              </w:rPr>
              <w:t> </w:t>
            </w:r>
          </w:p>
        </w:tc>
        <w:tc>
          <w:tcPr>
            <w:tcW w:w="3796" w:type="dxa"/>
          </w:tcPr>
          <w:p w14:paraId="3DBD94E5" w14:textId="24BF0932" w:rsidR="00E958CA" w:rsidRPr="007616DA" w:rsidRDefault="00E958CA" w:rsidP="007616DA">
            <w:pPr>
              <w:pStyle w:val="Tabletext"/>
              <w:rPr>
                <w:szCs w:val="22"/>
              </w:rPr>
            </w:pPr>
            <w:r w:rsidRPr="007616DA">
              <w:rPr>
                <w:szCs w:val="22"/>
              </w:rPr>
              <w:t>Costs incurred by support teams essential to</w:t>
            </w:r>
            <w:r w:rsidR="00322FF7" w:rsidRPr="007616DA">
              <w:rPr>
                <w:szCs w:val="22"/>
              </w:rPr>
              <w:t xml:space="preserve"> </w:t>
            </w:r>
            <w:r w:rsidR="008425F8" w:rsidRPr="007616DA">
              <w:rPr>
                <w:szCs w:val="22"/>
              </w:rPr>
              <w:t>TA-HST guidance</w:t>
            </w:r>
            <w:r w:rsidR="007460E9" w:rsidRPr="007616DA">
              <w:rPr>
                <w:szCs w:val="22"/>
              </w:rPr>
              <w:t xml:space="preserve"> </w:t>
            </w:r>
            <w:r w:rsidRPr="007616DA">
              <w:rPr>
                <w:szCs w:val="22"/>
              </w:rPr>
              <w:t>delivery</w:t>
            </w:r>
          </w:p>
        </w:tc>
        <w:tc>
          <w:tcPr>
            <w:tcW w:w="3796" w:type="dxa"/>
          </w:tcPr>
          <w:p w14:paraId="2D05FD0B" w14:textId="7EF8DEAC" w:rsidR="00E958CA" w:rsidRPr="007616DA" w:rsidRDefault="00E958CA" w:rsidP="007616DA">
            <w:pPr>
              <w:pStyle w:val="Tabletext"/>
              <w:rPr>
                <w:szCs w:val="22"/>
              </w:rPr>
            </w:pPr>
            <w:r w:rsidRPr="007616DA">
              <w:rPr>
                <w:szCs w:val="22"/>
              </w:rPr>
              <w:t xml:space="preserve">A proportion of back office and estates costs allocated to </w:t>
            </w:r>
            <w:r w:rsidR="008425F8" w:rsidRPr="007616DA">
              <w:rPr>
                <w:szCs w:val="22"/>
              </w:rPr>
              <w:t xml:space="preserve">TA-HST </w:t>
            </w:r>
            <w:r w:rsidRPr="007616DA">
              <w:rPr>
                <w:szCs w:val="22"/>
              </w:rPr>
              <w:t>activity</w:t>
            </w:r>
          </w:p>
        </w:tc>
      </w:tr>
      <w:tr w:rsidR="004543B5" w:rsidRPr="007616DA" w14:paraId="5AEE3CE9" w14:textId="77777777" w:rsidTr="007616DA">
        <w:tc>
          <w:tcPr>
            <w:tcW w:w="2074" w:type="dxa"/>
          </w:tcPr>
          <w:p w14:paraId="42979204" w14:textId="77777777" w:rsidR="00E958CA" w:rsidRPr="007616DA" w:rsidRDefault="00E958CA" w:rsidP="008D5B93">
            <w:pPr>
              <w:pStyle w:val="Tableheading"/>
              <w:rPr>
                <w:szCs w:val="22"/>
              </w:rPr>
            </w:pPr>
            <w:proofErr w:type="gramStart"/>
            <w:r w:rsidRPr="007616DA">
              <w:rPr>
                <w:szCs w:val="22"/>
              </w:rPr>
              <w:t>Who</w:t>
            </w:r>
            <w:proofErr w:type="gramEnd"/>
          </w:p>
          <w:p w14:paraId="1D5D7BB6" w14:textId="4BC98AC7" w:rsidR="00E958CA" w:rsidRPr="007616DA" w:rsidRDefault="00E958CA" w:rsidP="008D5B93">
            <w:pPr>
              <w:pStyle w:val="Tableheading"/>
              <w:rPr>
                <w:szCs w:val="22"/>
              </w:rPr>
            </w:pPr>
            <w:r w:rsidRPr="007616DA">
              <w:rPr>
                <w:szCs w:val="22"/>
              </w:rPr>
              <w:t>(Teams)</w:t>
            </w:r>
          </w:p>
        </w:tc>
        <w:tc>
          <w:tcPr>
            <w:tcW w:w="3796" w:type="dxa"/>
          </w:tcPr>
          <w:p w14:paraId="0DDDE0A5" w14:textId="77777777" w:rsidR="00E958CA" w:rsidRPr="007616DA" w:rsidRDefault="00E958CA" w:rsidP="00E824EB">
            <w:pPr>
              <w:pStyle w:val="Tablebullet"/>
              <w:numPr>
                <w:ilvl w:val="0"/>
                <w:numId w:val="8"/>
              </w:numPr>
              <w:divId w:val="1957322836"/>
              <w:rPr>
                <w:szCs w:val="22"/>
              </w:rPr>
            </w:pPr>
            <w:r w:rsidRPr="007616DA">
              <w:rPr>
                <w:szCs w:val="22"/>
              </w:rPr>
              <w:t>Appraisals / Highly Specialised Technologies</w:t>
            </w:r>
          </w:p>
          <w:p w14:paraId="7D301CBB" w14:textId="77777777" w:rsidR="0060219F" w:rsidRPr="007616DA" w:rsidRDefault="00E958CA" w:rsidP="00E824EB">
            <w:pPr>
              <w:pStyle w:val="Tablebullet"/>
              <w:numPr>
                <w:ilvl w:val="0"/>
                <w:numId w:val="8"/>
              </w:numPr>
              <w:divId w:val="276107861"/>
              <w:rPr>
                <w:szCs w:val="22"/>
              </w:rPr>
            </w:pPr>
            <w:r w:rsidRPr="007616DA">
              <w:rPr>
                <w:szCs w:val="22"/>
              </w:rPr>
              <w:t>Topic Selection</w:t>
            </w:r>
          </w:p>
          <w:p w14:paraId="265FBCAD" w14:textId="55AD8765" w:rsidR="00E958CA" w:rsidRPr="007616DA" w:rsidRDefault="00E958CA" w:rsidP="00E824EB">
            <w:pPr>
              <w:pStyle w:val="Tablebullet"/>
              <w:numPr>
                <w:ilvl w:val="0"/>
                <w:numId w:val="8"/>
              </w:numPr>
              <w:divId w:val="276107861"/>
              <w:rPr>
                <w:szCs w:val="22"/>
              </w:rPr>
            </w:pPr>
            <w:r w:rsidRPr="007616DA">
              <w:rPr>
                <w:szCs w:val="22"/>
              </w:rPr>
              <w:t>Commercial Liaison</w:t>
            </w:r>
          </w:p>
        </w:tc>
        <w:tc>
          <w:tcPr>
            <w:tcW w:w="3796" w:type="dxa"/>
          </w:tcPr>
          <w:p w14:paraId="1134345A" w14:textId="77777777" w:rsidR="00E958CA" w:rsidRPr="007616DA" w:rsidRDefault="00E958CA" w:rsidP="00E824EB">
            <w:pPr>
              <w:pStyle w:val="Tablebullet"/>
              <w:numPr>
                <w:ilvl w:val="0"/>
                <w:numId w:val="8"/>
              </w:numPr>
              <w:ind w:right="-109"/>
              <w:divId w:val="1898734336"/>
              <w:rPr>
                <w:szCs w:val="22"/>
              </w:rPr>
            </w:pPr>
            <w:r w:rsidRPr="007616DA">
              <w:rPr>
                <w:szCs w:val="22"/>
              </w:rPr>
              <w:t>Resource Impact Assessment</w:t>
            </w:r>
          </w:p>
          <w:p w14:paraId="1AC9129A" w14:textId="77777777" w:rsidR="00E958CA" w:rsidRPr="007616DA" w:rsidRDefault="00E958CA" w:rsidP="00E824EB">
            <w:pPr>
              <w:pStyle w:val="Tablebullet"/>
              <w:numPr>
                <w:ilvl w:val="0"/>
                <w:numId w:val="8"/>
              </w:numPr>
              <w:ind w:right="-109"/>
              <w:divId w:val="1514495002"/>
              <w:rPr>
                <w:szCs w:val="22"/>
              </w:rPr>
            </w:pPr>
            <w:r w:rsidRPr="007616DA">
              <w:rPr>
                <w:szCs w:val="22"/>
              </w:rPr>
              <w:t>Public Involvement</w:t>
            </w:r>
          </w:p>
          <w:p w14:paraId="2EDB5060" w14:textId="77777777" w:rsidR="00E958CA" w:rsidRPr="007616DA" w:rsidRDefault="00E958CA" w:rsidP="00E824EB">
            <w:pPr>
              <w:pStyle w:val="Tablebullet"/>
              <w:numPr>
                <w:ilvl w:val="0"/>
                <w:numId w:val="8"/>
              </w:numPr>
              <w:ind w:right="-109"/>
              <w:divId w:val="801846764"/>
              <w:rPr>
                <w:szCs w:val="22"/>
              </w:rPr>
            </w:pPr>
            <w:r w:rsidRPr="007616DA">
              <w:rPr>
                <w:szCs w:val="22"/>
              </w:rPr>
              <w:t>Editorial and Publishing</w:t>
            </w:r>
          </w:p>
          <w:p w14:paraId="2EA72FB8" w14:textId="77777777" w:rsidR="00E958CA" w:rsidRPr="007616DA" w:rsidRDefault="00E958CA" w:rsidP="00E824EB">
            <w:pPr>
              <w:pStyle w:val="Tablebullet"/>
              <w:numPr>
                <w:ilvl w:val="0"/>
                <w:numId w:val="8"/>
              </w:numPr>
              <w:ind w:right="-109"/>
              <w:divId w:val="751048269"/>
              <w:rPr>
                <w:szCs w:val="22"/>
              </w:rPr>
            </w:pPr>
            <w:r w:rsidRPr="007616DA">
              <w:rPr>
                <w:szCs w:val="22"/>
              </w:rPr>
              <w:t>Information Services</w:t>
            </w:r>
          </w:p>
          <w:p w14:paraId="016AE50D" w14:textId="24FBF1EF" w:rsidR="00E958CA" w:rsidRPr="007616DA" w:rsidRDefault="00E958CA" w:rsidP="00E824EB">
            <w:pPr>
              <w:pStyle w:val="Tablebullet"/>
              <w:numPr>
                <w:ilvl w:val="0"/>
                <w:numId w:val="8"/>
              </w:numPr>
              <w:ind w:right="-109"/>
              <w:divId w:val="1941522231"/>
              <w:rPr>
                <w:szCs w:val="22"/>
              </w:rPr>
            </w:pPr>
            <w:r w:rsidRPr="007616DA">
              <w:rPr>
                <w:szCs w:val="22"/>
              </w:rPr>
              <w:t>Communications</w:t>
            </w:r>
          </w:p>
          <w:p w14:paraId="4DCAF959" w14:textId="3F19650E" w:rsidR="00E958CA" w:rsidRPr="007616DA" w:rsidRDefault="00E958CA" w:rsidP="00E824EB">
            <w:pPr>
              <w:pStyle w:val="Tablebullet"/>
              <w:numPr>
                <w:ilvl w:val="0"/>
                <w:numId w:val="8"/>
              </w:numPr>
              <w:ind w:right="-109"/>
              <w:divId w:val="1941522231"/>
              <w:rPr>
                <w:szCs w:val="22"/>
              </w:rPr>
            </w:pPr>
            <w:r w:rsidRPr="007616DA">
              <w:rPr>
                <w:szCs w:val="22"/>
              </w:rPr>
              <w:t>Medicines Optimisation*</w:t>
            </w:r>
          </w:p>
          <w:p w14:paraId="41D5FE3B" w14:textId="75FD6B7B" w:rsidR="00E958CA" w:rsidRPr="007616DA" w:rsidRDefault="00E958CA" w:rsidP="00E824EB">
            <w:pPr>
              <w:pStyle w:val="Tablebullet"/>
              <w:numPr>
                <w:ilvl w:val="0"/>
                <w:numId w:val="8"/>
              </w:numPr>
              <w:ind w:right="-109"/>
              <w:divId w:val="1941522231"/>
              <w:rPr>
                <w:szCs w:val="22"/>
              </w:rPr>
            </w:pPr>
            <w:r w:rsidRPr="007616DA">
              <w:rPr>
                <w:szCs w:val="22"/>
              </w:rPr>
              <w:t>Science policy and research*</w:t>
            </w:r>
          </w:p>
        </w:tc>
        <w:tc>
          <w:tcPr>
            <w:tcW w:w="3796" w:type="dxa"/>
          </w:tcPr>
          <w:p w14:paraId="1C01FD4D" w14:textId="77777777" w:rsidR="00E958CA" w:rsidRPr="007616DA" w:rsidRDefault="00E958CA" w:rsidP="00E824EB">
            <w:pPr>
              <w:pStyle w:val="Tablebullet"/>
              <w:numPr>
                <w:ilvl w:val="0"/>
                <w:numId w:val="8"/>
              </w:numPr>
              <w:divId w:val="1839271649"/>
              <w:rPr>
                <w:szCs w:val="22"/>
              </w:rPr>
            </w:pPr>
            <w:r w:rsidRPr="007616DA">
              <w:rPr>
                <w:szCs w:val="22"/>
              </w:rPr>
              <w:t>Estates</w:t>
            </w:r>
          </w:p>
          <w:p w14:paraId="135F39A2" w14:textId="77777777" w:rsidR="00E958CA" w:rsidRPr="007616DA" w:rsidRDefault="00E958CA" w:rsidP="00E824EB">
            <w:pPr>
              <w:pStyle w:val="Tablebullet"/>
              <w:numPr>
                <w:ilvl w:val="0"/>
                <w:numId w:val="8"/>
              </w:numPr>
              <w:divId w:val="474377778"/>
              <w:rPr>
                <w:szCs w:val="22"/>
              </w:rPr>
            </w:pPr>
            <w:r w:rsidRPr="007616DA">
              <w:rPr>
                <w:szCs w:val="22"/>
              </w:rPr>
              <w:t>Finance and Procurement</w:t>
            </w:r>
          </w:p>
          <w:p w14:paraId="57EA10A9" w14:textId="68B1D6A0" w:rsidR="00E958CA" w:rsidRPr="007616DA" w:rsidRDefault="00E958CA" w:rsidP="00E824EB">
            <w:pPr>
              <w:pStyle w:val="Tablebullet"/>
              <w:numPr>
                <w:ilvl w:val="0"/>
                <w:numId w:val="8"/>
              </w:numPr>
              <w:divId w:val="591472630"/>
              <w:rPr>
                <w:szCs w:val="22"/>
              </w:rPr>
            </w:pPr>
            <w:r w:rsidRPr="007616DA">
              <w:rPr>
                <w:szCs w:val="22"/>
              </w:rPr>
              <w:t>Human Resources</w:t>
            </w:r>
          </w:p>
          <w:p w14:paraId="5299FCBA" w14:textId="18BD02D9" w:rsidR="00E958CA" w:rsidRPr="007616DA" w:rsidRDefault="00E958CA" w:rsidP="00E824EB">
            <w:pPr>
              <w:pStyle w:val="Tablebullet"/>
              <w:numPr>
                <w:ilvl w:val="0"/>
                <w:numId w:val="8"/>
              </w:numPr>
              <w:divId w:val="591472630"/>
              <w:rPr>
                <w:szCs w:val="22"/>
              </w:rPr>
            </w:pPr>
            <w:r w:rsidRPr="007616DA">
              <w:rPr>
                <w:szCs w:val="22"/>
              </w:rPr>
              <w:t>Digital and IT</w:t>
            </w:r>
          </w:p>
          <w:p w14:paraId="4986FEEA" w14:textId="2644F61D" w:rsidR="00E958CA" w:rsidRPr="007616DA" w:rsidRDefault="00E958CA" w:rsidP="00E824EB">
            <w:pPr>
              <w:pStyle w:val="Tablebullet"/>
              <w:numPr>
                <w:ilvl w:val="0"/>
                <w:numId w:val="8"/>
              </w:numPr>
              <w:divId w:val="591472630"/>
              <w:rPr>
                <w:szCs w:val="22"/>
              </w:rPr>
            </w:pPr>
            <w:r w:rsidRPr="007616DA">
              <w:rPr>
                <w:szCs w:val="22"/>
              </w:rPr>
              <w:t>Corporate function</w:t>
            </w:r>
          </w:p>
        </w:tc>
      </w:tr>
      <w:tr w:rsidR="004543B5" w:rsidRPr="007616DA" w14:paraId="4E45D9FC" w14:textId="77777777" w:rsidTr="007616DA">
        <w:tc>
          <w:tcPr>
            <w:tcW w:w="2074" w:type="dxa"/>
          </w:tcPr>
          <w:p w14:paraId="00A391B0" w14:textId="2A32560D" w:rsidR="00E958CA" w:rsidRPr="007616DA" w:rsidRDefault="00E958CA" w:rsidP="008D5B93">
            <w:pPr>
              <w:pStyle w:val="Tableheading"/>
              <w:rPr>
                <w:szCs w:val="22"/>
              </w:rPr>
            </w:pPr>
            <w:r w:rsidRPr="007616DA">
              <w:rPr>
                <w:szCs w:val="22"/>
              </w:rPr>
              <w:t>How</w:t>
            </w:r>
          </w:p>
        </w:tc>
        <w:tc>
          <w:tcPr>
            <w:tcW w:w="3796" w:type="dxa"/>
          </w:tcPr>
          <w:p w14:paraId="1E18B4A7" w14:textId="681BF7FA" w:rsidR="00E958CA" w:rsidRPr="007616DA" w:rsidRDefault="00E958CA" w:rsidP="007616DA">
            <w:pPr>
              <w:pStyle w:val="Tabletext"/>
              <w:rPr>
                <w:szCs w:val="22"/>
              </w:rPr>
            </w:pPr>
            <w:r w:rsidRPr="007616DA">
              <w:rPr>
                <w:szCs w:val="22"/>
              </w:rPr>
              <w:t>Based on budgeted costs (mostly headcount and committee costs)</w:t>
            </w:r>
          </w:p>
        </w:tc>
        <w:tc>
          <w:tcPr>
            <w:tcW w:w="3796" w:type="dxa"/>
          </w:tcPr>
          <w:p w14:paraId="34D7287C" w14:textId="2CC9DA7E" w:rsidR="00E958CA" w:rsidRPr="007616DA" w:rsidRDefault="00E958CA" w:rsidP="007616DA">
            <w:pPr>
              <w:pStyle w:val="Tabletext"/>
              <w:rPr>
                <w:szCs w:val="22"/>
              </w:rPr>
            </w:pPr>
            <w:r w:rsidRPr="007616DA">
              <w:rPr>
                <w:szCs w:val="22"/>
              </w:rPr>
              <w:t xml:space="preserve">Based on apportionments and allocations, derived from information provided by support teams on activity directly attributable to </w:t>
            </w:r>
            <w:r w:rsidR="00445E85" w:rsidRPr="007616DA">
              <w:rPr>
                <w:szCs w:val="22"/>
              </w:rPr>
              <w:t>TA-HST</w:t>
            </w:r>
          </w:p>
        </w:tc>
        <w:tc>
          <w:tcPr>
            <w:tcW w:w="3796" w:type="dxa"/>
          </w:tcPr>
          <w:p w14:paraId="3D38FCC5" w14:textId="5D01FE92" w:rsidR="00E958CA" w:rsidRPr="007616DA" w:rsidRDefault="008425F8" w:rsidP="007616DA">
            <w:pPr>
              <w:pStyle w:val="Tabletext"/>
              <w:rPr>
                <w:szCs w:val="22"/>
              </w:rPr>
            </w:pPr>
            <w:r w:rsidRPr="007616DA">
              <w:rPr>
                <w:szCs w:val="22"/>
              </w:rPr>
              <w:t xml:space="preserve">The total </w:t>
            </w:r>
            <w:r w:rsidR="00E958CA" w:rsidRPr="007616DA">
              <w:rPr>
                <w:szCs w:val="22"/>
              </w:rPr>
              <w:t xml:space="preserve">costs of the above functions </w:t>
            </w:r>
            <w:r w:rsidR="009C0A0E" w:rsidRPr="007616DA">
              <w:rPr>
                <w:szCs w:val="22"/>
              </w:rPr>
              <w:t xml:space="preserve">are </w:t>
            </w:r>
            <w:r w:rsidR="00E958CA" w:rsidRPr="007616DA">
              <w:rPr>
                <w:szCs w:val="22"/>
              </w:rPr>
              <w:t>divided by FTE to give an overhead charge to apply to direct and indirect costs.</w:t>
            </w:r>
          </w:p>
        </w:tc>
      </w:tr>
      <w:tr w:rsidR="004543B5" w:rsidRPr="007616DA" w14:paraId="581DABF7" w14:textId="77777777" w:rsidTr="007616DA">
        <w:tc>
          <w:tcPr>
            <w:tcW w:w="2074" w:type="dxa"/>
          </w:tcPr>
          <w:p w14:paraId="68C8748F" w14:textId="09BC3E21" w:rsidR="00E958CA" w:rsidRPr="007616DA" w:rsidRDefault="00E958CA" w:rsidP="008D5B93">
            <w:pPr>
              <w:pStyle w:val="Tableheading"/>
              <w:rPr>
                <w:szCs w:val="22"/>
              </w:rPr>
            </w:pPr>
            <w:r w:rsidRPr="007616DA">
              <w:rPr>
                <w:szCs w:val="22"/>
              </w:rPr>
              <w:t>How much</w:t>
            </w:r>
          </w:p>
        </w:tc>
        <w:tc>
          <w:tcPr>
            <w:tcW w:w="3796" w:type="dxa"/>
          </w:tcPr>
          <w:p w14:paraId="6D2C6DE2" w14:textId="15A83AC1" w:rsidR="00E958CA" w:rsidRPr="007616DA" w:rsidRDefault="00E958CA" w:rsidP="007616DA">
            <w:pPr>
              <w:pStyle w:val="Tabletext"/>
              <w:rPr>
                <w:szCs w:val="22"/>
              </w:rPr>
            </w:pPr>
            <w:r w:rsidRPr="007616DA">
              <w:rPr>
                <w:szCs w:val="22"/>
              </w:rPr>
              <w:t>63%</w:t>
            </w:r>
          </w:p>
        </w:tc>
        <w:tc>
          <w:tcPr>
            <w:tcW w:w="3796" w:type="dxa"/>
          </w:tcPr>
          <w:p w14:paraId="5C80726F" w14:textId="71E2AB84" w:rsidR="00E958CA" w:rsidRPr="007616DA" w:rsidRDefault="00E958CA" w:rsidP="007616DA">
            <w:pPr>
              <w:pStyle w:val="Tabletext"/>
              <w:rPr>
                <w:szCs w:val="22"/>
              </w:rPr>
            </w:pPr>
            <w:r w:rsidRPr="007616DA">
              <w:rPr>
                <w:szCs w:val="22"/>
              </w:rPr>
              <w:t>21%</w:t>
            </w:r>
          </w:p>
        </w:tc>
        <w:tc>
          <w:tcPr>
            <w:tcW w:w="3796" w:type="dxa"/>
          </w:tcPr>
          <w:p w14:paraId="46B2E590" w14:textId="1FDAEA01" w:rsidR="00E958CA" w:rsidRPr="007616DA" w:rsidRDefault="00E958CA" w:rsidP="007616DA">
            <w:pPr>
              <w:pStyle w:val="Tabletext"/>
              <w:rPr>
                <w:szCs w:val="22"/>
              </w:rPr>
            </w:pPr>
            <w:r w:rsidRPr="007616DA">
              <w:rPr>
                <w:szCs w:val="22"/>
              </w:rPr>
              <w:t>16%</w:t>
            </w:r>
          </w:p>
        </w:tc>
      </w:tr>
    </w:tbl>
    <w:p w14:paraId="158999C5" w14:textId="77777777" w:rsidR="00703642" w:rsidRDefault="00703642">
      <w:pPr>
        <w:rPr>
          <w:rFonts w:ascii="Arial" w:hAnsi="Arial"/>
          <w:lang w:eastAsia="en-US"/>
        </w:rPr>
        <w:sectPr w:rsidR="00703642" w:rsidSect="00703642">
          <w:pgSz w:w="16838" w:h="11906" w:orient="landscape"/>
          <w:pgMar w:top="1797" w:right="1440" w:bottom="1797" w:left="1440" w:header="709" w:footer="709" w:gutter="0"/>
          <w:cols w:space="708"/>
          <w:titlePg/>
          <w:docGrid w:linePitch="360"/>
        </w:sectPr>
      </w:pPr>
    </w:p>
    <w:p w14:paraId="532FF565" w14:textId="49B98369" w:rsidR="00B451E2" w:rsidRPr="00B451E2" w:rsidRDefault="002F18ED" w:rsidP="000F09B1">
      <w:pPr>
        <w:pStyle w:val="Heading1"/>
      </w:pPr>
      <w:r>
        <w:lastRenderedPageBreak/>
        <w:t>Appendix</w:t>
      </w:r>
      <w:r w:rsidR="00B451E2">
        <w:t xml:space="preserve"> </w:t>
      </w:r>
      <w:r w:rsidR="00251091">
        <w:t>2</w:t>
      </w:r>
      <w:r w:rsidR="000F09B1">
        <w:t xml:space="preserve"> - </w:t>
      </w:r>
      <w:r w:rsidR="00106FD8">
        <w:t xml:space="preserve">Overview of </w:t>
      </w:r>
      <w:r w:rsidR="00F357F7">
        <w:t>fees for 2024-25</w:t>
      </w:r>
    </w:p>
    <w:tbl>
      <w:tblPr>
        <w:tblStyle w:val="TableGridLight"/>
        <w:tblW w:w="14034" w:type="dxa"/>
        <w:tblInd w:w="-5" w:type="dxa"/>
        <w:tblLayout w:type="fixed"/>
        <w:tblLook w:val="04A0" w:firstRow="1" w:lastRow="0" w:firstColumn="1" w:lastColumn="0" w:noHBand="0" w:noVBand="1"/>
      </w:tblPr>
      <w:tblGrid>
        <w:gridCol w:w="1560"/>
        <w:gridCol w:w="2905"/>
        <w:gridCol w:w="3190"/>
        <w:gridCol w:w="3189"/>
        <w:gridCol w:w="3190"/>
      </w:tblGrid>
      <w:tr w:rsidR="006D03A2" w:rsidRPr="007616DA" w14:paraId="13788AB9" w14:textId="39B6B63F" w:rsidTr="000941B5">
        <w:tc>
          <w:tcPr>
            <w:tcW w:w="1560" w:type="dxa"/>
          </w:tcPr>
          <w:p w14:paraId="13F2A8F4" w14:textId="77777777" w:rsidR="006D03A2" w:rsidRPr="007616DA" w:rsidRDefault="006D03A2" w:rsidP="009937A6">
            <w:pPr>
              <w:pStyle w:val="Tableheading"/>
              <w:rPr>
                <w:sz w:val="20"/>
                <w:szCs w:val="20"/>
              </w:rPr>
            </w:pPr>
          </w:p>
        </w:tc>
        <w:tc>
          <w:tcPr>
            <w:tcW w:w="2905" w:type="dxa"/>
          </w:tcPr>
          <w:p w14:paraId="78718BA7" w14:textId="77777777" w:rsidR="006D03A2" w:rsidRPr="007616DA" w:rsidRDefault="006D03A2" w:rsidP="009937A6">
            <w:pPr>
              <w:pStyle w:val="Tableheading"/>
              <w:rPr>
                <w:sz w:val="20"/>
                <w:szCs w:val="20"/>
              </w:rPr>
            </w:pPr>
            <w:r w:rsidRPr="007616DA">
              <w:rPr>
                <w:sz w:val="20"/>
                <w:szCs w:val="20"/>
              </w:rPr>
              <w:t xml:space="preserve">Single Technology Appraisal (STA) or Highly Specialised Technologies </w:t>
            </w:r>
          </w:p>
          <w:p w14:paraId="5F4859AD" w14:textId="6852AA9D" w:rsidR="00D55D6D" w:rsidRPr="007616DA" w:rsidRDefault="00D55D6D" w:rsidP="009937A6">
            <w:pPr>
              <w:pStyle w:val="Tableheading"/>
              <w:rPr>
                <w:sz w:val="20"/>
                <w:szCs w:val="20"/>
              </w:rPr>
            </w:pPr>
            <w:r w:rsidRPr="007616DA">
              <w:rPr>
                <w:sz w:val="20"/>
                <w:szCs w:val="20"/>
              </w:rPr>
              <w:t>*</w:t>
            </w:r>
            <w:proofErr w:type="gramStart"/>
            <w:r w:rsidRPr="007616DA">
              <w:rPr>
                <w:sz w:val="20"/>
                <w:szCs w:val="20"/>
              </w:rPr>
              <w:t>includes</w:t>
            </w:r>
            <w:proofErr w:type="gramEnd"/>
            <w:r w:rsidRPr="007616DA">
              <w:rPr>
                <w:sz w:val="20"/>
                <w:szCs w:val="20"/>
              </w:rPr>
              <w:t xml:space="preserve"> streamlined STA</w:t>
            </w:r>
          </w:p>
        </w:tc>
        <w:tc>
          <w:tcPr>
            <w:tcW w:w="3190" w:type="dxa"/>
          </w:tcPr>
          <w:p w14:paraId="75A53529" w14:textId="62DF3F38" w:rsidR="006D03A2" w:rsidRPr="007616DA" w:rsidRDefault="006D03A2" w:rsidP="009937A6">
            <w:pPr>
              <w:pStyle w:val="Tableheading"/>
              <w:rPr>
                <w:sz w:val="20"/>
                <w:szCs w:val="20"/>
              </w:rPr>
            </w:pPr>
            <w:r w:rsidRPr="007616DA">
              <w:rPr>
                <w:sz w:val="20"/>
                <w:szCs w:val="20"/>
              </w:rPr>
              <w:t>Cost Comparison (CC) or Rapid Review</w:t>
            </w:r>
          </w:p>
        </w:tc>
        <w:tc>
          <w:tcPr>
            <w:tcW w:w="3189" w:type="dxa"/>
          </w:tcPr>
          <w:p w14:paraId="5DF554A3" w14:textId="2A6DC3A0" w:rsidR="006D03A2" w:rsidRPr="007616DA" w:rsidRDefault="006D03A2" w:rsidP="009937A6">
            <w:pPr>
              <w:pStyle w:val="Tableheading"/>
              <w:rPr>
                <w:sz w:val="20"/>
                <w:szCs w:val="20"/>
              </w:rPr>
            </w:pPr>
            <w:r w:rsidRPr="007616DA">
              <w:rPr>
                <w:sz w:val="20"/>
                <w:szCs w:val="20"/>
              </w:rPr>
              <w:t>Multiple Technology Appraisal (MTA) standard</w:t>
            </w:r>
            <w:r w:rsidR="00952944" w:rsidRPr="007616DA">
              <w:rPr>
                <w:sz w:val="20"/>
                <w:szCs w:val="20"/>
              </w:rPr>
              <w:t xml:space="preserve"> – up to 3 technologies</w:t>
            </w:r>
          </w:p>
        </w:tc>
        <w:tc>
          <w:tcPr>
            <w:tcW w:w="3190" w:type="dxa"/>
          </w:tcPr>
          <w:p w14:paraId="317A698D" w14:textId="40929500" w:rsidR="006D03A2" w:rsidRPr="007616DA" w:rsidRDefault="00852A93" w:rsidP="009937A6">
            <w:pPr>
              <w:pStyle w:val="Tableheading"/>
              <w:rPr>
                <w:sz w:val="20"/>
                <w:szCs w:val="20"/>
              </w:rPr>
            </w:pPr>
            <w:r w:rsidRPr="007616DA">
              <w:rPr>
                <w:sz w:val="20"/>
                <w:szCs w:val="20"/>
              </w:rPr>
              <w:t>Multiple</w:t>
            </w:r>
            <w:r w:rsidR="006D03A2" w:rsidRPr="007616DA">
              <w:rPr>
                <w:sz w:val="20"/>
                <w:szCs w:val="20"/>
              </w:rPr>
              <w:t xml:space="preserve"> Technology Appraisal (MTA) comple</w:t>
            </w:r>
            <w:r w:rsidR="00952944" w:rsidRPr="007616DA">
              <w:rPr>
                <w:sz w:val="20"/>
                <w:szCs w:val="20"/>
              </w:rPr>
              <w:t>x – more than 3 technologies</w:t>
            </w:r>
          </w:p>
        </w:tc>
      </w:tr>
      <w:tr w:rsidR="006D03A2" w:rsidRPr="007616DA" w14:paraId="2E431558" w14:textId="1CF80977" w:rsidTr="000941B5">
        <w:tc>
          <w:tcPr>
            <w:tcW w:w="1560" w:type="dxa"/>
          </w:tcPr>
          <w:p w14:paraId="7F3D97FC" w14:textId="067F3B26" w:rsidR="006D03A2" w:rsidRPr="007616DA" w:rsidRDefault="006D03A2" w:rsidP="00A83A5F">
            <w:pPr>
              <w:pStyle w:val="Tableheading"/>
              <w:rPr>
                <w:sz w:val="20"/>
                <w:szCs w:val="20"/>
              </w:rPr>
            </w:pPr>
            <w:r w:rsidRPr="007616DA">
              <w:rPr>
                <w:sz w:val="20"/>
                <w:szCs w:val="20"/>
              </w:rPr>
              <w:t>Charge</w:t>
            </w:r>
          </w:p>
        </w:tc>
        <w:tc>
          <w:tcPr>
            <w:tcW w:w="2905" w:type="dxa"/>
          </w:tcPr>
          <w:p w14:paraId="78FC8F50" w14:textId="6B694B6B" w:rsidR="006D03A2" w:rsidRPr="007616DA" w:rsidRDefault="006D03A2" w:rsidP="007616DA">
            <w:pPr>
              <w:pStyle w:val="Paragraph"/>
              <w:spacing w:before="120" w:after="120"/>
              <w:rPr>
                <w:sz w:val="20"/>
                <w:szCs w:val="20"/>
              </w:rPr>
            </w:pPr>
            <w:r w:rsidRPr="007616DA">
              <w:rPr>
                <w:sz w:val="20"/>
                <w:szCs w:val="20"/>
              </w:rPr>
              <w:t>£186,100</w:t>
            </w:r>
          </w:p>
        </w:tc>
        <w:tc>
          <w:tcPr>
            <w:tcW w:w="3190" w:type="dxa"/>
          </w:tcPr>
          <w:p w14:paraId="0C12D824" w14:textId="50F5518B" w:rsidR="006D03A2" w:rsidRPr="007616DA" w:rsidRDefault="006D03A2" w:rsidP="007616DA">
            <w:pPr>
              <w:pStyle w:val="Paragraph"/>
              <w:spacing w:before="120" w:after="120"/>
              <w:rPr>
                <w:sz w:val="20"/>
                <w:szCs w:val="20"/>
              </w:rPr>
            </w:pPr>
            <w:r w:rsidRPr="007616DA">
              <w:rPr>
                <w:sz w:val="20"/>
                <w:szCs w:val="20"/>
              </w:rPr>
              <w:t>£</w:t>
            </w:r>
            <w:r w:rsidRPr="007616DA">
              <w:rPr>
                <w:rFonts w:cs="Arial"/>
                <w:color w:val="000000"/>
                <w:kern w:val="24"/>
                <w:sz w:val="20"/>
                <w:szCs w:val="20"/>
              </w:rPr>
              <w:t>130,300</w:t>
            </w:r>
          </w:p>
        </w:tc>
        <w:tc>
          <w:tcPr>
            <w:tcW w:w="3189" w:type="dxa"/>
          </w:tcPr>
          <w:p w14:paraId="49FA9C18" w14:textId="77962B99" w:rsidR="006D03A2" w:rsidRPr="007616DA" w:rsidRDefault="006D03A2" w:rsidP="007616DA">
            <w:pPr>
              <w:pStyle w:val="Paragraph"/>
              <w:spacing w:before="120" w:after="120"/>
              <w:rPr>
                <w:sz w:val="20"/>
                <w:szCs w:val="20"/>
              </w:rPr>
            </w:pPr>
            <w:r w:rsidRPr="007616DA">
              <w:rPr>
                <w:sz w:val="20"/>
                <w:szCs w:val="20"/>
              </w:rPr>
              <w:t>£</w:t>
            </w:r>
            <w:r w:rsidRPr="007616DA">
              <w:rPr>
                <w:rFonts w:cs="Arial"/>
                <w:color w:val="000000"/>
                <w:kern w:val="24"/>
                <w:sz w:val="20"/>
                <w:szCs w:val="20"/>
              </w:rPr>
              <w:t>279,200</w:t>
            </w:r>
          </w:p>
        </w:tc>
        <w:tc>
          <w:tcPr>
            <w:tcW w:w="3190" w:type="dxa"/>
          </w:tcPr>
          <w:p w14:paraId="728FE59B" w14:textId="615FB29A" w:rsidR="006D03A2" w:rsidRPr="007616DA" w:rsidRDefault="006D03A2" w:rsidP="007616DA">
            <w:pPr>
              <w:pStyle w:val="Paragraph"/>
              <w:spacing w:before="120" w:after="120"/>
              <w:rPr>
                <w:sz w:val="20"/>
                <w:szCs w:val="20"/>
              </w:rPr>
            </w:pPr>
            <w:r w:rsidRPr="007616DA">
              <w:rPr>
                <w:rFonts w:cs="Arial" w:hint="eastAsia"/>
                <w:color w:val="000000"/>
                <w:kern w:val="24"/>
                <w:sz w:val="20"/>
                <w:szCs w:val="20"/>
              </w:rPr>
              <w:t>£</w:t>
            </w:r>
            <w:r w:rsidRPr="007616DA">
              <w:rPr>
                <w:rFonts w:cs="Arial"/>
                <w:color w:val="000000"/>
                <w:kern w:val="24"/>
                <w:sz w:val="20"/>
                <w:szCs w:val="20"/>
              </w:rPr>
              <w:t>372,200</w:t>
            </w:r>
          </w:p>
        </w:tc>
      </w:tr>
      <w:tr w:rsidR="006D03A2" w:rsidRPr="007616DA" w14:paraId="33E8439E" w14:textId="0FFB78B1" w:rsidTr="000941B5">
        <w:tc>
          <w:tcPr>
            <w:tcW w:w="1560" w:type="dxa"/>
          </w:tcPr>
          <w:p w14:paraId="354BA13A" w14:textId="3FEA23E2" w:rsidR="006D03A2" w:rsidRPr="007616DA" w:rsidRDefault="006D03A2" w:rsidP="006D03A2">
            <w:pPr>
              <w:pStyle w:val="Tableheading"/>
              <w:rPr>
                <w:sz w:val="20"/>
                <w:szCs w:val="20"/>
              </w:rPr>
            </w:pPr>
            <w:r w:rsidRPr="007616DA">
              <w:rPr>
                <w:sz w:val="20"/>
                <w:szCs w:val="20"/>
              </w:rPr>
              <w:t>Change fee</w:t>
            </w:r>
            <w:r w:rsidR="00613A9E" w:rsidRPr="007616DA">
              <w:rPr>
                <w:sz w:val="20"/>
                <w:szCs w:val="20"/>
              </w:rPr>
              <w:t xml:space="preserve"> </w:t>
            </w:r>
            <w:r w:rsidR="001A4BBA" w:rsidRPr="007616DA">
              <w:rPr>
                <w:sz w:val="20"/>
                <w:szCs w:val="20"/>
              </w:rPr>
              <w:t>(if required)</w:t>
            </w:r>
          </w:p>
        </w:tc>
        <w:tc>
          <w:tcPr>
            <w:tcW w:w="2905" w:type="dxa"/>
          </w:tcPr>
          <w:p w14:paraId="31750AFC" w14:textId="67D3CC38" w:rsidR="006D03A2" w:rsidRPr="007616DA" w:rsidRDefault="006D03A2" w:rsidP="007616DA">
            <w:pPr>
              <w:pStyle w:val="Paragraph"/>
              <w:spacing w:before="120" w:after="120"/>
              <w:rPr>
                <w:sz w:val="20"/>
                <w:szCs w:val="20"/>
              </w:rPr>
            </w:pPr>
            <w:r w:rsidRPr="007616DA">
              <w:rPr>
                <w:sz w:val="20"/>
                <w:szCs w:val="20"/>
              </w:rPr>
              <w:t>£18,610</w:t>
            </w:r>
          </w:p>
        </w:tc>
        <w:tc>
          <w:tcPr>
            <w:tcW w:w="3190" w:type="dxa"/>
          </w:tcPr>
          <w:p w14:paraId="72332203" w14:textId="434E63B3" w:rsidR="006D03A2" w:rsidRPr="007616DA" w:rsidRDefault="006D03A2" w:rsidP="007616DA">
            <w:pPr>
              <w:pStyle w:val="Paragraph"/>
              <w:spacing w:before="120" w:after="120"/>
              <w:rPr>
                <w:sz w:val="20"/>
                <w:szCs w:val="20"/>
              </w:rPr>
            </w:pPr>
            <w:r w:rsidRPr="007616DA">
              <w:rPr>
                <w:sz w:val="20"/>
                <w:szCs w:val="20"/>
              </w:rPr>
              <w:t>£18,610</w:t>
            </w:r>
          </w:p>
        </w:tc>
        <w:tc>
          <w:tcPr>
            <w:tcW w:w="3189" w:type="dxa"/>
          </w:tcPr>
          <w:p w14:paraId="2EACBD55" w14:textId="31539E53" w:rsidR="006D03A2" w:rsidRPr="007616DA" w:rsidRDefault="006D03A2" w:rsidP="007616DA">
            <w:pPr>
              <w:pStyle w:val="Paragraph"/>
              <w:spacing w:before="120" w:after="120"/>
              <w:rPr>
                <w:sz w:val="20"/>
                <w:szCs w:val="20"/>
              </w:rPr>
            </w:pPr>
            <w:r w:rsidRPr="007616DA">
              <w:rPr>
                <w:sz w:val="20"/>
                <w:szCs w:val="20"/>
              </w:rPr>
              <w:t>£18,610</w:t>
            </w:r>
          </w:p>
        </w:tc>
        <w:tc>
          <w:tcPr>
            <w:tcW w:w="3190" w:type="dxa"/>
          </w:tcPr>
          <w:p w14:paraId="3D51DB11" w14:textId="5A4099F5" w:rsidR="006D03A2" w:rsidRPr="007616DA" w:rsidRDefault="006D03A2" w:rsidP="007616DA">
            <w:pPr>
              <w:pStyle w:val="Paragraph"/>
              <w:spacing w:before="120" w:after="120"/>
              <w:rPr>
                <w:sz w:val="20"/>
                <w:szCs w:val="20"/>
              </w:rPr>
            </w:pPr>
            <w:r w:rsidRPr="007616DA">
              <w:rPr>
                <w:sz w:val="20"/>
                <w:szCs w:val="20"/>
              </w:rPr>
              <w:t>£18,610</w:t>
            </w:r>
          </w:p>
        </w:tc>
      </w:tr>
      <w:tr w:rsidR="006D03A2" w:rsidRPr="007616DA" w14:paraId="02CE04D8" w14:textId="48A5A5A1" w:rsidTr="000941B5">
        <w:tc>
          <w:tcPr>
            <w:tcW w:w="1560" w:type="dxa"/>
          </w:tcPr>
          <w:p w14:paraId="2F987A75" w14:textId="77777777" w:rsidR="002D7226" w:rsidRPr="007616DA" w:rsidRDefault="00D6485B" w:rsidP="006D03A2">
            <w:pPr>
              <w:pStyle w:val="Tableheading"/>
              <w:rPr>
                <w:sz w:val="20"/>
                <w:szCs w:val="20"/>
              </w:rPr>
            </w:pPr>
            <w:r w:rsidRPr="007616DA">
              <w:rPr>
                <w:sz w:val="20"/>
                <w:szCs w:val="20"/>
              </w:rPr>
              <w:t xml:space="preserve">Inclusions </w:t>
            </w:r>
          </w:p>
          <w:p w14:paraId="126E96A1" w14:textId="6E73A5E6" w:rsidR="006D03A2" w:rsidRPr="007616DA" w:rsidRDefault="00D6485B" w:rsidP="006D03A2">
            <w:pPr>
              <w:pStyle w:val="Tableheading"/>
              <w:rPr>
                <w:sz w:val="20"/>
                <w:szCs w:val="20"/>
              </w:rPr>
            </w:pPr>
            <w:r w:rsidRPr="007616DA">
              <w:rPr>
                <w:sz w:val="20"/>
                <w:szCs w:val="20"/>
              </w:rPr>
              <w:t>(</w:t>
            </w:r>
            <w:r w:rsidR="002D7226" w:rsidRPr="007616DA">
              <w:rPr>
                <w:sz w:val="20"/>
                <w:szCs w:val="20"/>
              </w:rPr>
              <w:t>K</w:t>
            </w:r>
            <w:r w:rsidRPr="007616DA">
              <w:rPr>
                <w:sz w:val="20"/>
                <w:szCs w:val="20"/>
              </w:rPr>
              <w:t>ey milestones)</w:t>
            </w:r>
            <w:r w:rsidR="006D03A2" w:rsidRPr="007616DA">
              <w:rPr>
                <w:sz w:val="20"/>
                <w:szCs w:val="20"/>
              </w:rPr>
              <w:t xml:space="preserve"> </w:t>
            </w:r>
          </w:p>
        </w:tc>
        <w:tc>
          <w:tcPr>
            <w:tcW w:w="2905" w:type="dxa"/>
          </w:tcPr>
          <w:p w14:paraId="73CA32C9" w14:textId="77777777" w:rsidR="006D03A2" w:rsidRPr="007616DA" w:rsidRDefault="006D03A2" w:rsidP="00864E9B">
            <w:pPr>
              <w:pStyle w:val="Tablebullet"/>
              <w:rPr>
                <w:sz w:val="20"/>
                <w:szCs w:val="20"/>
              </w:rPr>
            </w:pPr>
            <w:r w:rsidRPr="007616DA">
              <w:rPr>
                <w:sz w:val="20"/>
                <w:szCs w:val="20"/>
              </w:rPr>
              <w:t xml:space="preserve">Topic selection, scheduling, and scoping </w:t>
            </w:r>
          </w:p>
          <w:p w14:paraId="2F0B410E" w14:textId="77777777" w:rsidR="006D03A2" w:rsidRPr="007616DA" w:rsidRDefault="006D03A2" w:rsidP="00864E9B">
            <w:pPr>
              <w:pStyle w:val="Tablebullet"/>
              <w:rPr>
                <w:sz w:val="20"/>
                <w:szCs w:val="20"/>
              </w:rPr>
            </w:pPr>
            <w:r w:rsidRPr="007616DA">
              <w:rPr>
                <w:sz w:val="20"/>
                <w:szCs w:val="20"/>
              </w:rPr>
              <w:t xml:space="preserve">Invitation to </w:t>
            </w:r>
            <w:proofErr w:type="gramStart"/>
            <w:r w:rsidRPr="007616DA">
              <w:rPr>
                <w:sz w:val="20"/>
                <w:szCs w:val="20"/>
              </w:rPr>
              <w:t>participate</w:t>
            </w:r>
            <w:proofErr w:type="gramEnd"/>
          </w:p>
          <w:p w14:paraId="5DCB8FA0" w14:textId="77777777" w:rsidR="006D03A2" w:rsidRPr="007616DA" w:rsidRDefault="006D03A2" w:rsidP="00864E9B">
            <w:pPr>
              <w:pStyle w:val="Tablebullet"/>
              <w:rPr>
                <w:sz w:val="20"/>
                <w:szCs w:val="20"/>
              </w:rPr>
            </w:pPr>
            <w:r w:rsidRPr="007616DA">
              <w:rPr>
                <w:sz w:val="20"/>
                <w:szCs w:val="20"/>
              </w:rPr>
              <w:t>Evidence submission</w:t>
            </w:r>
          </w:p>
          <w:p w14:paraId="6551C949" w14:textId="77777777" w:rsidR="006D03A2" w:rsidRPr="007616DA" w:rsidRDefault="006D03A2" w:rsidP="00864E9B">
            <w:pPr>
              <w:pStyle w:val="Tablebullet"/>
              <w:rPr>
                <w:sz w:val="20"/>
                <w:szCs w:val="20"/>
              </w:rPr>
            </w:pPr>
            <w:r w:rsidRPr="007616DA">
              <w:rPr>
                <w:sz w:val="20"/>
                <w:szCs w:val="20"/>
              </w:rPr>
              <w:t>External assessment report</w:t>
            </w:r>
          </w:p>
          <w:p w14:paraId="0DA3DF66" w14:textId="77777777" w:rsidR="006D03A2" w:rsidRPr="007616DA" w:rsidRDefault="006D03A2" w:rsidP="00864E9B">
            <w:pPr>
              <w:pStyle w:val="Tablebullet"/>
              <w:rPr>
                <w:sz w:val="20"/>
                <w:szCs w:val="20"/>
              </w:rPr>
            </w:pPr>
            <w:r w:rsidRPr="007616DA">
              <w:rPr>
                <w:sz w:val="20"/>
                <w:szCs w:val="20"/>
              </w:rPr>
              <w:t>1st committee meeting</w:t>
            </w:r>
          </w:p>
          <w:p w14:paraId="62BDF26B" w14:textId="77777777" w:rsidR="006D03A2" w:rsidRPr="007616DA" w:rsidRDefault="006D03A2" w:rsidP="00864E9B">
            <w:pPr>
              <w:pStyle w:val="Tablebullet"/>
              <w:rPr>
                <w:sz w:val="20"/>
                <w:szCs w:val="20"/>
              </w:rPr>
            </w:pPr>
            <w:r w:rsidRPr="007616DA">
              <w:rPr>
                <w:sz w:val="20"/>
                <w:szCs w:val="20"/>
              </w:rPr>
              <w:t>2nd committee meeting</w:t>
            </w:r>
          </w:p>
          <w:p w14:paraId="2C09CCB6" w14:textId="2771DB2A" w:rsidR="006D03A2" w:rsidRPr="007616DA" w:rsidRDefault="006D03A2" w:rsidP="00864E9B">
            <w:pPr>
              <w:pStyle w:val="Tablebullet"/>
              <w:rPr>
                <w:sz w:val="20"/>
                <w:szCs w:val="20"/>
              </w:rPr>
            </w:pPr>
            <w:r w:rsidRPr="007616DA">
              <w:rPr>
                <w:sz w:val="20"/>
                <w:szCs w:val="20"/>
              </w:rPr>
              <w:t xml:space="preserve">Final draft guidance </w:t>
            </w:r>
          </w:p>
          <w:p w14:paraId="3795538A" w14:textId="4EF1CCBF" w:rsidR="006D03A2" w:rsidRPr="007616DA" w:rsidRDefault="006D03A2" w:rsidP="00864E9B">
            <w:pPr>
              <w:pStyle w:val="Tablebullet"/>
              <w:rPr>
                <w:sz w:val="20"/>
                <w:szCs w:val="20"/>
              </w:rPr>
            </w:pPr>
            <w:r w:rsidRPr="007616DA">
              <w:rPr>
                <w:sz w:val="20"/>
                <w:szCs w:val="20"/>
              </w:rPr>
              <w:t>Guidance publication</w:t>
            </w:r>
          </w:p>
        </w:tc>
        <w:tc>
          <w:tcPr>
            <w:tcW w:w="3190" w:type="dxa"/>
          </w:tcPr>
          <w:p w14:paraId="2B4193D1" w14:textId="77777777" w:rsidR="006D03A2" w:rsidRPr="007616DA" w:rsidRDefault="006D03A2" w:rsidP="00864E9B">
            <w:pPr>
              <w:pStyle w:val="Tablebullet"/>
              <w:rPr>
                <w:sz w:val="20"/>
                <w:szCs w:val="20"/>
              </w:rPr>
            </w:pPr>
            <w:r w:rsidRPr="007616DA">
              <w:rPr>
                <w:sz w:val="20"/>
                <w:szCs w:val="20"/>
              </w:rPr>
              <w:t xml:space="preserve">Topic selection, scheduling, and scoping </w:t>
            </w:r>
          </w:p>
          <w:p w14:paraId="0DD0849B" w14:textId="77777777" w:rsidR="006D03A2" w:rsidRPr="007616DA" w:rsidRDefault="006D03A2" w:rsidP="00864E9B">
            <w:pPr>
              <w:pStyle w:val="Tablebullet"/>
              <w:rPr>
                <w:sz w:val="20"/>
                <w:szCs w:val="20"/>
              </w:rPr>
            </w:pPr>
            <w:r w:rsidRPr="007616DA">
              <w:rPr>
                <w:sz w:val="20"/>
                <w:szCs w:val="20"/>
              </w:rPr>
              <w:t xml:space="preserve">Invitation to </w:t>
            </w:r>
            <w:proofErr w:type="gramStart"/>
            <w:r w:rsidRPr="007616DA">
              <w:rPr>
                <w:sz w:val="20"/>
                <w:szCs w:val="20"/>
              </w:rPr>
              <w:t>participate</w:t>
            </w:r>
            <w:proofErr w:type="gramEnd"/>
          </w:p>
          <w:p w14:paraId="137BF352" w14:textId="77777777" w:rsidR="006D03A2" w:rsidRPr="007616DA" w:rsidRDefault="006D03A2" w:rsidP="00864E9B">
            <w:pPr>
              <w:pStyle w:val="Tablebullet"/>
              <w:rPr>
                <w:sz w:val="20"/>
                <w:szCs w:val="20"/>
              </w:rPr>
            </w:pPr>
            <w:r w:rsidRPr="007616DA">
              <w:rPr>
                <w:sz w:val="20"/>
                <w:szCs w:val="20"/>
              </w:rPr>
              <w:t>Evidence submission</w:t>
            </w:r>
          </w:p>
          <w:p w14:paraId="15324F6F" w14:textId="77777777" w:rsidR="006D03A2" w:rsidRPr="007616DA" w:rsidRDefault="006D03A2" w:rsidP="00864E9B">
            <w:pPr>
              <w:pStyle w:val="Tablebullet"/>
              <w:rPr>
                <w:sz w:val="20"/>
                <w:szCs w:val="20"/>
              </w:rPr>
            </w:pPr>
            <w:r w:rsidRPr="007616DA">
              <w:rPr>
                <w:sz w:val="20"/>
                <w:szCs w:val="20"/>
              </w:rPr>
              <w:t>External assessment report</w:t>
            </w:r>
          </w:p>
          <w:p w14:paraId="311B37D1" w14:textId="21705E59" w:rsidR="00BB643D" w:rsidRPr="007616DA" w:rsidRDefault="00BB643D" w:rsidP="00864E9B">
            <w:pPr>
              <w:pStyle w:val="Tablebullet"/>
              <w:rPr>
                <w:sz w:val="20"/>
                <w:szCs w:val="20"/>
              </w:rPr>
            </w:pPr>
            <w:r w:rsidRPr="007616DA">
              <w:rPr>
                <w:sz w:val="20"/>
                <w:szCs w:val="20"/>
              </w:rPr>
              <w:t>Panel review</w:t>
            </w:r>
          </w:p>
          <w:p w14:paraId="64F45F23" w14:textId="4FDA8FAA" w:rsidR="006D03A2" w:rsidRPr="007616DA" w:rsidRDefault="006D03A2" w:rsidP="00864E9B">
            <w:pPr>
              <w:pStyle w:val="Tablebullet"/>
              <w:rPr>
                <w:sz w:val="20"/>
                <w:szCs w:val="20"/>
              </w:rPr>
            </w:pPr>
            <w:r w:rsidRPr="007616DA">
              <w:rPr>
                <w:sz w:val="20"/>
                <w:szCs w:val="20"/>
              </w:rPr>
              <w:t xml:space="preserve">Final draft guidance </w:t>
            </w:r>
          </w:p>
          <w:p w14:paraId="0DF2C032" w14:textId="77777777" w:rsidR="006D03A2" w:rsidRPr="007616DA" w:rsidRDefault="006D03A2" w:rsidP="00864E9B">
            <w:pPr>
              <w:pStyle w:val="Tablebullet"/>
              <w:rPr>
                <w:sz w:val="20"/>
                <w:szCs w:val="20"/>
              </w:rPr>
            </w:pPr>
            <w:r w:rsidRPr="007616DA">
              <w:rPr>
                <w:sz w:val="20"/>
                <w:szCs w:val="20"/>
              </w:rPr>
              <w:t>Guidance publication</w:t>
            </w:r>
          </w:p>
          <w:p w14:paraId="76B29FAF" w14:textId="77777777" w:rsidR="006D03A2" w:rsidRPr="007616DA" w:rsidRDefault="006D03A2" w:rsidP="001F2171">
            <w:pPr>
              <w:pStyle w:val="Tablebullet"/>
              <w:numPr>
                <w:ilvl w:val="0"/>
                <w:numId w:val="0"/>
              </w:numPr>
              <w:ind w:left="360"/>
              <w:rPr>
                <w:sz w:val="20"/>
                <w:szCs w:val="20"/>
              </w:rPr>
            </w:pPr>
          </w:p>
        </w:tc>
        <w:tc>
          <w:tcPr>
            <w:tcW w:w="3189" w:type="dxa"/>
          </w:tcPr>
          <w:p w14:paraId="4E18156F" w14:textId="77777777" w:rsidR="006D03A2" w:rsidRPr="007616DA" w:rsidRDefault="006D03A2" w:rsidP="00864E9B">
            <w:pPr>
              <w:pStyle w:val="Tablebullet"/>
              <w:rPr>
                <w:sz w:val="20"/>
                <w:szCs w:val="20"/>
              </w:rPr>
            </w:pPr>
            <w:r w:rsidRPr="007616DA">
              <w:rPr>
                <w:sz w:val="20"/>
                <w:szCs w:val="20"/>
              </w:rPr>
              <w:t xml:space="preserve">Topic selection, scheduling, and scoping </w:t>
            </w:r>
          </w:p>
          <w:p w14:paraId="0CFB2436" w14:textId="77777777" w:rsidR="006D03A2" w:rsidRPr="007616DA" w:rsidRDefault="006D03A2" w:rsidP="00864E9B">
            <w:pPr>
              <w:pStyle w:val="Tablebullet"/>
              <w:rPr>
                <w:sz w:val="20"/>
                <w:szCs w:val="20"/>
              </w:rPr>
            </w:pPr>
            <w:r w:rsidRPr="007616DA">
              <w:rPr>
                <w:sz w:val="20"/>
                <w:szCs w:val="20"/>
              </w:rPr>
              <w:t xml:space="preserve">Invitation to </w:t>
            </w:r>
            <w:proofErr w:type="gramStart"/>
            <w:r w:rsidRPr="007616DA">
              <w:rPr>
                <w:sz w:val="20"/>
                <w:szCs w:val="20"/>
              </w:rPr>
              <w:t>participate</w:t>
            </w:r>
            <w:proofErr w:type="gramEnd"/>
          </w:p>
          <w:p w14:paraId="19A8D9C7" w14:textId="77777777" w:rsidR="006D03A2" w:rsidRPr="007616DA" w:rsidRDefault="006D03A2" w:rsidP="00864E9B">
            <w:pPr>
              <w:pStyle w:val="Tablebullet"/>
              <w:rPr>
                <w:sz w:val="20"/>
                <w:szCs w:val="20"/>
              </w:rPr>
            </w:pPr>
            <w:r w:rsidRPr="007616DA">
              <w:rPr>
                <w:sz w:val="20"/>
                <w:szCs w:val="20"/>
              </w:rPr>
              <w:t>Evidence submission</w:t>
            </w:r>
          </w:p>
          <w:p w14:paraId="7DB75692" w14:textId="77777777" w:rsidR="006D03A2" w:rsidRPr="007616DA" w:rsidRDefault="006D03A2" w:rsidP="00864E9B">
            <w:pPr>
              <w:pStyle w:val="Tablebullet"/>
              <w:rPr>
                <w:sz w:val="20"/>
                <w:szCs w:val="20"/>
              </w:rPr>
            </w:pPr>
            <w:r w:rsidRPr="007616DA">
              <w:rPr>
                <w:sz w:val="20"/>
                <w:szCs w:val="20"/>
              </w:rPr>
              <w:t>External assessment report</w:t>
            </w:r>
          </w:p>
          <w:p w14:paraId="7D81107A" w14:textId="77777777" w:rsidR="006D03A2" w:rsidRPr="007616DA" w:rsidRDefault="006D03A2" w:rsidP="00864E9B">
            <w:pPr>
              <w:pStyle w:val="Tablebullet"/>
              <w:rPr>
                <w:sz w:val="20"/>
                <w:szCs w:val="20"/>
              </w:rPr>
            </w:pPr>
            <w:r w:rsidRPr="007616DA">
              <w:rPr>
                <w:sz w:val="20"/>
                <w:szCs w:val="20"/>
              </w:rPr>
              <w:t>1st committee meeting</w:t>
            </w:r>
          </w:p>
          <w:p w14:paraId="5B6218D2" w14:textId="77777777" w:rsidR="006D03A2" w:rsidRPr="007616DA" w:rsidRDefault="006D03A2" w:rsidP="00864E9B">
            <w:pPr>
              <w:pStyle w:val="Tablebullet"/>
              <w:rPr>
                <w:sz w:val="20"/>
                <w:szCs w:val="20"/>
              </w:rPr>
            </w:pPr>
            <w:r w:rsidRPr="007616DA">
              <w:rPr>
                <w:sz w:val="20"/>
                <w:szCs w:val="20"/>
              </w:rPr>
              <w:t>2nd committee meeting</w:t>
            </w:r>
          </w:p>
          <w:p w14:paraId="5D5F1DE8" w14:textId="6541F80B" w:rsidR="006D03A2" w:rsidRPr="007616DA" w:rsidRDefault="006D03A2" w:rsidP="00864E9B">
            <w:pPr>
              <w:pStyle w:val="Tablebullet"/>
              <w:rPr>
                <w:sz w:val="20"/>
                <w:szCs w:val="20"/>
              </w:rPr>
            </w:pPr>
            <w:r w:rsidRPr="007616DA">
              <w:rPr>
                <w:sz w:val="20"/>
                <w:szCs w:val="20"/>
              </w:rPr>
              <w:t xml:space="preserve">Final draft guidance </w:t>
            </w:r>
          </w:p>
          <w:p w14:paraId="3DA4F283" w14:textId="250B4385" w:rsidR="006D03A2" w:rsidRPr="007616DA" w:rsidRDefault="006D03A2" w:rsidP="00864E9B">
            <w:pPr>
              <w:pStyle w:val="Tablebullet"/>
              <w:rPr>
                <w:sz w:val="20"/>
                <w:szCs w:val="20"/>
              </w:rPr>
            </w:pPr>
            <w:r w:rsidRPr="007616DA">
              <w:rPr>
                <w:sz w:val="20"/>
                <w:szCs w:val="20"/>
              </w:rPr>
              <w:t>Guidance publication</w:t>
            </w:r>
          </w:p>
        </w:tc>
        <w:tc>
          <w:tcPr>
            <w:tcW w:w="3190" w:type="dxa"/>
          </w:tcPr>
          <w:p w14:paraId="06B981AB" w14:textId="77777777" w:rsidR="00613A9E" w:rsidRPr="007616DA" w:rsidRDefault="00613A9E" w:rsidP="00864E9B">
            <w:pPr>
              <w:pStyle w:val="Tablebullet"/>
              <w:rPr>
                <w:sz w:val="20"/>
                <w:szCs w:val="20"/>
              </w:rPr>
            </w:pPr>
            <w:r w:rsidRPr="007616DA">
              <w:rPr>
                <w:sz w:val="20"/>
                <w:szCs w:val="20"/>
              </w:rPr>
              <w:t xml:space="preserve">Topic selection, scheduling, and scoping </w:t>
            </w:r>
          </w:p>
          <w:p w14:paraId="15B02C2E" w14:textId="77777777" w:rsidR="00613A9E" w:rsidRPr="007616DA" w:rsidRDefault="00613A9E" w:rsidP="00864E9B">
            <w:pPr>
              <w:pStyle w:val="Tablebullet"/>
              <w:rPr>
                <w:sz w:val="20"/>
                <w:szCs w:val="20"/>
              </w:rPr>
            </w:pPr>
            <w:r w:rsidRPr="007616DA">
              <w:rPr>
                <w:sz w:val="20"/>
                <w:szCs w:val="20"/>
              </w:rPr>
              <w:t xml:space="preserve">Invitation to </w:t>
            </w:r>
            <w:proofErr w:type="gramStart"/>
            <w:r w:rsidRPr="007616DA">
              <w:rPr>
                <w:sz w:val="20"/>
                <w:szCs w:val="20"/>
              </w:rPr>
              <w:t>participate</w:t>
            </w:r>
            <w:proofErr w:type="gramEnd"/>
          </w:p>
          <w:p w14:paraId="229B96E3" w14:textId="77777777" w:rsidR="00613A9E" w:rsidRPr="007616DA" w:rsidRDefault="00613A9E" w:rsidP="00864E9B">
            <w:pPr>
              <w:pStyle w:val="Tablebullet"/>
              <w:rPr>
                <w:sz w:val="20"/>
                <w:szCs w:val="20"/>
              </w:rPr>
            </w:pPr>
            <w:r w:rsidRPr="007616DA">
              <w:rPr>
                <w:sz w:val="20"/>
                <w:szCs w:val="20"/>
              </w:rPr>
              <w:t>Evidence submission</w:t>
            </w:r>
          </w:p>
          <w:p w14:paraId="45F84274" w14:textId="77777777" w:rsidR="00613A9E" w:rsidRPr="007616DA" w:rsidRDefault="00613A9E" w:rsidP="00864E9B">
            <w:pPr>
              <w:pStyle w:val="Tablebullet"/>
              <w:rPr>
                <w:sz w:val="20"/>
                <w:szCs w:val="20"/>
              </w:rPr>
            </w:pPr>
            <w:r w:rsidRPr="007616DA">
              <w:rPr>
                <w:sz w:val="20"/>
                <w:szCs w:val="20"/>
              </w:rPr>
              <w:t>External assessment report</w:t>
            </w:r>
          </w:p>
          <w:p w14:paraId="601A3AA0" w14:textId="77777777" w:rsidR="00613A9E" w:rsidRPr="007616DA" w:rsidRDefault="00613A9E" w:rsidP="00864E9B">
            <w:pPr>
              <w:pStyle w:val="Tablebullet"/>
              <w:rPr>
                <w:sz w:val="20"/>
                <w:szCs w:val="20"/>
              </w:rPr>
            </w:pPr>
            <w:r w:rsidRPr="007616DA">
              <w:rPr>
                <w:sz w:val="20"/>
                <w:szCs w:val="20"/>
              </w:rPr>
              <w:t>1st committee meeting</w:t>
            </w:r>
          </w:p>
          <w:p w14:paraId="6947E7D6" w14:textId="77777777" w:rsidR="00613A9E" w:rsidRPr="007616DA" w:rsidRDefault="00613A9E" w:rsidP="00864E9B">
            <w:pPr>
              <w:pStyle w:val="Tablebullet"/>
              <w:rPr>
                <w:sz w:val="20"/>
                <w:szCs w:val="20"/>
              </w:rPr>
            </w:pPr>
            <w:r w:rsidRPr="007616DA">
              <w:rPr>
                <w:sz w:val="20"/>
                <w:szCs w:val="20"/>
              </w:rPr>
              <w:t>2nd committee meeting</w:t>
            </w:r>
          </w:p>
          <w:p w14:paraId="0695E32C" w14:textId="77777777" w:rsidR="00613A9E" w:rsidRPr="007616DA" w:rsidRDefault="00613A9E" w:rsidP="00864E9B">
            <w:pPr>
              <w:pStyle w:val="Tablebullet"/>
              <w:rPr>
                <w:sz w:val="20"/>
                <w:szCs w:val="20"/>
              </w:rPr>
            </w:pPr>
            <w:r w:rsidRPr="007616DA">
              <w:rPr>
                <w:sz w:val="20"/>
                <w:szCs w:val="20"/>
              </w:rPr>
              <w:t xml:space="preserve">Final draft guidance </w:t>
            </w:r>
          </w:p>
          <w:p w14:paraId="15CFF4EC" w14:textId="3F38CE13" w:rsidR="006D03A2" w:rsidRPr="007616DA" w:rsidRDefault="00613A9E" w:rsidP="00864E9B">
            <w:pPr>
              <w:pStyle w:val="Tablebullet"/>
              <w:rPr>
                <w:sz w:val="20"/>
                <w:szCs w:val="20"/>
              </w:rPr>
            </w:pPr>
            <w:r w:rsidRPr="007616DA">
              <w:rPr>
                <w:sz w:val="20"/>
                <w:szCs w:val="20"/>
              </w:rPr>
              <w:t>Guidance publication</w:t>
            </w:r>
          </w:p>
        </w:tc>
      </w:tr>
      <w:tr w:rsidR="006D03A2" w:rsidRPr="007616DA" w14:paraId="73FDB92E" w14:textId="3F7A8E32" w:rsidTr="000941B5">
        <w:tc>
          <w:tcPr>
            <w:tcW w:w="1560" w:type="dxa"/>
          </w:tcPr>
          <w:p w14:paraId="349C8BA4" w14:textId="03EA819B" w:rsidR="006D03A2" w:rsidRPr="007616DA" w:rsidRDefault="00412CD7" w:rsidP="006D03A2">
            <w:pPr>
              <w:pStyle w:val="Tableheading"/>
              <w:rPr>
                <w:sz w:val="20"/>
                <w:szCs w:val="20"/>
              </w:rPr>
            </w:pPr>
            <w:r w:rsidRPr="007616DA">
              <w:rPr>
                <w:sz w:val="20"/>
                <w:szCs w:val="20"/>
              </w:rPr>
              <w:t>Additional/Differential</w:t>
            </w:r>
            <w:r w:rsidR="00102A1A" w:rsidRPr="007616DA">
              <w:rPr>
                <w:sz w:val="20"/>
                <w:szCs w:val="20"/>
              </w:rPr>
              <w:t xml:space="preserve"> </w:t>
            </w:r>
            <w:r w:rsidR="006D03A2" w:rsidRPr="007616DA">
              <w:rPr>
                <w:sz w:val="20"/>
                <w:szCs w:val="20"/>
              </w:rPr>
              <w:t>charges</w:t>
            </w:r>
          </w:p>
        </w:tc>
        <w:tc>
          <w:tcPr>
            <w:tcW w:w="2905" w:type="dxa"/>
          </w:tcPr>
          <w:p w14:paraId="3D5F47B1" w14:textId="77777777" w:rsidR="006D03A2" w:rsidRPr="007616DA" w:rsidRDefault="006D03A2" w:rsidP="006D03A2">
            <w:pPr>
              <w:pStyle w:val="Tablebullet"/>
              <w:rPr>
                <w:sz w:val="20"/>
                <w:szCs w:val="20"/>
              </w:rPr>
            </w:pPr>
            <w:r w:rsidRPr="007616DA">
              <w:rPr>
                <w:sz w:val="20"/>
                <w:szCs w:val="20"/>
              </w:rPr>
              <w:t>Technical engagement</w:t>
            </w:r>
          </w:p>
          <w:p w14:paraId="7323DAD0" w14:textId="77777777" w:rsidR="006D03A2" w:rsidRPr="007616DA" w:rsidRDefault="006D03A2" w:rsidP="006D03A2">
            <w:pPr>
              <w:pStyle w:val="Tablebullet"/>
              <w:rPr>
                <w:sz w:val="20"/>
                <w:szCs w:val="20"/>
              </w:rPr>
            </w:pPr>
            <w:r w:rsidRPr="007616DA">
              <w:rPr>
                <w:sz w:val="20"/>
                <w:szCs w:val="20"/>
              </w:rPr>
              <w:t>Pilot topics</w:t>
            </w:r>
          </w:p>
          <w:p w14:paraId="74A5DCC2" w14:textId="5F756837" w:rsidR="00610589" w:rsidRPr="007616DA" w:rsidRDefault="0039765D" w:rsidP="007616DA">
            <w:pPr>
              <w:pStyle w:val="Tablebullet"/>
              <w:rPr>
                <w:sz w:val="20"/>
                <w:szCs w:val="20"/>
              </w:rPr>
            </w:pPr>
            <w:r w:rsidRPr="007616DA">
              <w:rPr>
                <w:sz w:val="20"/>
                <w:szCs w:val="20"/>
              </w:rPr>
              <w:t>Process amendments</w:t>
            </w:r>
          </w:p>
        </w:tc>
        <w:tc>
          <w:tcPr>
            <w:tcW w:w="3190" w:type="dxa"/>
          </w:tcPr>
          <w:p w14:paraId="3E7DD2BD" w14:textId="77777777" w:rsidR="006D03A2" w:rsidRPr="007616DA" w:rsidRDefault="006D03A2" w:rsidP="00864E9B">
            <w:pPr>
              <w:pStyle w:val="Tablebullet"/>
              <w:rPr>
                <w:sz w:val="20"/>
                <w:szCs w:val="20"/>
              </w:rPr>
            </w:pPr>
            <w:r w:rsidRPr="007616DA">
              <w:rPr>
                <w:sz w:val="20"/>
                <w:szCs w:val="20"/>
              </w:rPr>
              <w:t>Pilot topics</w:t>
            </w:r>
          </w:p>
          <w:p w14:paraId="393D33C1" w14:textId="77777777" w:rsidR="0039765D" w:rsidRPr="007616DA" w:rsidRDefault="0039765D" w:rsidP="0039765D">
            <w:pPr>
              <w:pStyle w:val="Tablebullet"/>
              <w:rPr>
                <w:sz w:val="20"/>
                <w:szCs w:val="20"/>
              </w:rPr>
            </w:pPr>
            <w:r w:rsidRPr="007616DA">
              <w:rPr>
                <w:sz w:val="20"/>
                <w:szCs w:val="20"/>
              </w:rPr>
              <w:t>Process amendments</w:t>
            </w:r>
          </w:p>
          <w:p w14:paraId="1A12E894" w14:textId="5F9D8C8C" w:rsidR="0039765D" w:rsidRPr="007616DA" w:rsidRDefault="0039765D" w:rsidP="00E65D5D">
            <w:pPr>
              <w:pStyle w:val="Tablebullet"/>
              <w:numPr>
                <w:ilvl w:val="0"/>
                <w:numId w:val="0"/>
              </w:numPr>
              <w:ind w:left="360"/>
              <w:rPr>
                <w:sz w:val="20"/>
                <w:szCs w:val="20"/>
              </w:rPr>
            </w:pPr>
          </w:p>
        </w:tc>
        <w:tc>
          <w:tcPr>
            <w:tcW w:w="3189" w:type="dxa"/>
          </w:tcPr>
          <w:p w14:paraId="3E68BC40" w14:textId="661553FB" w:rsidR="006D03A2" w:rsidRPr="007616DA" w:rsidRDefault="006D03A2" w:rsidP="00864E9B">
            <w:pPr>
              <w:pStyle w:val="Tablebullet"/>
              <w:rPr>
                <w:sz w:val="20"/>
                <w:szCs w:val="20"/>
              </w:rPr>
            </w:pPr>
            <w:r w:rsidRPr="007616DA">
              <w:rPr>
                <w:sz w:val="20"/>
                <w:szCs w:val="20"/>
              </w:rPr>
              <w:t>Pilot topics</w:t>
            </w:r>
          </w:p>
          <w:p w14:paraId="36B2AD41" w14:textId="77777777" w:rsidR="0039765D" w:rsidRPr="007616DA" w:rsidRDefault="0039765D" w:rsidP="0039765D">
            <w:pPr>
              <w:pStyle w:val="Tablebullet"/>
              <w:rPr>
                <w:sz w:val="20"/>
                <w:szCs w:val="20"/>
              </w:rPr>
            </w:pPr>
            <w:r w:rsidRPr="007616DA">
              <w:rPr>
                <w:sz w:val="20"/>
                <w:szCs w:val="20"/>
              </w:rPr>
              <w:t>Process amendments</w:t>
            </w:r>
          </w:p>
          <w:p w14:paraId="62713108" w14:textId="48F19D67" w:rsidR="0039765D" w:rsidRPr="007616DA" w:rsidRDefault="0039765D" w:rsidP="00D3583A">
            <w:pPr>
              <w:pStyle w:val="Tablebullet"/>
              <w:numPr>
                <w:ilvl w:val="0"/>
                <w:numId w:val="0"/>
              </w:numPr>
              <w:ind w:left="360"/>
              <w:rPr>
                <w:sz w:val="20"/>
                <w:szCs w:val="20"/>
              </w:rPr>
            </w:pPr>
          </w:p>
        </w:tc>
        <w:tc>
          <w:tcPr>
            <w:tcW w:w="3190" w:type="dxa"/>
          </w:tcPr>
          <w:p w14:paraId="0DD133ED" w14:textId="77777777" w:rsidR="006D03A2" w:rsidRPr="007616DA" w:rsidRDefault="00613A9E" w:rsidP="00231147">
            <w:pPr>
              <w:pStyle w:val="Tablebullet"/>
              <w:rPr>
                <w:sz w:val="20"/>
                <w:szCs w:val="20"/>
              </w:rPr>
            </w:pPr>
            <w:r w:rsidRPr="007616DA">
              <w:rPr>
                <w:sz w:val="20"/>
                <w:szCs w:val="20"/>
              </w:rPr>
              <w:t>Pilot topi</w:t>
            </w:r>
            <w:r w:rsidR="00864E9B" w:rsidRPr="007616DA">
              <w:rPr>
                <w:sz w:val="20"/>
                <w:szCs w:val="20"/>
              </w:rPr>
              <w:t>cs</w:t>
            </w:r>
          </w:p>
          <w:p w14:paraId="29D10150" w14:textId="77777777" w:rsidR="0039765D" w:rsidRPr="007616DA" w:rsidRDefault="0039765D" w:rsidP="0039765D">
            <w:pPr>
              <w:pStyle w:val="Tablebullet"/>
              <w:rPr>
                <w:sz w:val="20"/>
                <w:szCs w:val="20"/>
              </w:rPr>
            </w:pPr>
            <w:r w:rsidRPr="007616DA">
              <w:rPr>
                <w:sz w:val="20"/>
                <w:szCs w:val="20"/>
              </w:rPr>
              <w:t>Process amendments</w:t>
            </w:r>
          </w:p>
          <w:p w14:paraId="5BADE982" w14:textId="02B0354C" w:rsidR="0039765D" w:rsidRPr="007616DA" w:rsidRDefault="0039765D" w:rsidP="00E65D5D">
            <w:pPr>
              <w:pStyle w:val="Tablebullet"/>
              <w:numPr>
                <w:ilvl w:val="0"/>
                <w:numId w:val="0"/>
              </w:numPr>
              <w:ind w:left="360"/>
              <w:rPr>
                <w:sz w:val="20"/>
                <w:szCs w:val="20"/>
              </w:rPr>
            </w:pPr>
          </w:p>
        </w:tc>
      </w:tr>
    </w:tbl>
    <w:p w14:paraId="05E67E71" w14:textId="77777777" w:rsidR="008D5B93" w:rsidRDefault="008D5B93">
      <w:pPr>
        <w:rPr>
          <w:rFonts w:ascii="Arial" w:hAnsi="Arial" w:cs="Arial"/>
          <w:b/>
          <w:bCs/>
          <w:kern w:val="32"/>
          <w:sz w:val="32"/>
          <w:szCs w:val="32"/>
          <w:lang w:eastAsia="en-US"/>
        </w:rPr>
        <w:sectPr w:rsidR="008D5B93" w:rsidSect="00D3583A">
          <w:pgSz w:w="16838" w:h="11906" w:orient="landscape"/>
          <w:pgMar w:top="1797" w:right="1440" w:bottom="1797" w:left="1440" w:header="709" w:footer="510" w:gutter="0"/>
          <w:cols w:space="708"/>
          <w:titlePg/>
          <w:docGrid w:linePitch="360"/>
        </w:sectPr>
      </w:pPr>
    </w:p>
    <w:p w14:paraId="276EF724" w14:textId="66819D10" w:rsidR="00B451E2" w:rsidRDefault="00B451E2" w:rsidP="00B50091">
      <w:pPr>
        <w:pStyle w:val="Heading1"/>
      </w:pPr>
      <w:r>
        <w:lastRenderedPageBreak/>
        <w:t xml:space="preserve">Appendix </w:t>
      </w:r>
      <w:r w:rsidR="00251091">
        <w:t>3</w:t>
      </w:r>
      <w:r w:rsidR="00B50091">
        <w:t xml:space="preserve"> - </w:t>
      </w:r>
      <w:r>
        <w:t>Updated wording for refund procedures</w:t>
      </w:r>
    </w:p>
    <w:p w14:paraId="6353A4CD" w14:textId="77777777" w:rsidR="00C13876" w:rsidRDefault="4D6788FD" w:rsidP="00E824EB">
      <w:pPr>
        <w:pStyle w:val="ParagraphNumbered"/>
        <w:numPr>
          <w:ilvl w:val="0"/>
          <w:numId w:val="7"/>
        </w:numPr>
      </w:pPr>
      <w:r>
        <w:t>NICE will fully or partially refund the charge of the evaluation if:</w:t>
      </w:r>
    </w:p>
    <w:p w14:paraId="1AE64449" w14:textId="19B3C5CB" w:rsidR="00C13876" w:rsidRDefault="23CD8E9F" w:rsidP="00855981">
      <w:pPr>
        <w:pStyle w:val="ParagraphNumbered"/>
        <w:numPr>
          <w:ilvl w:val="1"/>
          <w:numId w:val="1"/>
        </w:numPr>
      </w:pPr>
      <w:r>
        <w:t>A single technology appraisal (STA) is converted into a cost comparison (CC). In this case, NICE will refund the difference in charge.</w:t>
      </w:r>
      <w:r w:rsidR="00F948C5">
        <w:t xml:space="preserve"> </w:t>
      </w:r>
      <w:r w:rsidR="003D00E7">
        <w:t>S</w:t>
      </w:r>
      <w:r w:rsidR="00F948C5">
        <w:t xml:space="preserve">ee 5.8.27 </w:t>
      </w:r>
      <w:hyperlink r:id="rId37" w:history="1">
        <w:r w:rsidR="000E0CBD" w:rsidRPr="000E0CBD">
          <w:rPr>
            <w:rStyle w:val="Hyperlink"/>
          </w:rPr>
          <w:t>NICE health technology evaluations: the manual</w:t>
        </w:r>
      </w:hyperlink>
      <w:r w:rsidR="000E0CBD">
        <w:t xml:space="preserve"> for further details</w:t>
      </w:r>
      <w:r w:rsidR="009D09D7">
        <w:t>.</w:t>
      </w:r>
    </w:p>
    <w:p w14:paraId="09D0E27F" w14:textId="2523E764" w:rsidR="00C01E2F" w:rsidRDefault="2ABD19F1" w:rsidP="00855981">
      <w:pPr>
        <w:pStyle w:val="ParagraphNumbered"/>
        <w:numPr>
          <w:ilvl w:val="1"/>
          <w:numId w:val="1"/>
        </w:numPr>
      </w:pPr>
      <w:r>
        <w:t>A single technology appraisal (STA) follows the streamlined decision</w:t>
      </w:r>
      <w:r w:rsidR="00412CD7">
        <w:t>-making</w:t>
      </w:r>
      <w:r>
        <w:t xml:space="preserve"> process. </w:t>
      </w:r>
      <w:r w:rsidR="67904C32">
        <w:t xml:space="preserve">In this case, NICE will issue a proportionate refund. </w:t>
      </w:r>
    </w:p>
    <w:p w14:paraId="0ED66902" w14:textId="358989C4" w:rsidR="00C13876" w:rsidRDefault="23CD8E9F" w:rsidP="00855981">
      <w:pPr>
        <w:pStyle w:val="ParagraphNumbered"/>
        <w:numPr>
          <w:ilvl w:val="1"/>
          <w:numId w:val="1"/>
        </w:numPr>
      </w:pPr>
      <w:r>
        <w:t xml:space="preserve">In the sole opinion of NICE, </w:t>
      </w:r>
      <w:r w:rsidR="00EE737D">
        <w:t xml:space="preserve">the </w:t>
      </w:r>
      <w:r w:rsidR="60D7EA37">
        <w:t>evaluation</w:t>
      </w:r>
      <w:r w:rsidR="00EE737D">
        <w:t xml:space="preserve"> cannot be</w:t>
      </w:r>
      <w:r>
        <w:t xml:space="preserve"> complete</w:t>
      </w:r>
      <w:r w:rsidR="00EE737D">
        <w:t>d</w:t>
      </w:r>
      <w:r>
        <w:t xml:space="preserve"> after </w:t>
      </w:r>
      <w:r w:rsidR="00AF4D78">
        <w:t xml:space="preserve">the </w:t>
      </w:r>
      <w:r w:rsidR="0DDC6FC2">
        <w:t>evaluation</w:t>
      </w:r>
      <w:r>
        <w:t xml:space="preserve"> has started (for example, if the technology does not receive regulatory approval or the company withdraws an application from the relevant regulatory authority)</w:t>
      </w:r>
      <w:r w:rsidR="00AF4D78">
        <w:t>, a</w:t>
      </w:r>
      <w:r w:rsidR="1C3A068A">
        <w:t xml:space="preserve"> proportionate </w:t>
      </w:r>
      <w:r>
        <w:t xml:space="preserve">refund </w:t>
      </w:r>
      <w:r w:rsidR="5CF65332">
        <w:t xml:space="preserve">will apply for </w:t>
      </w:r>
      <w:r>
        <w:t xml:space="preserve">the amount paid less any costs incurred during the </w:t>
      </w:r>
      <w:r w:rsidR="06D45246">
        <w:t>evaluation</w:t>
      </w:r>
      <w:r w:rsidR="5CF65332">
        <w:t xml:space="preserve"> </w:t>
      </w:r>
      <w:r>
        <w:t>process up to that point (including fair allowance for overheads and other similar costs).</w:t>
      </w:r>
    </w:p>
    <w:p w14:paraId="528725F3" w14:textId="24CEBBD5" w:rsidR="00C13876" w:rsidRDefault="23CD8E9F" w:rsidP="00855981">
      <w:pPr>
        <w:pStyle w:val="ParagraphNumbered"/>
        <w:numPr>
          <w:ilvl w:val="1"/>
          <w:numId w:val="1"/>
        </w:numPr>
      </w:pPr>
      <w:r>
        <w:t xml:space="preserve">The </w:t>
      </w:r>
      <w:r w:rsidR="5053B9A9">
        <w:t xml:space="preserve">timelines for the </w:t>
      </w:r>
      <w:r>
        <w:t xml:space="preserve">evaluation </w:t>
      </w:r>
      <w:r w:rsidR="5053B9A9">
        <w:t xml:space="preserve">are </w:t>
      </w:r>
      <w:r>
        <w:t xml:space="preserve">rescheduled </w:t>
      </w:r>
      <w:r w:rsidR="7D7E9B3F">
        <w:t xml:space="preserve">to </w:t>
      </w:r>
      <w:r>
        <w:t xml:space="preserve">more than </w:t>
      </w:r>
      <w:r w:rsidR="0055567F">
        <w:t xml:space="preserve">4 </w:t>
      </w:r>
      <w:r>
        <w:t xml:space="preserve">months later than </w:t>
      </w:r>
      <w:r w:rsidR="0055567F">
        <w:t xml:space="preserve">the agreed </w:t>
      </w:r>
      <w:r>
        <w:t xml:space="preserve">original invitation to participate (ITP) date. NICE will refund the </w:t>
      </w:r>
      <w:r w:rsidR="06D45246">
        <w:t>already paid amount</w:t>
      </w:r>
      <w:r w:rsidR="0055567F">
        <w:t xml:space="preserve"> minus the change fee</w:t>
      </w:r>
      <w:r>
        <w:t xml:space="preserve"> and </w:t>
      </w:r>
      <w:r w:rsidR="7D7E9B3F">
        <w:t xml:space="preserve">formally </w:t>
      </w:r>
      <w:r>
        <w:t xml:space="preserve">recharge at the appropriate rate and time. </w:t>
      </w:r>
      <w:r w:rsidR="6A85C95F">
        <w:t>This ensures that NICE manages public monies appropriately, acts in line with financial regulations and aligns with published and monitored start dates for the evaluation process for each topic</w:t>
      </w:r>
      <w:r>
        <w:t>.</w:t>
      </w:r>
    </w:p>
    <w:p w14:paraId="25C7CC45" w14:textId="05E2AA0A" w:rsidR="00C13876" w:rsidRDefault="23CD8E9F" w:rsidP="00BC482E">
      <w:pPr>
        <w:pStyle w:val="ParagraphNumbered"/>
        <w:ind w:left="426"/>
      </w:pPr>
      <w:r>
        <w:t xml:space="preserve">Where an evaluation has required substantially different </w:t>
      </w:r>
      <w:r w:rsidR="06D45246">
        <w:t>resources of a standard assessment</w:t>
      </w:r>
      <w:r>
        <w:t xml:space="preserve">, alternative refund models may be explored by NICE using a methodology consistent with </w:t>
      </w:r>
      <w:hyperlink r:id="rId38" w:history="1">
        <w:r w:rsidR="00DA0835" w:rsidRPr="004C57B4">
          <w:rPr>
            <w:rStyle w:val="Hyperlink"/>
          </w:rPr>
          <w:t>HM Treasury’s guidance, Managing Public Money (MPM)</w:t>
        </w:r>
      </w:hyperlink>
      <w:r>
        <w:t>.</w:t>
      </w:r>
    </w:p>
    <w:p w14:paraId="7CF4499B" w14:textId="0422D661" w:rsidR="00C13876" w:rsidRDefault="23CD8E9F" w:rsidP="00BC482E">
      <w:pPr>
        <w:pStyle w:val="ParagraphNumbered"/>
        <w:ind w:left="426"/>
      </w:pPr>
      <w:r>
        <w:lastRenderedPageBreak/>
        <w:t xml:space="preserve">All refunds are subject to a standard administration charge. The administration charge allows NICE to recover the administrative costs related to staff and </w:t>
      </w:r>
      <w:hyperlink r:id="rId39" w:history="1">
        <w:r w:rsidR="007568BB" w:rsidRPr="007568BB">
          <w:rPr>
            <w:rStyle w:val="Hyperlink"/>
          </w:rPr>
          <w:t>NHS Shared Business Services</w:t>
        </w:r>
      </w:hyperlink>
      <w:r w:rsidR="06D45246">
        <w:t xml:space="preserve"> </w:t>
      </w:r>
      <w:r>
        <w:t>used to raise and complete the refund. The administration charge is £100 per refund</w:t>
      </w:r>
      <w:r w:rsidR="00FE3907">
        <w:t xml:space="preserve"> and £25 for small companies eligible for the discount</w:t>
      </w:r>
      <w:r w:rsidR="06D45246">
        <w:t>.</w:t>
      </w:r>
    </w:p>
    <w:p w14:paraId="218EEF04" w14:textId="5C43F804" w:rsidR="00B67FBB" w:rsidRDefault="00B67FBB">
      <w:pPr>
        <w:rPr>
          <w:rFonts w:ascii="Arial" w:hAnsi="Arial" w:cs="Arial"/>
          <w:b/>
          <w:kern w:val="32"/>
          <w:sz w:val="32"/>
          <w:szCs w:val="32"/>
          <w:lang w:eastAsia="en-US"/>
        </w:rPr>
      </w:pPr>
    </w:p>
    <w:sectPr w:rsidR="00B67FBB" w:rsidSect="008F6FB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12693" w14:textId="77777777" w:rsidR="00142EBB" w:rsidRDefault="00142EBB" w:rsidP="00446BEE">
      <w:r>
        <w:separator/>
      </w:r>
    </w:p>
  </w:endnote>
  <w:endnote w:type="continuationSeparator" w:id="0">
    <w:p w14:paraId="61657610" w14:textId="77777777" w:rsidR="00142EBB" w:rsidRDefault="00142EBB" w:rsidP="00446BEE">
      <w:r>
        <w:continuationSeparator/>
      </w:r>
    </w:p>
  </w:endnote>
  <w:endnote w:type="continuationNotice" w:id="1">
    <w:p w14:paraId="22BC68B2" w14:textId="77777777" w:rsidR="00142EBB" w:rsidRDefault="00142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ra">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 w:name="Lora SemiBold">
    <w:altName w:val="Cambria"/>
    <w:panose1 w:val="00000000000000000000"/>
    <w:charset w:val="00"/>
    <w:family w:val="auto"/>
    <w:pitch w:val="variable"/>
    <w:sig w:usb0="A00002F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AFD1" w14:textId="77777777" w:rsidR="00FD4E6D" w:rsidRDefault="00C4542F" w:rsidP="00446BEE">
    <w:pPr>
      <w:pStyle w:val="Footer"/>
    </w:pPr>
    <w:r w:rsidRPr="00C4542F">
      <w:t>Cost recovery for Technology Appraisals (TA) and Highly Specialised Technologies (HST) – 2023-24 review</w:t>
    </w:r>
  </w:p>
  <w:p w14:paraId="06EE3D7F" w14:textId="395478EB" w:rsidR="00446BEE" w:rsidRDefault="00FD4E6D" w:rsidP="00446BEE">
    <w:pPr>
      <w:pStyle w:val="Footer"/>
    </w:pPr>
    <w:r>
      <w:t>November 2023</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446BEE">
      <w:fldChar w:fldCharType="begin"/>
    </w:r>
    <w:r w:rsidR="00446BEE">
      <w:instrText>NUMPAGES</w:instrText>
    </w:r>
    <w:r w:rsidR="00446BEE">
      <w:fldChar w:fldCharType="separate"/>
    </w:r>
    <w:r w:rsidR="00FA2C5A">
      <w:rPr>
        <w:noProof/>
      </w:rPr>
      <w:t>1</w:t>
    </w:r>
    <w:r w:rsidR="00446BEE">
      <w:fldChar w:fldCharType="end"/>
    </w:r>
  </w:p>
  <w:p w14:paraId="7CB9F804" w14:textId="77777777" w:rsidR="00446BEE" w:rsidRDefault="00446BEE">
    <w:pPr>
      <w:pStyle w:val="Footer"/>
    </w:pPr>
  </w:p>
  <w:p w14:paraId="056CAB37" w14:textId="77777777" w:rsidR="00446BEE" w:rsidRDefault="00446BEE">
    <w:pPr>
      <w:pStyle w:val="Footer"/>
    </w:pPr>
  </w:p>
  <w:p w14:paraId="34F116E7" w14:textId="77777777" w:rsidR="00446BEE" w:rsidRDefault="00446B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EEB2" w14:textId="77777777" w:rsidR="00F945FF" w:rsidRDefault="00F945FF" w:rsidP="008E7826">
    <w:pPr>
      <w:pStyle w:val="Footer"/>
    </w:pPr>
    <w:r w:rsidRPr="00F945FF">
      <w:t>Cost recovery for Technology Appraisals (TA) and Highly Specialised Technologies (HST) – 2023-24 review</w:t>
    </w:r>
  </w:p>
  <w:p w14:paraId="51C8EF25" w14:textId="278A7E11" w:rsidR="008E7826" w:rsidRDefault="00F945FF" w:rsidP="008E7826">
    <w:pPr>
      <w:pStyle w:val="Footer"/>
    </w:pPr>
    <w:r>
      <w:t>November 2023</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rsidR="008E7826">
      <w:fldChar w:fldCharType="begin"/>
    </w:r>
    <w:r w:rsidR="008E7826">
      <w:instrText>NUMPAGES</w:instrText>
    </w:r>
    <w:r w:rsidR="008E7826">
      <w:fldChar w:fldCharType="separate"/>
    </w:r>
    <w:r w:rsidR="008E7826" w:rsidRPr="008E7826">
      <w:rPr>
        <w:noProof/>
      </w:rPr>
      <w:t>2</w:t>
    </w:r>
    <w:r w:rsidR="008E7826">
      <w:fldChar w:fldCharType="end"/>
    </w:r>
  </w:p>
  <w:p w14:paraId="248B4EE9" w14:textId="77777777" w:rsidR="008E7826" w:rsidRDefault="008E78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3B62D" w14:textId="77777777" w:rsidR="00142EBB" w:rsidRDefault="00142EBB" w:rsidP="00446BEE">
      <w:r>
        <w:separator/>
      </w:r>
    </w:p>
  </w:footnote>
  <w:footnote w:type="continuationSeparator" w:id="0">
    <w:p w14:paraId="5C255C07" w14:textId="77777777" w:rsidR="00142EBB" w:rsidRDefault="00142EBB" w:rsidP="00446BEE">
      <w:r>
        <w:continuationSeparator/>
      </w:r>
    </w:p>
  </w:footnote>
  <w:footnote w:type="continuationNotice" w:id="1">
    <w:p w14:paraId="10C8642C" w14:textId="77777777" w:rsidR="00142EBB" w:rsidRDefault="00142E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6BFA" w14:textId="69E8BAF1" w:rsidR="008F6FB7" w:rsidRDefault="008F6FB7">
    <w:pPr>
      <w:pStyle w:val="Header"/>
    </w:pPr>
    <w:r>
      <w:rPr>
        <w:noProof/>
      </w:rPr>
      <w:drawing>
        <wp:anchor distT="0" distB="0" distL="114300" distR="114300" simplePos="0" relativeHeight="251658240" behindDoc="0" locked="0" layoutInCell="1" allowOverlap="1" wp14:anchorId="369619E4" wp14:editId="54E35C53">
          <wp:simplePos x="0" y="0"/>
          <wp:positionH relativeFrom="column">
            <wp:posOffset>0</wp:posOffset>
          </wp:positionH>
          <wp:positionV relativeFrom="page">
            <wp:posOffset>447675</wp:posOffset>
          </wp:positionV>
          <wp:extent cx="2444400" cy="252000"/>
          <wp:effectExtent l="0" t="0" r="0" b="0"/>
          <wp:wrapNone/>
          <wp:docPr id="1299017685" name="Picture 1299017685"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p w14:paraId="6B0150DA" w14:textId="77777777" w:rsidR="008F6FB7" w:rsidRDefault="008F6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C3038A"/>
    <w:multiLevelType w:val="hybridMultilevel"/>
    <w:tmpl w:val="9F9E0092"/>
    <w:lvl w:ilvl="0" w:tplc="0809001B">
      <w:start w:val="1"/>
      <w:numFmt w:val="lowerRoman"/>
      <w:lvlText w:val="%1."/>
      <w:lvlJc w:val="right"/>
      <w:pPr>
        <w:ind w:left="1134" w:hanging="45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A964E9"/>
    <w:multiLevelType w:val="hybridMultilevel"/>
    <w:tmpl w:val="EE8E7362"/>
    <w:lvl w:ilvl="0" w:tplc="0809001B">
      <w:start w:val="1"/>
      <w:numFmt w:val="lowerRoman"/>
      <w:lvlText w:val="%1."/>
      <w:lvlJc w:val="right"/>
      <w:pPr>
        <w:ind w:left="1134" w:hanging="45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2E97E49"/>
    <w:multiLevelType w:val="hybridMultilevel"/>
    <w:tmpl w:val="21CC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C93D14"/>
    <w:multiLevelType w:val="hybridMultilevel"/>
    <w:tmpl w:val="D6C0FB26"/>
    <w:lvl w:ilvl="0" w:tplc="975AD090">
      <w:start w:val="1"/>
      <w:numFmt w:val="decimal"/>
      <w:pStyle w:val="ParagraphNumbered"/>
      <w:lvlText w:val="%1."/>
      <w:lvlJc w:val="left"/>
      <w:pPr>
        <w:ind w:left="851" w:hanging="851"/>
      </w:pPr>
      <w:rPr>
        <w:rFonts w:ascii="Arial" w:hAnsi="Arial" w:cs="Arial" w:hint="default"/>
        <w:b w:val="0"/>
        <w:bCs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696F2189"/>
    <w:multiLevelType w:val="hybridMultilevel"/>
    <w:tmpl w:val="7DD6DEFA"/>
    <w:lvl w:ilvl="0" w:tplc="FFFFFFFF">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8" w15:restartNumberingAfterBreak="0">
    <w:nsid w:val="71A7662E"/>
    <w:multiLevelType w:val="hybridMultilevel"/>
    <w:tmpl w:val="7994B6A2"/>
    <w:lvl w:ilvl="0" w:tplc="0809001B">
      <w:start w:val="1"/>
      <w:numFmt w:val="lowerRoman"/>
      <w:lvlText w:val="%1."/>
      <w:lvlJc w:val="right"/>
      <w:pPr>
        <w:ind w:left="1134" w:hanging="45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384370">
    <w:abstractNumId w:val="4"/>
  </w:num>
  <w:num w:numId="2" w16cid:durableId="1271931310">
    <w:abstractNumId w:val="6"/>
  </w:num>
  <w:num w:numId="3" w16cid:durableId="1595244151">
    <w:abstractNumId w:val="6"/>
  </w:num>
  <w:num w:numId="4" w16cid:durableId="368646558">
    <w:abstractNumId w:val="0"/>
  </w:num>
  <w:num w:numId="5" w16cid:durableId="534393170">
    <w:abstractNumId w:val="5"/>
  </w:num>
  <w:num w:numId="6" w16cid:durableId="609512517">
    <w:abstractNumId w:val="7"/>
  </w:num>
  <w:num w:numId="7" w16cid:durableId="1591045453">
    <w:abstractNumId w:val="4"/>
    <w:lvlOverride w:ilvl="0">
      <w:startOverride w:val="1"/>
    </w:lvlOverride>
  </w:num>
  <w:num w:numId="8" w16cid:durableId="51656529">
    <w:abstractNumId w:val="3"/>
  </w:num>
  <w:num w:numId="9" w16cid:durableId="1057389891">
    <w:abstractNumId w:val="8"/>
  </w:num>
  <w:num w:numId="10" w16cid:durableId="309790826">
    <w:abstractNumId w:val="2"/>
  </w:num>
  <w:num w:numId="11" w16cid:durableId="5944449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ED"/>
    <w:rsid w:val="000005EE"/>
    <w:rsid w:val="00000967"/>
    <w:rsid w:val="00001ADB"/>
    <w:rsid w:val="000030AB"/>
    <w:rsid w:val="0000384C"/>
    <w:rsid w:val="00005288"/>
    <w:rsid w:val="000053F8"/>
    <w:rsid w:val="00006C0F"/>
    <w:rsid w:val="00006D07"/>
    <w:rsid w:val="00006EA1"/>
    <w:rsid w:val="00006F3D"/>
    <w:rsid w:val="0001094A"/>
    <w:rsid w:val="000114E3"/>
    <w:rsid w:val="00011786"/>
    <w:rsid w:val="0001288A"/>
    <w:rsid w:val="00013048"/>
    <w:rsid w:val="0001330C"/>
    <w:rsid w:val="00013362"/>
    <w:rsid w:val="00013FE4"/>
    <w:rsid w:val="000158F6"/>
    <w:rsid w:val="00015A33"/>
    <w:rsid w:val="00015E7F"/>
    <w:rsid w:val="00015F1D"/>
    <w:rsid w:val="000166C7"/>
    <w:rsid w:val="000172B7"/>
    <w:rsid w:val="000177D2"/>
    <w:rsid w:val="00017D50"/>
    <w:rsid w:val="00020473"/>
    <w:rsid w:val="00020922"/>
    <w:rsid w:val="000210D8"/>
    <w:rsid w:val="000219BA"/>
    <w:rsid w:val="00022345"/>
    <w:rsid w:val="00022417"/>
    <w:rsid w:val="000232C7"/>
    <w:rsid w:val="00023587"/>
    <w:rsid w:val="00024537"/>
    <w:rsid w:val="000247A8"/>
    <w:rsid w:val="00024D0A"/>
    <w:rsid w:val="00025ED7"/>
    <w:rsid w:val="000261B5"/>
    <w:rsid w:val="00027009"/>
    <w:rsid w:val="0003023A"/>
    <w:rsid w:val="000306D8"/>
    <w:rsid w:val="00031B52"/>
    <w:rsid w:val="00031BED"/>
    <w:rsid w:val="0003232D"/>
    <w:rsid w:val="000325B9"/>
    <w:rsid w:val="0003266C"/>
    <w:rsid w:val="00033DF4"/>
    <w:rsid w:val="000343F5"/>
    <w:rsid w:val="0003562F"/>
    <w:rsid w:val="0004091C"/>
    <w:rsid w:val="0004158E"/>
    <w:rsid w:val="00041C97"/>
    <w:rsid w:val="0004281D"/>
    <w:rsid w:val="00042AEF"/>
    <w:rsid w:val="00042FC4"/>
    <w:rsid w:val="000436EA"/>
    <w:rsid w:val="00044ADD"/>
    <w:rsid w:val="00045BCE"/>
    <w:rsid w:val="00045E29"/>
    <w:rsid w:val="00046624"/>
    <w:rsid w:val="00047389"/>
    <w:rsid w:val="00047705"/>
    <w:rsid w:val="000506CC"/>
    <w:rsid w:val="00050BB0"/>
    <w:rsid w:val="00050EF8"/>
    <w:rsid w:val="00051C8B"/>
    <w:rsid w:val="0005207A"/>
    <w:rsid w:val="000524B0"/>
    <w:rsid w:val="00053014"/>
    <w:rsid w:val="00053C86"/>
    <w:rsid w:val="00053EC0"/>
    <w:rsid w:val="000545E4"/>
    <w:rsid w:val="00054C6A"/>
    <w:rsid w:val="000550AB"/>
    <w:rsid w:val="0005540E"/>
    <w:rsid w:val="000554A5"/>
    <w:rsid w:val="00055C52"/>
    <w:rsid w:val="00055E2A"/>
    <w:rsid w:val="00057356"/>
    <w:rsid w:val="00060C25"/>
    <w:rsid w:val="00061AEC"/>
    <w:rsid w:val="00062C32"/>
    <w:rsid w:val="000637CD"/>
    <w:rsid w:val="0006399A"/>
    <w:rsid w:val="00063ECB"/>
    <w:rsid w:val="00064695"/>
    <w:rsid w:val="00065490"/>
    <w:rsid w:val="00065C20"/>
    <w:rsid w:val="00066148"/>
    <w:rsid w:val="0006663C"/>
    <w:rsid w:val="000667BC"/>
    <w:rsid w:val="00067185"/>
    <w:rsid w:val="00067BE8"/>
    <w:rsid w:val="00067CDE"/>
    <w:rsid w:val="00070065"/>
    <w:rsid w:val="00070FF1"/>
    <w:rsid w:val="000718A7"/>
    <w:rsid w:val="0007395F"/>
    <w:rsid w:val="00073B77"/>
    <w:rsid w:val="000744C4"/>
    <w:rsid w:val="00075F3B"/>
    <w:rsid w:val="000764A3"/>
    <w:rsid w:val="00077234"/>
    <w:rsid w:val="0007773C"/>
    <w:rsid w:val="000805EF"/>
    <w:rsid w:val="00080D42"/>
    <w:rsid w:val="00080D7F"/>
    <w:rsid w:val="00080F25"/>
    <w:rsid w:val="000810EE"/>
    <w:rsid w:val="00081BB2"/>
    <w:rsid w:val="00081C97"/>
    <w:rsid w:val="0008278F"/>
    <w:rsid w:val="0008311A"/>
    <w:rsid w:val="00083183"/>
    <w:rsid w:val="00084373"/>
    <w:rsid w:val="000852F9"/>
    <w:rsid w:val="00085D5B"/>
    <w:rsid w:val="00086676"/>
    <w:rsid w:val="00086781"/>
    <w:rsid w:val="00086A4E"/>
    <w:rsid w:val="0008795A"/>
    <w:rsid w:val="000904C7"/>
    <w:rsid w:val="00090C4C"/>
    <w:rsid w:val="00091370"/>
    <w:rsid w:val="0009138C"/>
    <w:rsid w:val="00091E8E"/>
    <w:rsid w:val="000920EB"/>
    <w:rsid w:val="00092694"/>
    <w:rsid w:val="00092D1A"/>
    <w:rsid w:val="000935C0"/>
    <w:rsid w:val="000941B5"/>
    <w:rsid w:val="000947B2"/>
    <w:rsid w:val="00094836"/>
    <w:rsid w:val="00096026"/>
    <w:rsid w:val="0009772E"/>
    <w:rsid w:val="000A019A"/>
    <w:rsid w:val="000A1609"/>
    <w:rsid w:val="000A196F"/>
    <w:rsid w:val="000A27B2"/>
    <w:rsid w:val="000A3E7E"/>
    <w:rsid w:val="000A4FEE"/>
    <w:rsid w:val="000A513B"/>
    <w:rsid w:val="000A61E6"/>
    <w:rsid w:val="000A638B"/>
    <w:rsid w:val="000A6985"/>
    <w:rsid w:val="000A69B9"/>
    <w:rsid w:val="000A7743"/>
    <w:rsid w:val="000A7D76"/>
    <w:rsid w:val="000B0A25"/>
    <w:rsid w:val="000B13D9"/>
    <w:rsid w:val="000B176E"/>
    <w:rsid w:val="000B1ECD"/>
    <w:rsid w:val="000B2F48"/>
    <w:rsid w:val="000B2F81"/>
    <w:rsid w:val="000B4294"/>
    <w:rsid w:val="000B5872"/>
    <w:rsid w:val="000B5939"/>
    <w:rsid w:val="000B64EA"/>
    <w:rsid w:val="000C140C"/>
    <w:rsid w:val="000C1CA4"/>
    <w:rsid w:val="000C3129"/>
    <w:rsid w:val="000C3AC2"/>
    <w:rsid w:val="000C3DC5"/>
    <w:rsid w:val="000C4D46"/>
    <w:rsid w:val="000C5104"/>
    <w:rsid w:val="000C5935"/>
    <w:rsid w:val="000C5F0A"/>
    <w:rsid w:val="000C6478"/>
    <w:rsid w:val="000C662D"/>
    <w:rsid w:val="000C6EB6"/>
    <w:rsid w:val="000C7652"/>
    <w:rsid w:val="000C77E4"/>
    <w:rsid w:val="000D021A"/>
    <w:rsid w:val="000D0D78"/>
    <w:rsid w:val="000D0E16"/>
    <w:rsid w:val="000D31EB"/>
    <w:rsid w:val="000D322B"/>
    <w:rsid w:val="000D3373"/>
    <w:rsid w:val="000D40E6"/>
    <w:rsid w:val="000D5352"/>
    <w:rsid w:val="000D66BC"/>
    <w:rsid w:val="000D772A"/>
    <w:rsid w:val="000D7F4B"/>
    <w:rsid w:val="000E0628"/>
    <w:rsid w:val="000E07B3"/>
    <w:rsid w:val="000E0A3E"/>
    <w:rsid w:val="000E0C9F"/>
    <w:rsid w:val="000E0CBD"/>
    <w:rsid w:val="000E0D9D"/>
    <w:rsid w:val="000E0E13"/>
    <w:rsid w:val="000E2216"/>
    <w:rsid w:val="000E2CC3"/>
    <w:rsid w:val="000E35F7"/>
    <w:rsid w:val="000E3970"/>
    <w:rsid w:val="000E3B68"/>
    <w:rsid w:val="000E42B0"/>
    <w:rsid w:val="000E4AF0"/>
    <w:rsid w:val="000E5F4A"/>
    <w:rsid w:val="000E6492"/>
    <w:rsid w:val="000F09B1"/>
    <w:rsid w:val="000F17EB"/>
    <w:rsid w:val="000F2079"/>
    <w:rsid w:val="000F23B3"/>
    <w:rsid w:val="000F2DDA"/>
    <w:rsid w:val="000F2E10"/>
    <w:rsid w:val="000F3C1B"/>
    <w:rsid w:val="000F452F"/>
    <w:rsid w:val="000F5ECE"/>
    <w:rsid w:val="000F6A77"/>
    <w:rsid w:val="000F76C9"/>
    <w:rsid w:val="00102034"/>
    <w:rsid w:val="00102A1A"/>
    <w:rsid w:val="00102F37"/>
    <w:rsid w:val="0010337E"/>
    <w:rsid w:val="00103DAB"/>
    <w:rsid w:val="00104489"/>
    <w:rsid w:val="001044CE"/>
    <w:rsid w:val="0010463A"/>
    <w:rsid w:val="00104A3E"/>
    <w:rsid w:val="0010655A"/>
    <w:rsid w:val="00106FD8"/>
    <w:rsid w:val="00111322"/>
    <w:rsid w:val="00111C11"/>
    <w:rsid w:val="00111EA4"/>
    <w:rsid w:val="001134E7"/>
    <w:rsid w:val="00113D11"/>
    <w:rsid w:val="001140E0"/>
    <w:rsid w:val="0011435F"/>
    <w:rsid w:val="001143D6"/>
    <w:rsid w:val="00114BCD"/>
    <w:rsid w:val="00115634"/>
    <w:rsid w:val="001165DD"/>
    <w:rsid w:val="00116A66"/>
    <w:rsid w:val="001179F8"/>
    <w:rsid w:val="00117A48"/>
    <w:rsid w:val="00120B89"/>
    <w:rsid w:val="00121EF9"/>
    <w:rsid w:val="001224DD"/>
    <w:rsid w:val="00123078"/>
    <w:rsid w:val="00123245"/>
    <w:rsid w:val="001237C6"/>
    <w:rsid w:val="001241C4"/>
    <w:rsid w:val="001253C0"/>
    <w:rsid w:val="00125ECC"/>
    <w:rsid w:val="00126249"/>
    <w:rsid w:val="001266AA"/>
    <w:rsid w:val="001267E3"/>
    <w:rsid w:val="00126D40"/>
    <w:rsid w:val="00126D6D"/>
    <w:rsid w:val="001270CF"/>
    <w:rsid w:val="0012751A"/>
    <w:rsid w:val="0013049F"/>
    <w:rsid w:val="00131BC8"/>
    <w:rsid w:val="00131BF3"/>
    <w:rsid w:val="00131D28"/>
    <w:rsid w:val="00131FDB"/>
    <w:rsid w:val="001329B9"/>
    <w:rsid w:val="00132D33"/>
    <w:rsid w:val="00132DE7"/>
    <w:rsid w:val="001336FF"/>
    <w:rsid w:val="00133868"/>
    <w:rsid w:val="00136206"/>
    <w:rsid w:val="001365F4"/>
    <w:rsid w:val="0013662B"/>
    <w:rsid w:val="00136F4F"/>
    <w:rsid w:val="0013785F"/>
    <w:rsid w:val="00137DE9"/>
    <w:rsid w:val="00140418"/>
    <w:rsid w:val="00140EE3"/>
    <w:rsid w:val="00141109"/>
    <w:rsid w:val="001414B1"/>
    <w:rsid w:val="001423A8"/>
    <w:rsid w:val="001427E7"/>
    <w:rsid w:val="00142A8F"/>
    <w:rsid w:val="00142EBB"/>
    <w:rsid w:val="00143B64"/>
    <w:rsid w:val="00143EB8"/>
    <w:rsid w:val="0014409D"/>
    <w:rsid w:val="00144192"/>
    <w:rsid w:val="00144C69"/>
    <w:rsid w:val="001452A7"/>
    <w:rsid w:val="00145A70"/>
    <w:rsid w:val="00146B1A"/>
    <w:rsid w:val="001518A2"/>
    <w:rsid w:val="0015210E"/>
    <w:rsid w:val="00152F1B"/>
    <w:rsid w:val="0015375C"/>
    <w:rsid w:val="00153BED"/>
    <w:rsid w:val="00154B55"/>
    <w:rsid w:val="00154C6E"/>
    <w:rsid w:val="001553E8"/>
    <w:rsid w:val="00156364"/>
    <w:rsid w:val="001575E8"/>
    <w:rsid w:val="00157BBE"/>
    <w:rsid w:val="00157BCB"/>
    <w:rsid w:val="001601F6"/>
    <w:rsid w:val="00160DB0"/>
    <w:rsid w:val="00161A99"/>
    <w:rsid w:val="00161E10"/>
    <w:rsid w:val="001630A2"/>
    <w:rsid w:val="001638F1"/>
    <w:rsid w:val="001642D7"/>
    <w:rsid w:val="001651CA"/>
    <w:rsid w:val="00165524"/>
    <w:rsid w:val="00165E4C"/>
    <w:rsid w:val="00165ECB"/>
    <w:rsid w:val="00165F1F"/>
    <w:rsid w:val="0016615D"/>
    <w:rsid w:val="00166D6C"/>
    <w:rsid w:val="0016741F"/>
    <w:rsid w:val="001677ED"/>
    <w:rsid w:val="00170AA0"/>
    <w:rsid w:val="00170C3F"/>
    <w:rsid w:val="0017169E"/>
    <w:rsid w:val="00173C38"/>
    <w:rsid w:val="00176607"/>
    <w:rsid w:val="001807CC"/>
    <w:rsid w:val="0018181F"/>
    <w:rsid w:val="00181822"/>
    <w:rsid w:val="001826AB"/>
    <w:rsid w:val="0018283A"/>
    <w:rsid w:val="00183569"/>
    <w:rsid w:val="00185066"/>
    <w:rsid w:val="0018548D"/>
    <w:rsid w:val="001857E1"/>
    <w:rsid w:val="0018596A"/>
    <w:rsid w:val="00186C67"/>
    <w:rsid w:val="00190B48"/>
    <w:rsid w:val="001911A7"/>
    <w:rsid w:val="001925D5"/>
    <w:rsid w:val="00194817"/>
    <w:rsid w:val="00194A5A"/>
    <w:rsid w:val="00194D3A"/>
    <w:rsid w:val="00195172"/>
    <w:rsid w:val="00195527"/>
    <w:rsid w:val="001965F2"/>
    <w:rsid w:val="00196679"/>
    <w:rsid w:val="001978F9"/>
    <w:rsid w:val="001A1CE6"/>
    <w:rsid w:val="001A2689"/>
    <w:rsid w:val="001A26B1"/>
    <w:rsid w:val="001A3C78"/>
    <w:rsid w:val="001A4543"/>
    <w:rsid w:val="001A489B"/>
    <w:rsid w:val="001A4BBA"/>
    <w:rsid w:val="001A4FF7"/>
    <w:rsid w:val="001A531D"/>
    <w:rsid w:val="001A5703"/>
    <w:rsid w:val="001A5E1D"/>
    <w:rsid w:val="001A6474"/>
    <w:rsid w:val="001A6635"/>
    <w:rsid w:val="001A73EC"/>
    <w:rsid w:val="001B0129"/>
    <w:rsid w:val="001B0A37"/>
    <w:rsid w:val="001B0EE9"/>
    <w:rsid w:val="001B10A4"/>
    <w:rsid w:val="001B10E6"/>
    <w:rsid w:val="001B1511"/>
    <w:rsid w:val="001B2134"/>
    <w:rsid w:val="001B28D4"/>
    <w:rsid w:val="001B2A0C"/>
    <w:rsid w:val="001B2C1E"/>
    <w:rsid w:val="001B3267"/>
    <w:rsid w:val="001B368D"/>
    <w:rsid w:val="001B42C5"/>
    <w:rsid w:val="001B65B3"/>
    <w:rsid w:val="001B6713"/>
    <w:rsid w:val="001B7466"/>
    <w:rsid w:val="001C01D0"/>
    <w:rsid w:val="001C03B5"/>
    <w:rsid w:val="001C04C8"/>
    <w:rsid w:val="001C1998"/>
    <w:rsid w:val="001C1D78"/>
    <w:rsid w:val="001C2D5E"/>
    <w:rsid w:val="001C2F6C"/>
    <w:rsid w:val="001C34CA"/>
    <w:rsid w:val="001C35AA"/>
    <w:rsid w:val="001C4FC2"/>
    <w:rsid w:val="001C5199"/>
    <w:rsid w:val="001C7303"/>
    <w:rsid w:val="001C736B"/>
    <w:rsid w:val="001C7386"/>
    <w:rsid w:val="001C7625"/>
    <w:rsid w:val="001C7DD4"/>
    <w:rsid w:val="001D08CD"/>
    <w:rsid w:val="001D166F"/>
    <w:rsid w:val="001D250D"/>
    <w:rsid w:val="001D2B0C"/>
    <w:rsid w:val="001D3BE2"/>
    <w:rsid w:val="001D4F32"/>
    <w:rsid w:val="001D59BB"/>
    <w:rsid w:val="001D6169"/>
    <w:rsid w:val="001D68CA"/>
    <w:rsid w:val="001D705E"/>
    <w:rsid w:val="001D7531"/>
    <w:rsid w:val="001D7BA4"/>
    <w:rsid w:val="001D7CB9"/>
    <w:rsid w:val="001E01DE"/>
    <w:rsid w:val="001E063B"/>
    <w:rsid w:val="001E14C4"/>
    <w:rsid w:val="001E29B2"/>
    <w:rsid w:val="001E2D56"/>
    <w:rsid w:val="001E2D99"/>
    <w:rsid w:val="001E30B4"/>
    <w:rsid w:val="001E3F7F"/>
    <w:rsid w:val="001E5A56"/>
    <w:rsid w:val="001E60D6"/>
    <w:rsid w:val="001F01C5"/>
    <w:rsid w:val="001F183C"/>
    <w:rsid w:val="001F2171"/>
    <w:rsid w:val="001F2244"/>
    <w:rsid w:val="001F353A"/>
    <w:rsid w:val="001F4222"/>
    <w:rsid w:val="001F4558"/>
    <w:rsid w:val="001F4D3D"/>
    <w:rsid w:val="001F568B"/>
    <w:rsid w:val="001F5E7F"/>
    <w:rsid w:val="001F61D5"/>
    <w:rsid w:val="00200635"/>
    <w:rsid w:val="002006A5"/>
    <w:rsid w:val="00200E3C"/>
    <w:rsid w:val="00200FB8"/>
    <w:rsid w:val="00202042"/>
    <w:rsid w:val="00202443"/>
    <w:rsid w:val="00203B26"/>
    <w:rsid w:val="002043CC"/>
    <w:rsid w:val="00204823"/>
    <w:rsid w:val="00204CD6"/>
    <w:rsid w:val="00205377"/>
    <w:rsid w:val="00205793"/>
    <w:rsid w:val="00205AAA"/>
    <w:rsid w:val="00207197"/>
    <w:rsid w:val="0020743D"/>
    <w:rsid w:val="00207F0C"/>
    <w:rsid w:val="002085F7"/>
    <w:rsid w:val="002102F6"/>
    <w:rsid w:val="00210437"/>
    <w:rsid w:val="00210B9B"/>
    <w:rsid w:val="00211162"/>
    <w:rsid w:val="002114E3"/>
    <w:rsid w:val="00211E0E"/>
    <w:rsid w:val="002124D5"/>
    <w:rsid w:val="002136AD"/>
    <w:rsid w:val="00213E8C"/>
    <w:rsid w:val="00214656"/>
    <w:rsid w:val="00214FF5"/>
    <w:rsid w:val="002150EC"/>
    <w:rsid w:val="00216BFC"/>
    <w:rsid w:val="00217079"/>
    <w:rsid w:val="002172AE"/>
    <w:rsid w:val="00217A7F"/>
    <w:rsid w:val="00220D42"/>
    <w:rsid w:val="00221B50"/>
    <w:rsid w:val="00222715"/>
    <w:rsid w:val="002232C7"/>
    <w:rsid w:val="002242FA"/>
    <w:rsid w:val="0022448A"/>
    <w:rsid w:val="002248F6"/>
    <w:rsid w:val="0022571D"/>
    <w:rsid w:val="00226978"/>
    <w:rsid w:val="0023009A"/>
    <w:rsid w:val="00230535"/>
    <w:rsid w:val="00230AB8"/>
    <w:rsid w:val="00231147"/>
    <w:rsid w:val="002321A8"/>
    <w:rsid w:val="00232772"/>
    <w:rsid w:val="00233CA3"/>
    <w:rsid w:val="00234237"/>
    <w:rsid w:val="00235232"/>
    <w:rsid w:val="002352A8"/>
    <w:rsid w:val="00235D0A"/>
    <w:rsid w:val="002373FA"/>
    <w:rsid w:val="00237F47"/>
    <w:rsid w:val="002403D6"/>
    <w:rsid w:val="002408EA"/>
    <w:rsid w:val="00241681"/>
    <w:rsid w:val="0024267B"/>
    <w:rsid w:val="00243111"/>
    <w:rsid w:val="00243745"/>
    <w:rsid w:val="002439FD"/>
    <w:rsid w:val="00243D58"/>
    <w:rsid w:val="00244242"/>
    <w:rsid w:val="00245266"/>
    <w:rsid w:val="00245E51"/>
    <w:rsid w:val="00246497"/>
    <w:rsid w:val="002466B3"/>
    <w:rsid w:val="0024706A"/>
    <w:rsid w:val="0024ACA9"/>
    <w:rsid w:val="00251091"/>
    <w:rsid w:val="0025137B"/>
    <w:rsid w:val="00251987"/>
    <w:rsid w:val="00251CBF"/>
    <w:rsid w:val="00252159"/>
    <w:rsid w:val="00252CFE"/>
    <w:rsid w:val="00253B3F"/>
    <w:rsid w:val="0025434B"/>
    <w:rsid w:val="00254864"/>
    <w:rsid w:val="0025496B"/>
    <w:rsid w:val="00254E31"/>
    <w:rsid w:val="00255A96"/>
    <w:rsid w:val="0025603E"/>
    <w:rsid w:val="002565C3"/>
    <w:rsid w:val="002568E7"/>
    <w:rsid w:val="00256A8C"/>
    <w:rsid w:val="002579CF"/>
    <w:rsid w:val="0026036E"/>
    <w:rsid w:val="002606A0"/>
    <w:rsid w:val="00260DB1"/>
    <w:rsid w:val="00260FB6"/>
    <w:rsid w:val="002612E7"/>
    <w:rsid w:val="002616F1"/>
    <w:rsid w:val="00261A24"/>
    <w:rsid w:val="00261A7B"/>
    <w:rsid w:val="00264BC2"/>
    <w:rsid w:val="002651F8"/>
    <w:rsid w:val="002652E1"/>
    <w:rsid w:val="00265D5B"/>
    <w:rsid w:val="00267205"/>
    <w:rsid w:val="002674D1"/>
    <w:rsid w:val="00267F54"/>
    <w:rsid w:val="0027095C"/>
    <w:rsid w:val="00270A6D"/>
    <w:rsid w:val="00271190"/>
    <w:rsid w:val="00271264"/>
    <w:rsid w:val="0027149D"/>
    <w:rsid w:val="00271565"/>
    <w:rsid w:val="00271A7F"/>
    <w:rsid w:val="00271C4F"/>
    <w:rsid w:val="00271F4A"/>
    <w:rsid w:val="00272CAE"/>
    <w:rsid w:val="00273361"/>
    <w:rsid w:val="00273B61"/>
    <w:rsid w:val="0027413E"/>
    <w:rsid w:val="00275604"/>
    <w:rsid w:val="00275627"/>
    <w:rsid w:val="002757AE"/>
    <w:rsid w:val="00275BFE"/>
    <w:rsid w:val="00277000"/>
    <w:rsid w:val="002806D7"/>
    <w:rsid w:val="002819D7"/>
    <w:rsid w:val="00281A54"/>
    <w:rsid w:val="002824CB"/>
    <w:rsid w:val="00283570"/>
    <w:rsid w:val="002839A7"/>
    <w:rsid w:val="00283C1F"/>
    <w:rsid w:val="00284336"/>
    <w:rsid w:val="00285426"/>
    <w:rsid w:val="00285C5E"/>
    <w:rsid w:val="002862B6"/>
    <w:rsid w:val="002869FE"/>
    <w:rsid w:val="0028737C"/>
    <w:rsid w:val="00287464"/>
    <w:rsid w:val="00292513"/>
    <w:rsid w:val="00293BE1"/>
    <w:rsid w:val="00293CB6"/>
    <w:rsid w:val="00293D76"/>
    <w:rsid w:val="00294417"/>
    <w:rsid w:val="00294AD1"/>
    <w:rsid w:val="00294C08"/>
    <w:rsid w:val="0029503A"/>
    <w:rsid w:val="0029544F"/>
    <w:rsid w:val="00295A0A"/>
    <w:rsid w:val="002971CF"/>
    <w:rsid w:val="00297282"/>
    <w:rsid w:val="002976B3"/>
    <w:rsid w:val="00297987"/>
    <w:rsid w:val="002A04CC"/>
    <w:rsid w:val="002A0919"/>
    <w:rsid w:val="002A0A31"/>
    <w:rsid w:val="002A1D8A"/>
    <w:rsid w:val="002A3663"/>
    <w:rsid w:val="002A517C"/>
    <w:rsid w:val="002A58EF"/>
    <w:rsid w:val="002A5D76"/>
    <w:rsid w:val="002A6750"/>
    <w:rsid w:val="002A72EB"/>
    <w:rsid w:val="002B0C0B"/>
    <w:rsid w:val="002B1A43"/>
    <w:rsid w:val="002B1AF2"/>
    <w:rsid w:val="002B2608"/>
    <w:rsid w:val="002B411E"/>
    <w:rsid w:val="002B5C58"/>
    <w:rsid w:val="002B6217"/>
    <w:rsid w:val="002B745F"/>
    <w:rsid w:val="002B7A1E"/>
    <w:rsid w:val="002B7F34"/>
    <w:rsid w:val="002C0A6F"/>
    <w:rsid w:val="002C0D43"/>
    <w:rsid w:val="002C19C1"/>
    <w:rsid w:val="002C1A7E"/>
    <w:rsid w:val="002C369B"/>
    <w:rsid w:val="002C3AF1"/>
    <w:rsid w:val="002C3BD6"/>
    <w:rsid w:val="002C41CE"/>
    <w:rsid w:val="002C5483"/>
    <w:rsid w:val="002C55A6"/>
    <w:rsid w:val="002C5D96"/>
    <w:rsid w:val="002C5ECF"/>
    <w:rsid w:val="002C636B"/>
    <w:rsid w:val="002C692B"/>
    <w:rsid w:val="002C6C55"/>
    <w:rsid w:val="002D0793"/>
    <w:rsid w:val="002D16C5"/>
    <w:rsid w:val="002D1E31"/>
    <w:rsid w:val="002D2CFC"/>
    <w:rsid w:val="002D3376"/>
    <w:rsid w:val="002D363D"/>
    <w:rsid w:val="002D36B3"/>
    <w:rsid w:val="002D4AE6"/>
    <w:rsid w:val="002D4CDE"/>
    <w:rsid w:val="002D4F14"/>
    <w:rsid w:val="002D5751"/>
    <w:rsid w:val="002D5F5F"/>
    <w:rsid w:val="002D7226"/>
    <w:rsid w:val="002D72BA"/>
    <w:rsid w:val="002D78A2"/>
    <w:rsid w:val="002D7CB9"/>
    <w:rsid w:val="002E1B50"/>
    <w:rsid w:val="002E2672"/>
    <w:rsid w:val="002E31CB"/>
    <w:rsid w:val="002E3CF4"/>
    <w:rsid w:val="002E42C7"/>
    <w:rsid w:val="002E48BA"/>
    <w:rsid w:val="002E4B85"/>
    <w:rsid w:val="002E50F3"/>
    <w:rsid w:val="002E5183"/>
    <w:rsid w:val="002E65BB"/>
    <w:rsid w:val="002E74B6"/>
    <w:rsid w:val="002E7828"/>
    <w:rsid w:val="002E7B75"/>
    <w:rsid w:val="002E7C05"/>
    <w:rsid w:val="002F18ED"/>
    <w:rsid w:val="002F2628"/>
    <w:rsid w:val="002F277F"/>
    <w:rsid w:val="002F38B7"/>
    <w:rsid w:val="002F3DC5"/>
    <w:rsid w:val="002F4A37"/>
    <w:rsid w:val="002F536E"/>
    <w:rsid w:val="002F6967"/>
    <w:rsid w:val="002F6C5E"/>
    <w:rsid w:val="002F6CEF"/>
    <w:rsid w:val="002F6E28"/>
    <w:rsid w:val="00301F23"/>
    <w:rsid w:val="00303BD8"/>
    <w:rsid w:val="00304F97"/>
    <w:rsid w:val="003059AC"/>
    <w:rsid w:val="003069E3"/>
    <w:rsid w:val="00306A74"/>
    <w:rsid w:val="00307BAA"/>
    <w:rsid w:val="00307E92"/>
    <w:rsid w:val="0031005C"/>
    <w:rsid w:val="00310281"/>
    <w:rsid w:val="00311598"/>
    <w:rsid w:val="003117E6"/>
    <w:rsid w:val="00311ED0"/>
    <w:rsid w:val="00312291"/>
    <w:rsid w:val="0031338A"/>
    <w:rsid w:val="00314531"/>
    <w:rsid w:val="00314D43"/>
    <w:rsid w:val="00315A22"/>
    <w:rsid w:val="00316F1D"/>
    <w:rsid w:val="003202B8"/>
    <w:rsid w:val="003206CC"/>
    <w:rsid w:val="00320EEA"/>
    <w:rsid w:val="003212FE"/>
    <w:rsid w:val="00321889"/>
    <w:rsid w:val="003219E7"/>
    <w:rsid w:val="00321CB4"/>
    <w:rsid w:val="00321D5C"/>
    <w:rsid w:val="0032260B"/>
    <w:rsid w:val="003228B8"/>
    <w:rsid w:val="003229BC"/>
    <w:rsid w:val="00322FF7"/>
    <w:rsid w:val="003240A0"/>
    <w:rsid w:val="00324251"/>
    <w:rsid w:val="00324D00"/>
    <w:rsid w:val="0032556A"/>
    <w:rsid w:val="00326BFA"/>
    <w:rsid w:val="00327E58"/>
    <w:rsid w:val="0033055C"/>
    <w:rsid w:val="00330F65"/>
    <w:rsid w:val="00331239"/>
    <w:rsid w:val="003314B6"/>
    <w:rsid w:val="0033255E"/>
    <w:rsid w:val="00332AFE"/>
    <w:rsid w:val="0033425B"/>
    <w:rsid w:val="0033453D"/>
    <w:rsid w:val="00334B03"/>
    <w:rsid w:val="00334BE1"/>
    <w:rsid w:val="00334EED"/>
    <w:rsid w:val="00334FAB"/>
    <w:rsid w:val="00335863"/>
    <w:rsid w:val="00337526"/>
    <w:rsid w:val="00337F49"/>
    <w:rsid w:val="0034042A"/>
    <w:rsid w:val="0034156E"/>
    <w:rsid w:val="0034175B"/>
    <w:rsid w:val="00342D3A"/>
    <w:rsid w:val="00343421"/>
    <w:rsid w:val="003438C5"/>
    <w:rsid w:val="00343E9D"/>
    <w:rsid w:val="0034491D"/>
    <w:rsid w:val="003457FD"/>
    <w:rsid w:val="00346889"/>
    <w:rsid w:val="00350328"/>
    <w:rsid w:val="00353C11"/>
    <w:rsid w:val="0035459F"/>
    <w:rsid w:val="00354AB8"/>
    <w:rsid w:val="00354EF0"/>
    <w:rsid w:val="003553F8"/>
    <w:rsid w:val="00355A1B"/>
    <w:rsid w:val="00355FE0"/>
    <w:rsid w:val="003578CA"/>
    <w:rsid w:val="003602C1"/>
    <w:rsid w:val="00360E3B"/>
    <w:rsid w:val="003617A7"/>
    <w:rsid w:val="00362506"/>
    <w:rsid w:val="00362B3E"/>
    <w:rsid w:val="003630A5"/>
    <w:rsid w:val="00363BC8"/>
    <w:rsid w:val="003642D6"/>
    <w:rsid w:val="003647BE"/>
    <w:rsid w:val="003648C5"/>
    <w:rsid w:val="00364EBF"/>
    <w:rsid w:val="00365979"/>
    <w:rsid w:val="003659BC"/>
    <w:rsid w:val="00365F76"/>
    <w:rsid w:val="00366EB6"/>
    <w:rsid w:val="00370F40"/>
    <w:rsid w:val="003722FA"/>
    <w:rsid w:val="00372E03"/>
    <w:rsid w:val="00372F73"/>
    <w:rsid w:val="00373532"/>
    <w:rsid w:val="00374CA9"/>
    <w:rsid w:val="00375239"/>
    <w:rsid w:val="00375529"/>
    <w:rsid w:val="00377A74"/>
    <w:rsid w:val="00380271"/>
    <w:rsid w:val="00380957"/>
    <w:rsid w:val="00381970"/>
    <w:rsid w:val="003842D2"/>
    <w:rsid w:val="0038435C"/>
    <w:rsid w:val="00385699"/>
    <w:rsid w:val="003859D2"/>
    <w:rsid w:val="00385C47"/>
    <w:rsid w:val="00385FB0"/>
    <w:rsid w:val="00386999"/>
    <w:rsid w:val="00387B28"/>
    <w:rsid w:val="00387E95"/>
    <w:rsid w:val="00387FB6"/>
    <w:rsid w:val="00390419"/>
    <w:rsid w:val="0039155B"/>
    <w:rsid w:val="00392763"/>
    <w:rsid w:val="00392A6E"/>
    <w:rsid w:val="00393065"/>
    <w:rsid w:val="00393C1A"/>
    <w:rsid w:val="00394FAA"/>
    <w:rsid w:val="003959B8"/>
    <w:rsid w:val="00395CFF"/>
    <w:rsid w:val="003966B1"/>
    <w:rsid w:val="0039765D"/>
    <w:rsid w:val="00397DAD"/>
    <w:rsid w:val="003A16B7"/>
    <w:rsid w:val="003A1A82"/>
    <w:rsid w:val="003A201C"/>
    <w:rsid w:val="003A2143"/>
    <w:rsid w:val="003A251D"/>
    <w:rsid w:val="003A26E8"/>
    <w:rsid w:val="003A456B"/>
    <w:rsid w:val="003A4AC3"/>
    <w:rsid w:val="003A4B3B"/>
    <w:rsid w:val="003A50CB"/>
    <w:rsid w:val="003A571D"/>
    <w:rsid w:val="003A69C4"/>
    <w:rsid w:val="003A6F49"/>
    <w:rsid w:val="003A73F4"/>
    <w:rsid w:val="003B0560"/>
    <w:rsid w:val="003B05B0"/>
    <w:rsid w:val="003B0960"/>
    <w:rsid w:val="003B0AB0"/>
    <w:rsid w:val="003B0AEC"/>
    <w:rsid w:val="003B0D6D"/>
    <w:rsid w:val="003B0F37"/>
    <w:rsid w:val="003B0F59"/>
    <w:rsid w:val="003B189D"/>
    <w:rsid w:val="003B38F4"/>
    <w:rsid w:val="003B3FFC"/>
    <w:rsid w:val="003B5A09"/>
    <w:rsid w:val="003B6109"/>
    <w:rsid w:val="003B6381"/>
    <w:rsid w:val="003B648F"/>
    <w:rsid w:val="003B6516"/>
    <w:rsid w:val="003C08C9"/>
    <w:rsid w:val="003C11B8"/>
    <w:rsid w:val="003C17AB"/>
    <w:rsid w:val="003C1B09"/>
    <w:rsid w:val="003C2635"/>
    <w:rsid w:val="003C2A4E"/>
    <w:rsid w:val="003C47F7"/>
    <w:rsid w:val="003C5341"/>
    <w:rsid w:val="003C5719"/>
    <w:rsid w:val="003C5D6A"/>
    <w:rsid w:val="003C720A"/>
    <w:rsid w:val="003C7628"/>
    <w:rsid w:val="003C7AAF"/>
    <w:rsid w:val="003D00E7"/>
    <w:rsid w:val="003D0C2B"/>
    <w:rsid w:val="003D2181"/>
    <w:rsid w:val="003D2FA0"/>
    <w:rsid w:val="003D33D8"/>
    <w:rsid w:val="003D3AEE"/>
    <w:rsid w:val="003D43E6"/>
    <w:rsid w:val="003D4453"/>
    <w:rsid w:val="003D55B4"/>
    <w:rsid w:val="003D686B"/>
    <w:rsid w:val="003D6DFD"/>
    <w:rsid w:val="003D7419"/>
    <w:rsid w:val="003E01DF"/>
    <w:rsid w:val="003E0802"/>
    <w:rsid w:val="003E24EB"/>
    <w:rsid w:val="003E29F1"/>
    <w:rsid w:val="003E2BC7"/>
    <w:rsid w:val="003E3389"/>
    <w:rsid w:val="003E396F"/>
    <w:rsid w:val="003E3E0F"/>
    <w:rsid w:val="003E41BD"/>
    <w:rsid w:val="003E5A25"/>
    <w:rsid w:val="003E676F"/>
    <w:rsid w:val="003E7B31"/>
    <w:rsid w:val="003E7E70"/>
    <w:rsid w:val="003F0A04"/>
    <w:rsid w:val="003F0BA9"/>
    <w:rsid w:val="003F11F7"/>
    <w:rsid w:val="003F1C1C"/>
    <w:rsid w:val="003F2136"/>
    <w:rsid w:val="003F2922"/>
    <w:rsid w:val="003F4060"/>
    <w:rsid w:val="003F4BBB"/>
    <w:rsid w:val="003F5EF3"/>
    <w:rsid w:val="003F7DA2"/>
    <w:rsid w:val="00401782"/>
    <w:rsid w:val="00401B26"/>
    <w:rsid w:val="00402301"/>
    <w:rsid w:val="00402651"/>
    <w:rsid w:val="00403EA8"/>
    <w:rsid w:val="00404A81"/>
    <w:rsid w:val="00405675"/>
    <w:rsid w:val="0040576F"/>
    <w:rsid w:val="004060EC"/>
    <w:rsid w:val="00406258"/>
    <w:rsid w:val="004069F9"/>
    <w:rsid w:val="004075B6"/>
    <w:rsid w:val="00407DBA"/>
    <w:rsid w:val="00410330"/>
    <w:rsid w:val="004103CC"/>
    <w:rsid w:val="004118BC"/>
    <w:rsid w:val="00411CF9"/>
    <w:rsid w:val="004120F0"/>
    <w:rsid w:val="00412BB4"/>
    <w:rsid w:val="00412CD7"/>
    <w:rsid w:val="00414319"/>
    <w:rsid w:val="00414C95"/>
    <w:rsid w:val="004151DB"/>
    <w:rsid w:val="0041598D"/>
    <w:rsid w:val="00415E44"/>
    <w:rsid w:val="0041618D"/>
    <w:rsid w:val="004168EE"/>
    <w:rsid w:val="004202E8"/>
    <w:rsid w:val="00420692"/>
    <w:rsid w:val="004207C4"/>
    <w:rsid w:val="00420952"/>
    <w:rsid w:val="00420954"/>
    <w:rsid w:val="0042142D"/>
    <w:rsid w:val="004216D0"/>
    <w:rsid w:val="004226A9"/>
    <w:rsid w:val="00423065"/>
    <w:rsid w:val="004231C9"/>
    <w:rsid w:val="00423FC7"/>
    <w:rsid w:val="00424F37"/>
    <w:rsid w:val="004255ED"/>
    <w:rsid w:val="00427251"/>
    <w:rsid w:val="00427881"/>
    <w:rsid w:val="00431287"/>
    <w:rsid w:val="00431588"/>
    <w:rsid w:val="004329D2"/>
    <w:rsid w:val="004333D3"/>
    <w:rsid w:val="00433C32"/>
    <w:rsid w:val="00434514"/>
    <w:rsid w:val="004351F4"/>
    <w:rsid w:val="00435581"/>
    <w:rsid w:val="0043603E"/>
    <w:rsid w:val="004366D1"/>
    <w:rsid w:val="00436724"/>
    <w:rsid w:val="004367A0"/>
    <w:rsid w:val="0043696D"/>
    <w:rsid w:val="00437117"/>
    <w:rsid w:val="004407D1"/>
    <w:rsid w:val="00440B27"/>
    <w:rsid w:val="004415E7"/>
    <w:rsid w:val="004418DE"/>
    <w:rsid w:val="00442ACC"/>
    <w:rsid w:val="00443B99"/>
    <w:rsid w:val="004450DA"/>
    <w:rsid w:val="00445E85"/>
    <w:rsid w:val="00446BEE"/>
    <w:rsid w:val="004471BD"/>
    <w:rsid w:val="00447A09"/>
    <w:rsid w:val="00447B5F"/>
    <w:rsid w:val="00447D86"/>
    <w:rsid w:val="00450648"/>
    <w:rsid w:val="00450750"/>
    <w:rsid w:val="00450E91"/>
    <w:rsid w:val="00450F9E"/>
    <w:rsid w:val="004520E9"/>
    <w:rsid w:val="00452330"/>
    <w:rsid w:val="00452F0F"/>
    <w:rsid w:val="004532D9"/>
    <w:rsid w:val="00453820"/>
    <w:rsid w:val="004539A0"/>
    <w:rsid w:val="00453B80"/>
    <w:rsid w:val="00454140"/>
    <w:rsid w:val="004543B5"/>
    <w:rsid w:val="004560A9"/>
    <w:rsid w:val="0045641A"/>
    <w:rsid w:val="0045776D"/>
    <w:rsid w:val="00457F09"/>
    <w:rsid w:val="00460004"/>
    <w:rsid w:val="00460587"/>
    <w:rsid w:val="004605EB"/>
    <w:rsid w:val="00460DA1"/>
    <w:rsid w:val="00461347"/>
    <w:rsid w:val="00462048"/>
    <w:rsid w:val="00462281"/>
    <w:rsid w:val="00462321"/>
    <w:rsid w:val="00463342"/>
    <w:rsid w:val="004637D7"/>
    <w:rsid w:val="00463A8E"/>
    <w:rsid w:val="004641C6"/>
    <w:rsid w:val="00464280"/>
    <w:rsid w:val="00464455"/>
    <w:rsid w:val="004645FB"/>
    <w:rsid w:val="00464BFC"/>
    <w:rsid w:val="00465351"/>
    <w:rsid w:val="00465A50"/>
    <w:rsid w:val="0046684D"/>
    <w:rsid w:val="004703CE"/>
    <w:rsid w:val="0047117C"/>
    <w:rsid w:val="0047125D"/>
    <w:rsid w:val="004715F7"/>
    <w:rsid w:val="00471A75"/>
    <w:rsid w:val="004723C6"/>
    <w:rsid w:val="00472F68"/>
    <w:rsid w:val="0047391F"/>
    <w:rsid w:val="00473A75"/>
    <w:rsid w:val="00475AE0"/>
    <w:rsid w:val="00476656"/>
    <w:rsid w:val="00476840"/>
    <w:rsid w:val="00477739"/>
    <w:rsid w:val="00481032"/>
    <w:rsid w:val="0048188C"/>
    <w:rsid w:val="00483962"/>
    <w:rsid w:val="0048566F"/>
    <w:rsid w:val="00485CE9"/>
    <w:rsid w:val="00486D62"/>
    <w:rsid w:val="00490CDE"/>
    <w:rsid w:val="004925E7"/>
    <w:rsid w:val="0049273B"/>
    <w:rsid w:val="00492D2A"/>
    <w:rsid w:val="00493500"/>
    <w:rsid w:val="004939F3"/>
    <w:rsid w:val="00493BA4"/>
    <w:rsid w:val="004945E7"/>
    <w:rsid w:val="00495BE7"/>
    <w:rsid w:val="00495E65"/>
    <w:rsid w:val="00496DB9"/>
    <w:rsid w:val="0049739E"/>
    <w:rsid w:val="004A0383"/>
    <w:rsid w:val="004A0740"/>
    <w:rsid w:val="004A078E"/>
    <w:rsid w:val="004A148B"/>
    <w:rsid w:val="004A15ED"/>
    <w:rsid w:val="004A1707"/>
    <w:rsid w:val="004A17C0"/>
    <w:rsid w:val="004A2313"/>
    <w:rsid w:val="004A3087"/>
    <w:rsid w:val="004A3F96"/>
    <w:rsid w:val="004A6500"/>
    <w:rsid w:val="004A6B65"/>
    <w:rsid w:val="004A6E9D"/>
    <w:rsid w:val="004A78AB"/>
    <w:rsid w:val="004A7980"/>
    <w:rsid w:val="004B2035"/>
    <w:rsid w:val="004B3060"/>
    <w:rsid w:val="004B346E"/>
    <w:rsid w:val="004B3ECF"/>
    <w:rsid w:val="004B3F2D"/>
    <w:rsid w:val="004B4314"/>
    <w:rsid w:val="004B65B8"/>
    <w:rsid w:val="004B6F54"/>
    <w:rsid w:val="004B7293"/>
    <w:rsid w:val="004C22BD"/>
    <w:rsid w:val="004C34A7"/>
    <w:rsid w:val="004C41F2"/>
    <w:rsid w:val="004C4661"/>
    <w:rsid w:val="004C57B4"/>
    <w:rsid w:val="004C5BB2"/>
    <w:rsid w:val="004C6440"/>
    <w:rsid w:val="004C6639"/>
    <w:rsid w:val="004C771B"/>
    <w:rsid w:val="004C782E"/>
    <w:rsid w:val="004C783A"/>
    <w:rsid w:val="004D169E"/>
    <w:rsid w:val="004D250F"/>
    <w:rsid w:val="004D357A"/>
    <w:rsid w:val="004D4308"/>
    <w:rsid w:val="004D6EAE"/>
    <w:rsid w:val="004D78C9"/>
    <w:rsid w:val="004E00CA"/>
    <w:rsid w:val="004E0889"/>
    <w:rsid w:val="004E2D90"/>
    <w:rsid w:val="004E3752"/>
    <w:rsid w:val="004E38B4"/>
    <w:rsid w:val="004E3D3C"/>
    <w:rsid w:val="004E4F0B"/>
    <w:rsid w:val="004E5407"/>
    <w:rsid w:val="004E5448"/>
    <w:rsid w:val="004E5779"/>
    <w:rsid w:val="004E634C"/>
    <w:rsid w:val="004E64FA"/>
    <w:rsid w:val="004E725B"/>
    <w:rsid w:val="004E7368"/>
    <w:rsid w:val="004E7D04"/>
    <w:rsid w:val="004F2610"/>
    <w:rsid w:val="004F2BE9"/>
    <w:rsid w:val="004F3300"/>
    <w:rsid w:val="004F3B8B"/>
    <w:rsid w:val="004F3FAE"/>
    <w:rsid w:val="004F45D2"/>
    <w:rsid w:val="004F4ABD"/>
    <w:rsid w:val="004F706F"/>
    <w:rsid w:val="004F7640"/>
    <w:rsid w:val="004F7E7B"/>
    <w:rsid w:val="0050165D"/>
    <w:rsid w:val="005025A1"/>
    <w:rsid w:val="00502B81"/>
    <w:rsid w:val="00503054"/>
    <w:rsid w:val="00503FE4"/>
    <w:rsid w:val="00504FDE"/>
    <w:rsid w:val="00505FE3"/>
    <w:rsid w:val="00506136"/>
    <w:rsid w:val="00506558"/>
    <w:rsid w:val="00506ED0"/>
    <w:rsid w:val="00507441"/>
    <w:rsid w:val="00510315"/>
    <w:rsid w:val="00510D7C"/>
    <w:rsid w:val="0051144B"/>
    <w:rsid w:val="0051178B"/>
    <w:rsid w:val="00512869"/>
    <w:rsid w:val="00512F5F"/>
    <w:rsid w:val="00513BF6"/>
    <w:rsid w:val="005144B2"/>
    <w:rsid w:val="005148B4"/>
    <w:rsid w:val="005156D5"/>
    <w:rsid w:val="00515CBA"/>
    <w:rsid w:val="00516B6E"/>
    <w:rsid w:val="00517090"/>
    <w:rsid w:val="00517ED3"/>
    <w:rsid w:val="0052108F"/>
    <w:rsid w:val="00522754"/>
    <w:rsid w:val="00522A1D"/>
    <w:rsid w:val="00522EB4"/>
    <w:rsid w:val="00523366"/>
    <w:rsid w:val="005239A0"/>
    <w:rsid w:val="00524068"/>
    <w:rsid w:val="00524160"/>
    <w:rsid w:val="005242D8"/>
    <w:rsid w:val="00524600"/>
    <w:rsid w:val="00525C9C"/>
    <w:rsid w:val="00525F2B"/>
    <w:rsid w:val="00526915"/>
    <w:rsid w:val="005273F4"/>
    <w:rsid w:val="005274E8"/>
    <w:rsid w:val="00530282"/>
    <w:rsid w:val="00530356"/>
    <w:rsid w:val="00530469"/>
    <w:rsid w:val="005305D9"/>
    <w:rsid w:val="00531421"/>
    <w:rsid w:val="0053154F"/>
    <w:rsid w:val="00532410"/>
    <w:rsid w:val="00532C45"/>
    <w:rsid w:val="005340CF"/>
    <w:rsid w:val="00534E6B"/>
    <w:rsid w:val="00534FC2"/>
    <w:rsid w:val="005355D1"/>
    <w:rsid w:val="005357A2"/>
    <w:rsid w:val="00535C42"/>
    <w:rsid w:val="005362A5"/>
    <w:rsid w:val="0053634E"/>
    <w:rsid w:val="00536531"/>
    <w:rsid w:val="00536E81"/>
    <w:rsid w:val="00537F5D"/>
    <w:rsid w:val="00540D5E"/>
    <w:rsid w:val="00541927"/>
    <w:rsid w:val="00543CC7"/>
    <w:rsid w:val="0054592A"/>
    <w:rsid w:val="00551060"/>
    <w:rsid w:val="0055170D"/>
    <w:rsid w:val="00551B69"/>
    <w:rsid w:val="00551C4D"/>
    <w:rsid w:val="005532D7"/>
    <w:rsid w:val="00553774"/>
    <w:rsid w:val="00553F51"/>
    <w:rsid w:val="0055474F"/>
    <w:rsid w:val="005551F0"/>
    <w:rsid w:val="0055552E"/>
    <w:rsid w:val="0055567F"/>
    <w:rsid w:val="005563C8"/>
    <w:rsid w:val="00556433"/>
    <w:rsid w:val="00556B4C"/>
    <w:rsid w:val="00556DC2"/>
    <w:rsid w:val="00556E4F"/>
    <w:rsid w:val="0055726D"/>
    <w:rsid w:val="00560605"/>
    <w:rsid w:val="0056063F"/>
    <w:rsid w:val="0056092F"/>
    <w:rsid w:val="00560C60"/>
    <w:rsid w:val="00561BF1"/>
    <w:rsid w:val="00564F1B"/>
    <w:rsid w:val="00565719"/>
    <w:rsid w:val="00565F4A"/>
    <w:rsid w:val="005667B4"/>
    <w:rsid w:val="00566C6C"/>
    <w:rsid w:val="00567B84"/>
    <w:rsid w:val="00567C52"/>
    <w:rsid w:val="00567C7F"/>
    <w:rsid w:val="00567FB2"/>
    <w:rsid w:val="00570790"/>
    <w:rsid w:val="00570842"/>
    <w:rsid w:val="00570BA2"/>
    <w:rsid w:val="005716CC"/>
    <w:rsid w:val="00571DDD"/>
    <w:rsid w:val="005724B4"/>
    <w:rsid w:val="005726F2"/>
    <w:rsid w:val="00572E84"/>
    <w:rsid w:val="00575CD3"/>
    <w:rsid w:val="00576417"/>
    <w:rsid w:val="00576AFA"/>
    <w:rsid w:val="005771E5"/>
    <w:rsid w:val="00577BE5"/>
    <w:rsid w:val="00581585"/>
    <w:rsid w:val="00581DC8"/>
    <w:rsid w:val="00582188"/>
    <w:rsid w:val="005823D6"/>
    <w:rsid w:val="00583168"/>
    <w:rsid w:val="00584373"/>
    <w:rsid w:val="005855E5"/>
    <w:rsid w:val="0058618B"/>
    <w:rsid w:val="005866AF"/>
    <w:rsid w:val="00586854"/>
    <w:rsid w:val="00591435"/>
    <w:rsid w:val="00591842"/>
    <w:rsid w:val="00591A17"/>
    <w:rsid w:val="005929C5"/>
    <w:rsid w:val="00594208"/>
    <w:rsid w:val="00594C3A"/>
    <w:rsid w:val="00594E49"/>
    <w:rsid w:val="00595068"/>
    <w:rsid w:val="00595A2E"/>
    <w:rsid w:val="00595EB7"/>
    <w:rsid w:val="00596178"/>
    <w:rsid w:val="00596646"/>
    <w:rsid w:val="00596AB2"/>
    <w:rsid w:val="00597B77"/>
    <w:rsid w:val="005A02D5"/>
    <w:rsid w:val="005A0B5D"/>
    <w:rsid w:val="005A153D"/>
    <w:rsid w:val="005A15B3"/>
    <w:rsid w:val="005A1B45"/>
    <w:rsid w:val="005A25F6"/>
    <w:rsid w:val="005A26FC"/>
    <w:rsid w:val="005A2BB0"/>
    <w:rsid w:val="005A2C84"/>
    <w:rsid w:val="005A40C6"/>
    <w:rsid w:val="005A417F"/>
    <w:rsid w:val="005A454C"/>
    <w:rsid w:val="005A49F0"/>
    <w:rsid w:val="005A4DB9"/>
    <w:rsid w:val="005A6C1F"/>
    <w:rsid w:val="005A77B1"/>
    <w:rsid w:val="005B076A"/>
    <w:rsid w:val="005B088E"/>
    <w:rsid w:val="005B1EAF"/>
    <w:rsid w:val="005B2C4F"/>
    <w:rsid w:val="005B445C"/>
    <w:rsid w:val="005B4533"/>
    <w:rsid w:val="005B4570"/>
    <w:rsid w:val="005B4908"/>
    <w:rsid w:val="005B4F72"/>
    <w:rsid w:val="005B7561"/>
    <w:rsid w:val="005B75E9"/>
    <w:rsid w:val="005B769E"/>
    <w:rsid w:val="005BB16C"/>
    <w:rsid w:val="005C1452"/>
    <w:rsid w:val="005C2CB0"/>
    <w:rsid w:val="005C3752"/>
    <w:rsid w:val="005C47E8"/>
    <w:rsid w:val="005C4DC0"/>
    <w:rsid w:val="005C68E3"/>
    <w:rsid w:val="005C6DF3"/>
    <w:rsid w:val="005C7224"/>
    <w:rsid w:val="005C7382"/>
    <w:rsid w:val="005C7741"/>
    <w:rsid w:val="005C789F"/>
    <w:rsid w:val="005D0EA2"/>
    <w:rsid w:val="005D10EE"/>
    <w:rsid w:val="005D188D"/>
    <w:rsid w:val="005D18C8"/>
    <w:rsid w:val="005D30B5"/>
    <w:rsid w:val="005D3A00"/>
    <w:rsid w:val="005D405C"/>
    <w:rsid w:val="005D41BB"/>
    <w:rsid w:val="005D446C"/>
    <w:rsid w:val="005D471E"/>
    <w:rsid w:val="005D4F09"/>
    <w:rsid w:val="005D5220"/>
    <w:rsid w:val="005D52D0"/>
    <w:rsid w:val="005D5B24"/>
    <w:rsid w:val="005D5D14"/>
    <w:rsid w:val="005D5DF8"/>
    <w:rsid w:val="005D623D"/>
    <w:rsid w:val="005D63C7"/>
    <w:rsid w:val="005D681C"/>
    <w:rsid w:val="005D7187"/>
    <w:rsid w:val="005D7541"/>
    <w:rsid w:val="005D7AE1"/>
    <w:rsid w:val="005E021A"/>
    <w:rsid w:val="005E1818"/>
    <w:rsid w:val="005E2EB1"/>
    <w:rsid w:val="005E3A0A"/>
    <w:rsid w:val="005E500D"/>
    <w:rsid w:val="005E51AF"/>
    <w:rsid w:val="005E5517"/>
    <w:rsid w:val="005E59EF"/>
    <w:rsid w:val="005E6AE2"/>
    <w:rsid w:val="005F02E4"/>
    <w:rsid w:val="005F048B"/>
    <w:rsid w:val="005F0957"/>
    <w:rsid w:val="005F1AD5"/>
    <w:rsid w:val="005F2EF0"/>
    <w:rsid w:val="005F3776"/>
    <w:rsid w:val="005F51F9"/>
    <w:rsid w:val="005F678D"/>
    <w:rsid w:val="005F7000"/>
    <w:rsid w:val="005F7417"/>
    <w:rsid w:val="005F7EEF"/>
    <w:rsid w:val="0060077B"/>
    <w:rsid w:val="0060190A"/>
    <w:rsid w:val="0060219F"/>
    <w:rsid w:val="006028DF"/>
    <w:rsid w:val="00602D73"/>
    <w:rsid w:val="006032E0"/>
    <w:rsid w:val="0060355C"/>
    <w:rsid w:val="0060363B"/>
    <w:rsid w:val="006048D7"/>
    <w:rsid w:val="00604B8C"/>
    <w:rsid w:val="00605899"/>
    <w:rsid w:val="00605BD2"/>
    <w:rsid w:val="00605C45"/>
    <w:rsid w:val="00606635"/>
    <w:rsid w:val="006067C6"/>
    <w:rsid w:val="0060773B"/>
    <w:rsid w:val="00610589"/>
    <w:rsid w:val="006117A6"/>
    <w:rsid w:val="00612B18"/>
    <w:rsid w:val="00612D1E"/>
    <w:rsid w:val="00613121"/>
    <w:rsid w:val="00613301"/>
    <w:rsid w:val="0061330B"/>
    <w:rsid w:val="00613A9E"/>
    <w:rsid w:val="006143B9"/>
    <w:rsid w:val="00614B2B"/>
    <w:rsid w:val="006151C3"/>
    <w:rsid w:val="00615FEB"/>
    <w:rsid w:val="0062015E"/>
    <w:rsid w:val="00620A17"/>
    <w:rsid w:val="00621968"/>
    <w:rsid w:val="006219E5"/>
    <w:rsid w:val="00621F9C"/>
    <w:rsid w:val="0062220D"/>
    <w:rsid w:val="00622439"/>
    <w:rsid w:val="0062279B"/>
    <w:rsid w:val="0062347F"/>
    <w:rsid w:val="00623DAF"/>
    <w:rsid w:val="00624140"/>
    <w:rsid w:val="00625874"/>
    <w:rsid w:val="00625C70"/>
    <w:rsid w:val="0062645D"/>
    <w:rsid w:val="006274C7"/>
    <w:rsid w:val="006275FD"/>
    <w:rsid w:val="00627F37"/>
    <w:rsid w:val="006305AF"/>
    <w:rsid w:val="00630D88"/>
    <w:rsid w:val="006312C5"/>
    <w:rsid w:val="006321F0"/>
    <w:rsid w:val="00634849"/>
    <w:rsid w:val="006355B6"/>
    <w:rsid w:val="00635721"/>
    <w:rsid w:val="00635B31"/>
    <w:rsid w:val="00637EAB"/>
    <w:rsid w:val="00640924"/>
    <w:rsid w:val="00640F56"/>
    <w:rsid w:val="00641954"/>
    <w:rsid w:val="00642002"/>
    <w:rsid w:val="006426FB"/>
    <w:rsid w:val="00642B86"/>
    <w:rsid w:val="00642D11"/>
    <w:rsid w:val="00643C91"/>
    <w:rsid w:val="00644203"/>
    <w:rsid w:val="006442B6"/>
    <w:rsid w:val="00644742"/>
    <w:rsid w:val="00644DD3"/>
    <w:rsid w:val="00644F2C"/>
    <w:rsid w:val="00645116"/>
    <w:rsid w:val="00645649"/>
    <w:rsid w:val="00647336"/>
    <w:rsid w:val="00647626"/>
    <w:rsid w:val="006502E8"/>
    <w:rsid w:val="00652018"/>
    <w:rsid w:val="006521AF"/>
    <w:rsid w:val="006522A4"/>
    <w:rsid w:val="00652877"/>
    <w:rsid w:val="00653C19"/>
    <w:rsid w:val="00655431"/>
    <w:rsid w:val="00656216"/>
    <w:rsid w:val="0065624D"/>
    <w:rsid w:val="00656B13"/>
    <w:rsid w:val="0065727F"/>
    <w:rsid w:val="006579D7"/>
    <w:rsid w:val="00657C9A"/>
    <w:rsid w:val="0066030E"/>
    <w:rsid w:val="00660885"/>
    <w:rsid w:val="00661411"/>
    <w:rsid w:val="0066246B"/>
    <w:rsid w:val="00664EA3"/>
    <w:rsid w:val="006652A5"/>
    <w:rsid w:val="00665D20"/>
    <w:rsid w:val="00667600"/>
    <w:rsid w:val="006709A9"/>
    <w:rsid w:val="00671FA3"/>
    <w:rsid w:val="00672DDD"/>
    <w:rsid w:val="00673943"/>
    <w:rsid w:val="00673C4A"/>
    <w:rsid w:val="00674D52"/>
    <w:rsid w:val="00674F18"/>
    <w:rsid w:val="0067586D"/>
    <w:rsid w:val="006759DB"/>
    <w:rsid w:val="00675AFE"/>
    <w:rsid w:val="00676181"/>
    <w:rsid w:val="00676E7F"/>
    <w:rsid w:val="00677708"/>
    <w:rsid w:val="00677E10"/>
    <w:rsid w:val="006802A7"/>
    <w:rsid w:val="00680764"/>
    <w:rsid w:val="00680817"/>
    <w:rsid w:val="00681D93"/>
    <w:rsid w:val="0068209E"/>
    <w:rsid w:val="006831F1"/>
    <w:rsid w:val="006848EE"/>
    <w:rsid w:val="00684CE4"/>
    <w:rsid w:val="00684E41"/>
    <w:rsid w:val="00686E86"/>
    <w:rsid w:val="00687326"/>
    <w:rsid w:val="00690139"/>
    <w:rsid w:val="00690AC0"/>
    <w:rsid w:val="00690F63"/>
    <w:rsid w:val="00691098"/>
    <w:rsid w:val="00691E8B"/>
    <w:rsid w:val="00691F81"/>
    <w:rsid w:val="006921E1"/>
    <w:rsid w:val="00692A2A"/>
    <w:rsid w:val="0069327B"/>
    <w:rsid w:val="00693BE6"/>
    <w:rsid w:val="006940BF"/>
    <w:rsid w:val="006943E7"/>
    <w:rsid w:val="00694B53"/>
    <w:rsid w:val="00694F99"/>
    <w:rsid w:val="00695D27"/>
    <w:rsid w:val="0069610A"/>
    <w:rsid w:val="006963A4"/>
    <w:rsid w:val="0069668E"/>
    <w:rsid w:val="00696C0A"/>
    <w:rsid w:val="006970B7"/>
    <w:rsid w:val="006A0213"/>
    <w:rsid w:val="006A0B0B"/>
    <w:rsid w:val="006A0B5D"/>
    <w:rsid w:val="006A1046"/>
    <w:rsid w:val="006A1F54"/>
    <w:rsid w:val="006A28FB"/>
    <w:rsid w:val="006A2FEA"/>
    <w:rsid w:val="006A30A4"/>
    <w:rsid w:val="006A3ADD"/>
    <w:rsid w:val="006A3B07"/>
    <w:rsid w:val="006A4AC1"/>
    <w:rsid w:val="006A4D1F"/>
    <w:rsid w:val="006A594A"/>
    <w:rsid w:val="006A6FD3"/>
    <w:rsid w:val="006A77C0"/>
    <w:rsid w:val="006B01D0"/>
    <w:rsid w:val="006B0253"/>
    <w:rsid w:val="006B095D"/>
    <w:rsid w:val="006B2186"/>
    <w:rsid w:val="006B3725"/>
    <w:rsid w:val="006B37A2"/>
    <w:rsid w:val="006B6179"/>
    <w:rsid w:val="006B636C"/>
    <w:rsid w:val="006B6BDC"/>
    <w:rsid w:val="006B7565"/>
    <w:rsid w:val="006B7A96"/>
    <w:rsid w:val="006C03EC"/>
    <w:rsid w:val="006C0D1E"/>
    <w:rsid w:val="006C1D3C"/>
    <w:rsid w:val="006C2F4B"/>
    <w:rsid w:val="006C3774"/>
    <w:rsid w:val="006C54EF"/>
    <w:rsid w:val="006C5771"/>
    <w:rsid w:val="006C57CA"/>
    <w:rsid w:val="006C64C8"/>
    <w:rsid w:val="006C65DC"/>
    <w:rsid w:val="006C7C56"/>
    <w:rsid w:val="006D03A2"/>
    <w:rsid w:val="006D03D5"/>
    <w:rsid w:val="006D0E76"/>
    <w:rsid w:val="006D17E0"/>
    <w:rsid w:val="006D1C15"/>
    <w:rsid w:val="006D1CF0"/>
    <w:rsid w:val="006D1E3B"/>
    <w:rsid w:val="006D2510"/>
    <w:rsid w:val="006D28F9"/>
    <w:rsid w:val="006D3116"/>
    <w:rsid w:val="006D5594"/>
    <w:rsid w:val="006D6036"/>
    <w:rsid w:val="006D7632"/>
    <w:rsid w:val="006E040F"/>
    <w:rsid w:val="006E0C4A"/>
    <w:rsid w:val="006E0E4B"/>
    <w:rsid w:val="006E3521"/>
    <w:rsid w:val="006E3817"/>
    <w:rsid w:val="006E3DB1"/>
    <w:rsid w:val="006E4996"/>
    <w:rsid w:val="006E5008"/>
    <w:rsid w:val="006E5F4C"/>
    <w:rsid w:val="006E6CF6"/>
    <w:rsid w:val="006E6D8B"/>
    <w:rsid w:val="006F007F"/>
    <w:rsid w:val="006F0E63"/>
    <w:rsid w:val="006F14AB"/>
    <w:rsid w:val="006F233D"/>
    <w:rsid w:val="006F2547"/>
    <w:rsid w:val="006F2AC8"/>
    <w:rsid w:val="006F2CC2"/>
    <w:rsid w:val="006F2DA2"/>
    <w:rsid w:val="006F3C5F"/>
    <w:rsid w:val="006F421D"/>
    <w:rsid w:val="006F4680"/>
    <w:rsid w:val="006F5B21"/>
    <w:rsid w:val="006F631C"/>
    <w:rsid w:val="006F6EF8"/>
    <w:rsid w:val="006F794B"/>
    <w:rsid w:val="006F7D60"/>
    <w:rsid w:val="006F7E1C"/>
    <w:rsid w:val="006F7F4F"/>
    <w:rsid w:val="007001A9"/>
    <w:rsid w:val="0070058E"/>
    <w:rsid w:val="00700DC6"/>
    <w:rsid w:val="00701DFC"/>
    <w:rsid w:val="007020AE"/>
    <w:rsid w:val="00702791"/>
    <w:rsid w:val="00703419"/>
    <w:rsid w:val="00703642"/>
    <w:rsid w:val="0070451D"/>
    <w:rsid w:val="0070457F"/>
    <w:rsid w:val="0070469A"/>
    <w:rsid w:val="007052D9"/>
    <w:rsid w:val="0070652E"/>
    <w:rsid w:val="00710CD3"/>
    <w:rsid w:val="00710F58"/>
    <w:rsid w:val="00711619"/>
    <w:rsid w:val="00712888"/>
    <w:rsid w:val="0071370F"/>
    <w:rsid w:val="00714C2E"/>
    <w:rsid w:val="0071632A"/>
    <w:rsid w:val="0071688F"/>
    <w:rsid w:val="00717C4B"/>
    <w:rsid w:val="00717CE2"/>
    <w:rsid w:val="00720145"/>
    <w:rsid w:val="00720414"/>
    <w:rsid w:val="00720588"/>
    <w:rsid w:val="00720FF7"/>
    <w:rsid w:val="00721FD3"/>
    <w:rsid w:val="0072208E"/>
    <w:rsid w:val="0072285F"/>
    <w:rsid w:val="00722C47"/>
    <w:rsid w:val="00723891"/>
    <w:rsid w:val="00723893"/>
    <w:rsid w:val="0072392A"/>
    <w:rsid w:val="00724527"/>
    <w:rsid w:val="007256B4"/>
    <w:rsid w:val="00725F95"/>
    <w:rsid w:val="007274C2"/>
    <w:rsid w:val="00727B4C"/>
    <w:rsid w:val="007301BD"/>
    <w:rsid w:val="00730E6A"/>
    <w:rsid w:val="00730EA3"/>
    <w:rsid w:val="007311BB"/>
    <w:rsid w:val="00731232"/>
    <w:rsid w:val="00731751"/>
    <w:rsid w:val="007335E8"/>
    <w:rsid w:val="00733BDD"/>
    <w:rsid w:val="00734BE4"/>
    <w:rsid w:val="00735337"/>
    <w:rsid w:val="00735A27"/>
    <w:rsid w:val="00736348"/>
    <w:rsid w:val="0073664C"/>
    <w:rsid w:val="00736A54"/>
    <w:rsid w:val="00736BF7"/>
    <w:rsid w:val="0073749C"/>
    <w:rsid w:val="00740969"/>
    <w:rsid w:val="00740D84"/>
    <w:rsid w:val="007419A5"/>
    <w:rsid w:val="00741EEB"/>
    <w:rsid w:val="007421FD"/>
    <w:rsid w:val="0074418E"/>
    <w:rsid w:val="007446B7"/>
    <w:rsid w:val="00744B40"/>
    <w:rsid w:val="007460E9"/>
    <w:rsid w:val="00746254"/>
    <w:rsid w:val="007470FC"/>
    <w:rsid w:val="00747407"/>
    <w:rsid w:val="0075007D"/>
    <w:rsid w:val="0075072A"/>
    <w:rsid w:val="007510A8"/>
    <w:rsid w:val="007518AC"/>
    <w:rsid w:val="0075201B"/>
    <w:rsid w:val="0075285D"/>
    <w:rsid w:val="0075403A"/>
    <w:rsid w:val="007542FA"/>
    <w:rsid w:val="00754601"/>
    <w:rsid w:val="00754689"/>
    <w:rsid w:val="00754C21"/>
    <w:rsid w:val="007552AB"/>
    <w:rsid w:val="00755F8A"/>
    <w:rsid w:val="007568BB"/>
    <w:rsid w:val="00760811"/>
    <w:rsid w:val="007609A5"/>
    <w:rsid w:val="00760E02"/>
    <w:rsid w:val="00761275"/>
    <w:rsid w:val="007616DA"/>
    <w:rsid w:val="00761E45"/>
    <w:rsid w:val="007622DB"/>
    <w:rsid w:val="007644C5"/>
    <w:rsid w:val="00765A72"/>
    <w:rsid w:val="007666C8"/>
    <w:rsid w:val="00766D6C"/>
    <w:rsid w:val="007673A0"/>
    <w:rsid w:val="0077053D"/>
    <w:rsid w:val="00771A4B"/>
    <w:rsid w:val="00772187"/>
    <w:rsid w:val="00773024"/>
    <w:rsid w:val="0077376B"/>
    <w:rsid w:val="00773995"/>
    <w:rsid w:val="00773EAC"/>
    <w:rsid w:val="00774924"/>
    <w:rsid w:val="00774B3A"/>
    <w:rsid w:val="00774DD2"/>
    <w:rsid w:val="007759E8"/>
    <w:rsid w:val="00775B29"/>
    <w:rsid w:val="0078173A"/>
    <w:rsid w:val="00781C41"/>
    <w:rsid w:val="007825EC"/>
    <w:rsid w:val="007829E5"/>
    <w:rsid w:val="007829FA"/>
    <w:rsid w:val="00783A4A"/>
    <w:rsid w:val="007848BB"/>
    <w:rsid w:val="00785089"/>
    <w:rsid w:val="007852CD"/>
    <w:rsid w:val="007860AC"/>
    <w:rsid w:val="00786316"/>
    <w:rsid w:val="0078670E"/>
    <w:rsid w:val="0078710E"/>
    <w:rsid w:val="00787388"/>
    <w:rsid w:val="0079160F"/>
    <w:rsid w:val="007919A9"/>
    <w:rsid w:val="00791C68"/>
    <w:rsid w:val="00791D2E"/>
    <w:rsid w:val="007921E9"/>
    <w:rsid w:val="00792BFC"/>
    <w:rsid w:val="00793996"/>
    <w:rsid w:val="00793A1F"/>
    <w:rsid w:val="00794705"/>
    <w:rsid w:val="00797143"/>
    <w:rsid w:val="00797EA6"/>
    <w:rsid w:val="007A0ADA"/>
    <w:rsid w:val="007A1133"/>
    <w:rsid w:val="007A1394"/>
    <w:rsid w:val="007A1BE0"/>
    <w:rsid w:val="007A1E30"/>
    <w:rsid w:val="007A2585"/>
    <w:rsid w:val="007A281D"/>
    <w:rsid w:val="007A3550"/>
    <w:rsid w:val="007A3D4D"/>
    <w:rsid w:val="007A3E7D"/>
    <w:rsid w:val="007A468A"/>
    <w:rsid w:val="007A4CE5"/>
    <w:rsid w:val="007A5723"/>
    <w:rsid w:val="007A7100"/>
    <w:rsid w:val="007A74BE"/>
    <w:rsid w:val="007A7A0A"/>
    <w:rsid w:val="007A7D6E"/>
    <w:rsid w:val="007B0268"/>
    <w:rsid w:val="007B1148"/>
    <w:rsid w:val="007B1A78"/>
    <w:rsid w:val="007B1B3C"/>
    <w:rsid w:val="007B2342"/>
    <w:rsid w:val="007B24C4"/>
    <w:rsid w:val="007B278B"/>
    <w:rsid w:val="007B2A12"/>
    <w:rsid w:val="007B2EED"/>
    <w:rsid w:val="007B31C8"/>
    <w:rsid w:val="007B340D"/>
    <w:rsid w:val="007B44B4"/>
    <w:rsid w:val="007B4817"/>
    <w:rsid w:val="007B4AE5"/>
    <w:rsid w:val="007B4D28"/>
    <w:rsid w:val="007B4D7F"/>
    <w:rsid w:val="007B6417"/>
    <w:rsid w:val="007C08E4"/>
    <w:rsid w:val="007C1407"/>
    <w:rsid w:val="007C1686"/>
    <w:rsid w:val="007C1DFE"/>
    <w:rsid w:val="007C2F9A"/>
    <w:rsid w:val="007C336E"/>
    <w:rsid w:val="007C4082"/>
    <w:rsid w:val="007C53E7"/>
    <w:rsid w:val="007C6C80"/>
    <w:rsid w:val="007C7220"/>
    <w:rsid w:val="007C7390"/>
    <w:rsid w:val="007C7719"/>
    <w:rsid w:val="007D07F7"/>
    <w:rsid w:val="007D0961"/>
    <w:rsid w:val="007D24E6"/>
    <w:rsid w:val="007D299F"/>
    <w:rsid w:val="007D32C1"/>
    <w:rsid w:val="007D39B8"/>
    <w:rsid w:val="007D39C3"/>
    <w:rsid w:val="007D3CC6"/>
    <w:rsid w:val="007D4EDC"/>
    <w:rsid w:val="007D5325"/>
    <w:rsid w:val="007D6FD7"/>
    <w:rsid w:val="007D7A7E"/>
    <w:rsid w:val="007E0012"/>
    <w:rsid w:val="007E0238"/>
    <w:rsid w:val="007E04DE"/>
    <w:rsid w:val="007E14A7"/>
    <w:rsid w:val="007E18A7"/>
    <w:rsid w:val="007E1998"/>
    <w:rsid w:val="007E2CD6"/>
    <w:rsid w:val="007E38A5"/>
    <w:rsid w:val="007E3DB4"/>
    <w:rsid w:val="007E4092"/>
    <w:rsid w:val="007E44F2"/>
    <w:rsid w:val="007E487B"/>
    <w:rsid w:val="007E4AFA"/>
    <w:rsid w:val="007E50A0"/>
    <w:rsid w:val="007E50B9"/>
    <w:rsid w:val="007E5A0B"/>
    <w:rsid w:val="007E5B6E"/>
    <w:rsid w:val="007E5E49"/>
    <w:rsid w:val="007E623E"/>
    <w:rsid w:val="007E6AA3"/>
    <w:rsid w:val="007E6AA8"/>
    <w:rsid w:val="007E7BD8"/>
    <w:rsid w:val="007F1BDD"/>
    <w:rsid w:val="007F25B8"/>
    <w:rsid w:val="007F2F9D"/>
    <w:rsid w:val="007F2FEF"/>
    <w:rsid w:val="007F35DC"/>
    <w:rsid w:val="007F3967"/>
    <w:rsid w:val="007F3F9F"/>
    <w:rsid w:val="007F4A2B"/>
    <w:rsid w:val="007F50DD"/>
    <w:rsid w:val="007F55F7"/>
    <w:rsid w:val="007F57B6"/>
    <w:rsid w:val="007F5C66"/>
    <w:rsid w:val="007F6245"/>
    <w:rsid w:val="007F766B"/>
    <w:rsid w:val="007F7DE0"/>
    <w:rsid w:val="008001BA"/>
    <w:rsid w:val="00800C59"/>
    <w:rsid w:val="008016F6"/>
    <w:rsid w:val="0080298C"/>
    <w:rsid w:val="00802BBB"/>
    <w:rsid w:val="00802DDF"/>
    <w:rsid w:val="0080348D"/>
    <w:rsid w:val="008037B9"/>
    <w:rsid w:val="0080399F"/>
    <w:rsid w:val="00804369"/>
    <w:rsid w:val="00804952"/>
    <w:rsid w:val="00805493"/>
    <w:rsid w:val="00806065"/>
    <w:rsid w:val="00806198"/>
    <w:rsid w:val="00811404"/>
    <w:rsid w:val="008115D8"/>
    <w:rsid w:val="00812E1A"/>
    <w:rsid w:val="00813BA6"/>
    <w:rsid w:val="0081409E"/>
    <w:rsid w:val="008146FD"/>
    <w:rsid w:val="00815E28"/>
    <w:rsid w:val="008161D4"/>
    <w:rsid w:val="00817AD8"/>
    <w:rsid w:val="008201C6"/>
    <w:rsid w:val="00821000"/>
    <w:rsid w:val="008212EC"/>
    <w:rsid w:val="00821AED"/>
    <w:rsid w:val="008220F6"/>
    <w:rsid w:val="008222A9"/>
    <w:rsid w:val="008223DB"/>
    <w:rsid w:val="008224A7"/>
    <w:rsid w:val="008227E7"/>
    <w:rsid w:val="00822AF7"/>
    <w:rsid w:val="0082471D"/>
    <w:rsid w:val="0082475B"/>
    <w:rsid w:val="008262EB"/>
    <w:rsid w:val="008278B9"/>
    <w:rsid w:val="00827953"/>
    <w:rsid w:val="00830075"/>
    <w:rsid w:val="00830482"/>
    <w:rsid w:val="008310A2"/>
    <w:rsid w:val="00831762"/>
    <w:rsid w:val="00831F69"/>
    <w:rsid w:val="008329F4"/>
    <w:rsid w:val="00833473"/>
    <w:rsid w:val="0083397A"/>
    <w:rsid w:val="008339C2"/>
    <w:rsid w:val="00833ABE"/>
    <w:rsid w:val="00833B06"/>
    <w:rsid w:val="00833D8A"/>
    <w:rsid w:val="00834083"/>
    <w:rsid w:val="0083408D"/>
    <w:rsid w:val="008345E2"/>
    <w:rsid w:val="00835107"/>
    <w:rsid w:val="0083531F"/>
    <w:rsid w:val="008356A9"/>
    <w:rsid w:val="008358FF"/>
    <w:rsid w:val="00836478"/>
    <w:rsid w:val="0083658F"/>
    <w:rsid w:val="00836645"/>
    <w:rsid w:val="00836D81"/>
    <w:rsid w:val="00836E48"/>
    <w:rsid w:val="00837B1D"/>
    <w:rsid w:val="008405D6"/>
    <w:rsid w:val="00840631"/>
    <w:rsid w:val="00840F08"/>
    <w:rsid w:val="00840F56"/>
    <w:rsid w:val="008425F8"/>
    <w:rsid w:val="00842E74"/>
    <w:rsid w:val="00843215"/>
    <w:rsid w:val="00843EC5"/>
    <w:rsid w:val="0084414C"/>
    <w:rsid w:val="00844BA3"/>
    <w:rsid w:val="00845171"/>
    <w:rsid w:val="00846312"/>
    <w:rsid w:val="0084684A"/>
    <w:rsid w:val="00846EC5"/>
    <w:rsid w:val="00847AEB"/>
    <w:rsid w:val="00850961"/>
    <w:rsid w:val="00851E47"/>
    <w:rsid w:val="00852A93"/>
    <w:rsid w:val="00852FA5"/>
    <w:rsid w:val="00853DED"/>
    <w:rsid w:val="0085474B"/>
    <w:rsid w:val="008548CF"/>
    <w:rsid w:val="00854F1B"/>
    <w:rsid w:val="008557C1"/>
    <w:rsid w:val="00855981"/>
    <w:rsid w:val="00855D07"/>
    <w:rsid w:val="0085634B"/>
    <w:rsid w:val="008563A5"/>
    <w:rsid w:val="00856F37"/>
    <w:rsid w:val="008577BE"/>
    <w:rsid w:val="00857814"/>
    <w:rsid w:val="00857F18"/>
    <w:rsid w:val="00860EFD"/>
    <w:rsid w:val="00861B92"/>
    <w:rsid w:val="00863666"/>
    <w:rsid w:val="00864455"/>
    <w:rsid w:val="00864BBD"/>
    <w:rsid w:val="00864E9B"/>
    <w:rsid w:val="00865C7F"/>
    <w:rsid w:val="00866215"/>
    <w:rsid w:val="00871443"/>
    <w:rsid w:val="0087183B"/>
    <w:rsid w:val="00871C91"/>
    <w:rsid w:val="00872035"/>
    <w:rsid w:val="00873742"/>
    <w:rsid w:val="00873A28"/>
    <w:rsid w:val="00873A4B"/>
    <w:rsid w:val="00874D8C"/>
    <w:rsid w:val="00875122"/>
    <w:rsid w:val="008759B2"/>
    <w:rsid w:val="00876834"/>
    <w:rsid w:val="008776E9"/>
    <w:rsid w:val="008814FB"/>
    <w:rsid w:val="008818D3"/>
    <w:rsid w:val="008822E0"/>
    <w:rsid w:val="00882498"/>
    <w:rsid w:val="00882EE5"/>
    <w:rsid w:val="0088453E"/>
    <w:rsid w:val="00884684"/>
    <w:rsid w:val="00885C48"/>
    <w:rsid w:val="00885E92"/>
    <w:rsid w:val="008864E3"/>
    <w:rsid w:val="0088654E"/>
    <w:rsid w:val="00886A94"/>
    <w:rsid w:val="008871A9"/>
    <w:rsid w:val="0088729C"/>
    <w:rsid w:val="008872D3"/>
    <w:rsid w:val="00887308"/>
    <w:rsid w:val="00887BA4"/>
    <w:rsid w:val="0089020F"/>
    <w:rsid w:val="00890324"/>
    <w:rsid w:val="00890C38"/>
    <w:rsid w:val="00890D3C"/>
    <w:rsid w:val="0089106C"/>
    <w:rsid w:val="00891369"/>
    <w:rsid w:val="00891962"/>
    <w:rsid w:val="00892148"/>
    <w:rsid w:val="0089287F"/>
    <w:rsid w:val="00893651"/>
    <w:rsid w:val="00893794"/>
    <w:rsid w:val="00893CA2"/>
    <w:rsid w:val="0089472C"/>
    <w:rsid w:val="008948D8"/>
    <w:rsid w:val="00894BE0"/>
    <w:rsid w:val="00895035"/>
    <w:rsid w:val="008952AD"/>
    <w:rsid w:val="00896105"/>
    <w:rsid w:val="00896590"/>
    <w:rsid w:val="00896894"/>
    <w:rsid w:val="008978ED"/>
    <w:rsid w:val="008A0764"/>
    <w:rsid w:val="008A0A73"/>
    <w:rsid w:val="008A0B88"/>
    <w:rsid w:val="008A3304"/>
    <w:rsid w:val="008A39CD"/>
    <w:rsid w:val="008A41BF"/>
    <w:rsid w:val="008A423D"/>
    <w:rsid w:val="008A5C34"/>
    <w:rsid w:val="008A5DAA"/>
    <w:rsid w:val="008A5E51"/>
    <w:rsid w:val="008A68DF"/>
    <w:rsid w:val="008A695E"/>
    <w:rsid w:val="008B04D9"/>
    <w:rsid w:val="008B0585"/>
    <w:rsid w:val="008B0938"/>
    <w:rsid w:val="008B1C26"/>
    <w:rsid w:val="008B31D5"/>
    <w:rsid w:val="008B3A40"/>
    <w:rsid w:val="008B4C3D"/>
    <w:rsid w:val="008B4CBD"/>
    <w:rsid w:val="008B51C3"/>
    <w:rsid w:val="008B59FE"/>
    <w:rsid w:val="008B5B9A"/>
    <w:rsid w:val="008C0FC7"/>
    <w:rsid w:val="008C0FFB"/>
    <w:rsid w:val="008C1B6F"/>
    <w:rsid w:val="008C1DCD"/>
    <w:rsid w:val="008C1EAB"/>
    <w:rsid w:val="008C2196"/>
    <w:rsid w:val="008C3045"/>
    <w:rsid w:val="008C305D"/>
    <w:rsid w:val="008C36BB"/>
    <w:rsid w:val="008C3B19"/>
    <w:rsid w:val="008C3D4A"/>
    <w:rsid w:val="008C47C9"/>
    <w:rsid w:val="008C4B3A"/>
    <w:rsid w:val="008C5B51"/>
    <w:rsid w:val="008C5B60"/>
    <w:rsid w:val="008C5CFF"/>
    <w:rsid w:val="008C5F38"/>
    <w:rsid w:val="008C667E"/>
    <w:rsid w:val="008C6CEC"/>
    <w:rsid w:val="008C7487"/>
    <w:rsid w:val="008C7E4F"/>
    <w:rsid w:val="008D09A8"/>
    <w:rsid w:val="008D0F44"/>
    <w:rsid w:val="008D106B"/>
    <w:rsid w:val="008D19A7"/>
    <w:rsid w:val="008D273C"/>
    <w:rsid w:val="008D361E"/>
    <w:rsid w:val="008D58D8"/>
    <w:rsid w:val="008D5B93"/>
    <w:rsid w:val="008D60B6"/>
    <w:rsid w:val="008D740D"/>
    <w:rsid w:val="008D7473"/>
    <w:rsid w:val="008E0249"/>
    <w:rsid w:val="008E0C73"/>
    <w:rsid w:val="008E0E29"/>
    <w:rsid w:val="008E19A2"/>
    <w:rsid w:val="008E1A54"/>
    <w:rsid w:val="008E1D40"/>
    <w:rsid w:val="008E1F24"/>
    <w:rsid w:val="008E24B0"/>
    <w:rsid w:val="008E422D"/>
    <w:rsid w:val="008E467B"/>
    <w:rsid w:val="008E4DB0"/>
    <w:rsid w:val="008E5430"/>
    <w:rsid w:val="008E5A22"/>
    <w:rsid w:val="008E5D5F"/>
    <w:rsid w:val="008E72DD"/>
    <w:rsid w:val="008E7826"/>
    <w:rsid w:val="008E7897"/>
    <w:rsid w:val="008E7A7A"/>
    <w:rsid w:val="008F06A3"/>
    <w:rsid w:val="008F073B"/>
    <w:rsid w:val="008F0C15"/>
    <w:rsid w:val="008F1C2D"/>
    <w:rsid w:val="008F1FC1"/>
    <w:rsid w:val="008F2353"/>
    <w:rsid w:val="008F26B1"/>
    <w:rsid w:val="008F39A0"/>
    <w:rsid w:val="008F5DBF"/>
    <w:rsid w:val="008F5E30"/>
    <w:rsid w:val="008F5F0E"/>
    <w:rsid w:val="008F6CD4"/>
    <w:rsid w:val="008F6FB7"/>
    <w:rsid w:val="008F710D"/>
    <w:rsid w:val="008F71D9"/>
    <w:rsid w:val="008F7711"/>
    <w:rsid w:val="00900A65"/>
    <w:rsid w:val="00900C43"/>
    <w:rsid w:val="009031F8"/>
    <w:rsid w:val="009038B9"/>
    <w:rsid w:val="0090422C"/>
    <w:rsid w:val="00904D53"/>
    <w:rsid w:val="009050B0"/>
    <w:rsid w:val="0090519D"/>
    <w:rsid w:val="00905B3B"/>
    <w:rsid w:val="00905F23"/>
    <w:rsid w:val="00907ABB"/>
    <w:rsid w:val="00907C50"/>
    <w:rsid w:val="009101CD"/>
    <w:rsid w:val="00910908"/>
    <w:rsid w:val="009109A9"/>
    <w:rsid w:val="00910F56"/>
    <w:rsid w:val="00910FD7"/>
    <w:rsid w:val="00911DF0"/>
    <w:rsid w:val="00913477"/>
    <w:rsid w:val="00914D1B"/>
    <w:rsid w:val="00914D7F"/>
    <w:rsid w:val="009156F1"/>
    <w:rsid w:val="00915E7B"/>
    <w:rsid w:val="00916394"/>
    <w:rsid w:val="009206D6"/>
    <w:rsid w:val="00920F06"/>
    <w:rsid w:val="0092135E"/>
    <w:rsid w:val="00921B97"/>
    <w:rsid w:val="00921C7E"/>
    <w:rsid w:val="00922F2D"/>
    <w:rsid w:val="009233F9"/>
    <w:rsid w:val="00923844"/>
    <w:rsid w:val="00923EC4"/>
    <w:rsid w:val="0092418A"/>
    <w:rsid w:val="00924304"/>
    <w:rsid w:val="00924529"/>
    <w:rsid w:val="00924826"/>
    <w:rsid w:val="0092489E"/>
    <w:rsid w:val="009249DF"/>
    <w:rsid w:val="009253D3"/>
    <w:rsid w:val="00926080"/>
    <w:rsid w:val="009267C8"/>
    <w:rsid w:val="009272CA"/>
    <w:rsid w:val="0093022B"/>
    <w:rsid w:val="00930B0D"/>
    <w:rsid w:val="00931244"/>
    <w:rsid w:val="00931BB1"/>
    <w:rsid w:val="00931D84"/>
    <w:rsid w:val="009323A0"/>
    <w:rsid w:val="00932E04"/>
    <w:rsid w:val="00933333"/>
    <w:rsid w:val="009357A2"/>
    <w:rsid w:val="00935B65"/>
    <w:rsid w:val="00937412"/>
    <w:rsid w:val="009404F5"/>
    <w:rsid w:val="009406D5"/>
    <w:rsid w:val="00940ADD"/>
    <w:rsid w:val="00941C7E"/>
    <w:rsid w:val="00944188"/>
    <w:rsid w:val="00944316"/>
    <w:rsid w:val="009444D1"/>
    <w:rsid w:val="009445A2"/>
    <w:rsid w:val="00944C84"/>
    <w:rsid w:val="009451F2"/>
    <w:rsid w:val="00945583"/>
    <w:rsid w:val="00947937"/>
    <w:rsid w:val="00952944"/>
    <w:rsid w:val="0095451A"/>
    <w:rsid w:val="0095459F"/>
    <w:rsid w:val="0095460A"/>
    <w:rsid w:val="009549CB"/>
    <w:rsid w:val="00954EAF"/>
    <w:rsid w:val="009550D9"/>
    <w:rsid w:val="0095576A"/>
    <w:rsid w:val="00955922"/>
    <w:rsid w:val="00955D1D"/>
    <w:rsid w:val="00956444"/>
    <w:rsid w:val="0095664B"/>
    <w:rsid w:val="00956922"/>
    <w:rsid w:val="00956DC4"/>
    <w:rsid w:val="009577C3"/>
    <w:rsid w:val="00960EE4"/>
    <w:rsid w:val="00962805"/>
    <w:rsid w:val="0096424A"/>
    <w:rsid w:val="009647F7"/>
    <w:rsid w:val="00964BA9"/>
    <w:rsid w:val="00964BD8"/>
    <w:rsid w:val="00965AA0"/>
    <w:rsid w:val="00965C71"/>
    <w:rsid w:val="00966605"/>
    <w:rsid w:val="009674D7"/>
    <w:rsid w:val="0096752D"/>
    <w:rsid w:val="0096774E"/>
    <w:rsid w:val="0097050A"/>
    <w:rsid w:val="009711FE"/>
    <w:rsid w:val="00972415"/>
    <w:rsid w:val="00972B8B"/>
    <w:rsid w:val="0097305A"/>
    <w:rsid w:val="00973C52"/>
    <w:rsid w:val="0097447C"/>
    <w:rsid w:val="00975CBF"/>
    <w:rsid w:val="00975DC5"/>
    <w:rsid w:val="00975F87"/>
    <w:rsid w:val="00976283"/>
    <w:rsid w:val="00976598"/>
    <w:rsid w:val="009773CF"/>
    <w:rsid w:val="00977A30"/>
    <w:rsid w:val="009815EE"/>
    <w:rsid w:val="009825E1"/>
    <w:rsid w:val="0098394A"/>
    <w:rsid w:val="00983DDC"/>
    <w:rsid w:val="0098409D"/>
    <w:rsid w:val="009844EE"/>
    <w:rsid w:val="00984FF8"/>
    <w:rsid w:val="0098505F"/>
    <w:rsid w:val="009850E9"/>
    <w:rsid w:val="009859BE"/>
    <w:rsid w:val="009865F9"/>
    <w:rsid w:val="00986D12"/>
    <w:rsid w:val="00986DEA"/>
    <w:rsid w:val="00991202"/>
    <w:rsid w:val="00991505"/>
    <w:rsid w:val="00991ADE"/>
    <w:rsid w:val="00991E45"/>
    <w:rsid w:val="009920CF"/>
    <w:rsid w:val="009931C6"/>
    <w:rsid w:val="009937A6"/>
    <w:rsid w:val="00993DBC"/>
    <w:rsid w:val="0099456F"/>
    <w:rsid w:val="009945D6"/>
    <w:rsid w:val="00994D7D"/>
    <w:rsid w:val="009952E8"/>
    <w:rsid w:val="009962F6"/>
    <w:rsid w:val="0099637C"/>
    <w:rsid w:val="00996C95"/>
    <w:rsid w:val="00996EE1"/>
    <w:rsid w:val="009A129F"/>
    <w:rsid w:val="009A1640"/>
    <w:rsid w:val="009A174D"/>
    <w:rsid w:val="009A1CAF"/>
    <w:rsid w:val="009A341E"/>
    <w:rsid w:val="009A34C3"/>
    <w:rsid w:val="009A3B44"/>
    <w:rsid w:val="009A3BCF"/>
    <w:rsid w:val="009A4455"/>
    <w:rsid w:val="009A501A"/>
    <w:rsid w:val="009A56FB"/>
    <w:rsid w:val="009A5984"/>
    <w:rsid w:val="009A661B"/>
    <w:rsid w:val="009A673B"/>
    <w:rsid w:val="009A6A75"/>
    <w:rsid w:val="009A6C15"/>
    <w:rsid w:val="009B0520"/>
    <w:rsid w:val="009B0DF5"/>
    <w:rsid w:val="009B2482"/>
    <w:rsid w:val="009B2ACA"/>
    <w:rsid w:val="009B3269"/>
    <w:rsid w:val="009B333B"/>
    <w:rsid w:val="009B3670"/>
    <w:rsid w:val="009B4224"/>
    <w:rsid w:val="009B4C2B"/>
    <w:rsid w:val="009B5024"/>
    <w:rsid w:val="009B5938"/>
    <w:rsid w:val="009B751B"/>
    <w:rsid w:val="009B78D8"/>
    <w:rsid w:val="009C005A"/>
    <w:rsid w:val="009C03EF"/>
    <w:rsid w:val="009C0A0E"/>
    <w:rsid w:val="009C0E47"/>
    <w:rsid w:val="009C1C24"/>
    <w:rsid w:val="009C1E2E"/>
    <w:rsid w:val="009C211C"/>
    <w:rsid w:val="009C2743"/>
    <w:rsid w:val="009C3E9E"/>
    <w:rsid w:val="009C5CFB"/>
    <w:rsid w:val="009C7285"/>
    <w:rsid w:val="009C748C"/>
    <w:rsid w:val="009C7C60"/>
    <w:rsid w:val="009D047F"/>
    <w:rsid w:val="009D09D7"/>
    <w:rsid w:val="009D1BCF"/>
    <w:rsid w:val="009D1C66"/>
    <w:rsid w:val="009D1C8F"/>
    <w:rsid w:val="009D1E1A"/>
    <w:rsid w:val="009D275E"/>
    <w:rsid w:val="009D2CBE"/>
    <w:rsid w:val="009D30F8"/>
    <w:rsid w:val="009D3BC6"/>
    <w:rsid w:val="009D4374"/>
    <w:rsid w:val="009D469C"/>
    <w:rsid w:val="009D612B"/>
    <w:rsid w:val="009D6214"/>
    <w:rsid w:val="009D628A"/>
    <w:rsid w:val="009D6414"/>
    <w:rsid w:val="009D6AE1"/>
    <w:rsid w:val="009D767A"/>
    <w:rsid w:val="009D77E0"/>
    <w:rsid w:val="009D7AFF"/>
    <w:rsid w:val="009E06D7"/>
    <w:rsid w:val="009E08F4"/>
    <w:rsid w:val="009E1734"/>
    <w:rsid w:val="009E1740"/>
    <w:rsid w:val="009E49C0"/>
    <w:rsid w:val="009E51DA"/>
    <w:rsid w:val="009E54CE"/>
    <w:rsid w:val="009E5518"/>
    <w:rsid w:val="009E5C9A"/>
    <w:rsid w:val="009E680B"/>
    <w:rsid w:val="009E71B2"/>
    <w:rsid w:val="009E78EA"/>
    <w:rsid w:val="009E79C8"/>
    <w:rsid w:val="009E7D4C"/>
    <w:rsid w:val="009F025A"/>
    <w:rsid w:val="009F0745"/>
    <w:rsid w:val="009F140A"/>
    <w:rsid w:val="009F2217"/>
    <w:rsid w:val="009F3ADE"/>
    <w:rsid w:val="009F4B55"/>
    <w:rsid w:val="009F5A72"/>
    <w:rsid w:val="009F6632"/>
    <w:rsid w:val="009F7452"/>
    <w:rsid w:val="009F7EE0"/>
    <w:rsid w:val="00A00C18"/>
    <w:rsid w:val="00A0286E"/>
    <w:rsid w:val="00A03B07"/>
    <w:rsid w:val="00A03EB8"/>
    <w:rsid w:val="00A03F84"/>
    <w:rsid w:val="00A05999"/>
    <w:rsid w:val="00A06158"/>
    <w:rsid w:val="00A064E6"/>
    <w:rsid w:val="00A06EB2"/>
    <w:rsid w:val="00A07790"/>
    <w:rsid w:val="00A10B98"/>
    <w:rsid w:val="00A11250"/>
    <w:rsid w:val="00A11A99"/>
    <w:rsid w:val="00A11CC5"/>
    <w:rsid w:val="00A12AFD"/>
    <w:rsid w:val="00A1302E"/>
    <w:rsid w:val="00A133BC"/>
    <w:rsid w:val="00A13AFF"/>
    <w:rsid w:val="00A13E35"/>
    <w:rsid w:val="00A140A7"/>
    <w:rsid w:val="00A152E5"/>
    <w:rsid w:val="00A15A1F"/>
    <w:rsid w:val="00A16007"/>
    <w:rsid w:val="00A16DBA"/>
    <w:rsid w:val="00A16ED6"/>
    <w:rsid w:val="00A20302"/>
    <w:rsid w:val="00A2044D"/>
    <w:rsid w:val="00A20795"/>
    <w:rsid w:val="00A207AE"/>
    <w:rsid w:val="00A212FB"/>
    <w:rsid w:val="00A21858"/>
    <w:rsid w:val="00A21F13"/>
    <w:rsid w:val="00A22AEB"/>
    <w:rsid w:val="00A23A48"/>
    <w:rsid w:val="00A23C0F"/>
    <w:rsid w:val="00A24CAD"/>
    <w:rsid w:val="00A24D9C"/>
    <w:rsid w:val="00A2587D"/>
    <w:rsid w:val="00A3026D"/>
    <w:rsid w:val="00A30385"/>
    <w:rsid w:val="00A30838"/>
    <w:rsid w:val="00A314DD"/>
    <w:rsid w:val="00A325C2"/>
    <w:rsid w:val="00A3325A"/>
    <w:rsid w:val="00A343C2"/>
    <w:rsid w:val="00A34DFF"/>
    <w:rsid w:val="00A34F91"/>
    <w:rsid w:val="00A357BF"/>
    <w:rsid w:val="00A3705B"/>
    <w:rsid w:val="00A400E0"/>
    <w:rsid w:val="00A41068"/>
    <w:rsid w:val="00A43013"/>
    <w:rsid w:val="00A4313C"/>
    <w:rsid w:val="00A432C1"/>
    <w:rsid w:val="00A43F18"/>
    <w:rsid w:val="00A441F0"/>
    <w:rsid w:val="00A4445C"/>
    <w:rsid w:val="00A44D84"/>
    <w:rsid w:val="00A46F2C"/>
    <w:rsid w:val="00A5067F"/>
    <w:rsid w:val="00A50808"/>
    <w:rsid w:val="00A53070"/>
    <w:rsid w:val="00A54338"/>
    <w:rsid w:val="00A54EB0"/>
    <w:rsid w:val="00A55157"/>
    <w:rsid w:val="00A5537A"/>
    <w:rsid w:val="00A55581"/>
    <w:rsid w:val="00A56658"/>
    <w:rsid w:val="00A56E54"/>
    <w:rsid w:val="00A573D9"/>
    <w:rsid w:val="00A60581"/>
    <w:rsid w:val="00A60BA0"/>
    <w:rsid w:val="00A60BC8"/>
    <w:rsid w:val="00A60DB2"/>
    <w:rsid w:val="00A60DF4"/>
    <w:rsid w:val="00A62604"/>
    <w:rsid w:val="00A649D9"/>
    <w:rsid w:val="00A66321"/>
    <w:rsid w:val="00A664CC"/>
    <w:rsid w:val="00A6729B"/>
    <w:rsid w:val="00A70DDC"/>
    <w:rsid w:val="00A71B4C"/>
    <w:rsid w:val="00A71B9C"/>
    <w:rsid w:val="00A71E8C"/>
    <w:rsid w:val="00A72794"/>
    <w:rsid w:val="00A732C4"/>
    <w:rsid w:val="00A7434E"/>
    <w:rsid w:val="00A74A16"/>
    <w:rsid w:val="00A75BB5"/>
    <w:rsid w:val="00A75D47"/>
    <w:rsid w:val="00A76BF9"/>
    <w:rsid w:val="00A777D8"/>
    <w:rsid w:val="00A77CA7"/>
    <w:rsid w:val="00A80C02"/>
    <w:rsid w:val="00A81D27"/>
    <w:rsid w:val="00A831E5"/>
    <w:rsid w:val="00A83A5F"/>
    <w:rsid w:val="00A84BBF"/>
    <w:rsid w:val="00A85450"/>
    <w:rsid w:val="00A8638B"/>
    <w:rsid w:val="00A874BB"/>
    <w:rsid w:val="00A87929"/>
    <w:rsid w:val="00A9006A"/>
    <w:rsid w:val="00A9104E"/>
    <w:rsid w:val="00A928C4"/>
    <w:rsid w:val="00A928E7"/>
    <w:rsid w:val="00A931B4"/>
    <w:rsid w:val="00A93206"/>
    <w:rsid w:val="00A93855"/>
    <w:rsid w:val="00A9478C"/>
    <w:rsid w:val="00A948C7"/>
    <w:rsid w:val="00A94AA1"/>
    <w:rsid w:val="00A94F5F"/>
    <w:rsid w:val="00A95515"/>
    <w:rsid w:val="00A95EDC"/>
    <w:rsid w:val="00A962AB"/>
    <w:rsid w:val="00A96DC2"/>
    <w:rsid w:val="00A97592"/>
    <w:rsid w:val="00AA008D"/>
    <w:rsid w:val="00AA01B3"/>
    <w:rsid w:val="00AA1F3E"/>
    <w:rsid w:val="00AA26E3"/>
    <w:rsid w:val="00AA2C64"/>
    <w:rsid w:val="00AA31FE"/>
    <w:rsid w:val="00AA398C"/>
    <w:rsid w:val="00AA3A6C"/>
    <w:rsid w:val="00AA48DC"/>
    <w:rsid w:val="00AA4A4F"/>
    <w:rsid w:val="00AA50C3"/>
    <w:rsid w:val="00AA5B31"/>
    <w:rsid w:val="00AA5CBC"/>
    <w:rsid w:val="00AA6512"/>
    <w:rsid w:val="00AA6F6C"/>
    <w:rsid w:val="00AA7064"/>
    <w:rsid w:val="00AA7398"/>
    <w:rsid w:val="00AA77F0"/>
    <w:rsid w:val="00AA7D70"/>
    <w:rsid w:val="00AB1161"/>
    <w:rsid w:val="00AB1B3A"/>
    <w:rsid w:val="00AB28FA"/>
    <w:rsid w:val="00AB2976"/>
    <w:rsid w:val="00AB3A88"/>
    <w:rsid w:val="00AB3D6C"/>
    <w:rsid w:val="00AB4BDE"/>
    <w:rsid w:val="00AB50FA"/>
    <w:rsid w:val="00AB5654"/>
    <w:rsid w:val="00AB57D2"/>
    <w:rsid w:val="00AB58C3"/>
    <w:rsid w:val="00AB6BED"/>
    <w:rsid w:val="00AB70BB"/>
    <w:rsid w:val="00AC23FB"/>
    <w:rsid w:val="00AC3674"/>
    <w:rsid w:val="00AC4A80"/>
    <w:rsid w:val="00AC577C"/>
    <w:rsid w:val="00AC5E26"/>
    <w:rsid w:val="00AC6A8C"/>
    <w:rsid w:val="00AC7125"/>
    <w:rsid w:val="00AC76B3"/>
    <w:rsid w:val="00AC7921"/>
    <w:rsid w:val="00AC7BA2"/>
    <w:rsid w:val="00AD01C1"/>
    <w:rsid w:val="00AD0282"/>
    <w:rsid w:val="00AD0EEC"/>
    <w:rsid w:val="00AD0FFD"/>
    <w:rsid w:val="00AD123F"/>
    <w:rsid w:val="00AD2909"/>
    <w:rsid w:val="00AD40B1"/>
    <w:rsid w:val="00AD41BE"/>
    <w:rsid w:val="00AD5903"/>
    <w:rsid w:val="00AD604E"/>
    <w:rsid w:val="00AD6C40"/>
    <w:rsid w:val="00AE0195"/>
    <w:rsid w:val="00AE0497"/>
    <w:rsid w:val="00AE04C1"/>
    <w:rsid w:val="00AE05B0"/>
    <w:rsid w:val="00AE0A1D"/>
    <w:rsid w:val="00AE1637"/>
    <w:rsid w:val="00AE1776"/>
    <w:rsid w:val="00AE1A39"/>
    <w:rsid w:val="00AE449B"/>
    <w:rsid w:val="00AE5835"/>
    <w:rsid w:val="00AE5EF0"/>
    <w:rsid w:val="00AE5F9E"/>
    <w:rsid w:val="00AE67CC"/>
    <w:rsid w:val="00AE6B57"/>
    <w:rsid w:val="00AE6FF4"/>
    <w:rsid w:val="00AE7A5F"/>
    <w:rsid w:val="00AF03FC"/>
    <w:rsid w:val="00AF05F1"/>
    <w:rsid w:val="00AF108A"/>
    <w:rsid w:val="00AF1681"/>
    <w:rsid w:val="00AF1772"/>
    <w:rsid w:val="00AF357E"/>
    <w:rsid w:val="00AF40E5"/>
    <w:rsid w:val="00AF4598"/>
    <w:rsid w:val="00AF4AEB"/>
    <w:rsid w:val="00AF4D78"/>
    <w:rsid w:val="00AF5AA2"/>
    <w:rsid w:val="00AF63DF"/>
    <w:rsid w:val="00AF7EA4"/>
    <w:rsid w:val="00B02E55"/>
    <w:rsid w:val="00B0329D"/>
    <w:rsid w:val="00B036C1"/>
    <w:rsid w:val="00B04A6E"/>
    <w:rsid w:val="00B04AAB"/>
    <w:rsid w:val="00B05F83"/>
    <w:rsid w:val="00B063A9"/>
    <w:rsid w:val="00B06AB6"/>
    <w:rsid w:val="00B07DF3"/>
    <w:rsid w:val="00B10422"/>
    <w:rsid w:val="00B10880"/>
    <w:rsid w:val="00B1136D"/>
    <w:rsid w:val="00B126B0"/>
    <w:rsid w:val="00B126D6"/>
    <w:rsid w:val="00B12C03"/>
    <w:rsid w:val="00B13FF4"/>
    <w:rsid w:val="00B15556"/>
    <w:rsid w:val="00B17E5A"/>
    <w:rsid w:val="00B20ECD"/>
    <w:rsid w:val="00B2110B"/>
    <w:rsid w:val="00B2334E"/>
    <w:rsid w:val="00B23861"/>
    <w:rsid w:val="00B2443A"/>
    <w:rsid w:val="00B24E17"/>
    <w:rsid w:val="00B2612A"/>
    <w:rsid w:val="00B26A3B"/>
    <w:rsid w:val="00B27E70"/>
    <w:rsid w:val="00B30FD0"/>
    <w:rsid w:val="00B318E7"/>
    <w:rsid w:val="00B319CD"/>
    <w:rsid w:val="00B322DC"/>
    <w:rsid w:val="00B324C9"/>
    <w:rsid w:val="00B3485B"/>
    <w:rsid w:val="00B35E22"/>
    <w:rsid w:val="00B36193"/>
    <w:rsid w:val="00B362EE"/>
    <w:rsid w:val="00B374FC"/>
    <w:rsid w:val="00B37E2C"/>
    <w:rsid w:val="00B40ADD"/>
    <w:rsid w:val="00B416A1"/>
    <w:rsid w:val="00B41808"/>
    <w:rsid w:val="00B41F1E"/>
    <w:rsid w:val="00B425BF"/>
    <w:rsid w:val="00B42884"/>
    <w:rsid w:val="00B42C66"/>
    <w:rsid w:val="00B43C3F"/>
    <w:rsid w:val="00B4438A"/>
    <w:rsid w:val="00B4447D"/>
    <w:rsid w:val="00B44E06"/>
    <w:rsid w:val="00B45014"/>
    <w:rsid w:val="00B451E2"/>
    <w:rsid w:val="00B4534D"/>
    <w:rsid w:val="00B456E1"/>
    <w:rsid w:val="00B465D8"/>
    <w:rsid w:val="00B46791"/>
    <w:rsid w:val="00B46DF1"/>
    <w:rsid w:val="00B47DB2"/>
    <w:rsid w:val="00B50091"/>
    <w:rsid w:val="00B503A7"/>
    <w:rsid w:val="00B5065C"/>
    <w:rsid w:val="00B50FFF"/>
    <w:rsid w:val="00B5100A"/>
    <w:rsid w:val="00B510F7"/>
    <w:rsid w:val="00B51F45"/>
    <w:rsid w:val="00B51F6F"/>
    <w:rsid w:val="00B520E9"/>
    <w:rsid w:val="00B5235B"/>
    <w:rsid w:val="00B52B7F"/>
    <w:rsid w:val="00B5330B"/>
    <w:rsid w:val="00B53F57"/>
    <w:rsid w:val="00B54112"/>
    <w:rsid w:val="00B5431F"/>
    <w:rsid w:val="00B55508"/>
    <w:rsid w:val="00B556AF"/>
    <w:rsid w:val="00B56761"/>
    <w:rsid w:val="00B57D51"/>
    <w:rsid w:val="00B6016A"/>
    <w:rsid w:val="00B614E8"/>
    <w:rsid w:val="00B62929"/>
    <w:rsid w:val="00B62BBF"/>
    <w:rsid w:val="00B62CE1"/>
    <w:rsid w:val="00B6384D"/>
    <w:rsid w:val="00B63B4C"/>
    <w:rsid w:val="00B64907"/>
    <w:rsid w:val="00B65616"/>
    <w:rsid w:val="00B65992"/>
    <w:rsid w:val="00B65A11"/>
    <w:rsid w:val="00B66D77"/>
    <w:rsid w:val="00B67A80"/>
    <w:rsid w:val="00B67FBB"/>
    <w:rsid w:val="00B705BC"/>
    <w:rsid w:val="00B70F93"/>
    <w:rsid w:val="00B73155"/>
    <w:rsid w:val="00B73ACF"/>
    <w:rsid w:val="00B74163"/>
    <w:rsid w:val="00B750DA"/>
    <w:rsid w:val="00B764D4"/>
    <w:rsid w:val="00B7755E"/>
    <w:rsid w:val="00B805B9"/>
    <w:rsid w:val="00B81814"/>
    <w:rsid w:val="00B81B78"/>
    <w:rsid w:val="00B81B93"/>
    <w:rsid w:val="00B82B05"/>
    <w:rsid w:val="00B83C5C"/>
    <w:rsid w:val="00B8424C"/>
    <w:rsid w:val="00B84BB3"/>
    <w:rsid w:val="00B85EC8"/>
    <w:rsid w:val="00B8749D"/>
    <w:rsid w:val="00B87727"/>
    <w:rsid w:val="00B87782"/>
    <w:rsid w:val="00B8778A"/>
    <w:rsid w:val="00B87EDF"/>
    <w:rsid w:val="00B90FD0"/>
    <w:rsid w:val="00B9116E"/>
    <w:rsid w:val="00B9152D"/>
    <w:rsid w:val="00B92363"/>
    <w:rsid w:val="00B927D2"/>
    <w:rsid w:val="00B92EF2"/>
    <w:rsid w:val="00B931E7"/>
    <w:rsid w:val="00B933A2"/>
    <w:rsid w:val="00B93B97"/>
    <w:rsid w:val="00B93FAA"/>
    <w:rsid w:val="00B94068"/>
    <w:rsid w:val="00B95DBC"/>
    <w:rsid w:val="00B9663C"/>
    <w:rsid w:val="00B96981"/>
    <w:rsid w:val="00B969E3"/>
    <w:rsid w:val="00B96E96"/>
    <w:rsid w:val="00B97E6E"/>
    <w:rsid w:val="00BA0947"/>
    <w:rsid w:val="00BA1227"/>
    <w:rsid w:val="00BA2CEE"/>
    <w:rsid w:val="00BA3069"/>
    <w:rsid w:val="00BA3104"/>
    <w:rsid w:val="00BA322F"/>
    <w:rsid w:val="00BA4563"/>
    <w:rsid w:val="00BA45B0"/>
    <w:rsid w:val="00BA47E0"/>
    <w:rsid w:val="00BA483E"/>
    <w:rsid w:val="00BA610C"/>
    <w:rsid w:val="00BA7B52"/>
    <w:rsid w:val="00BB0A31"/>
    <w:rsid w:val="00BB115B"/>
    <w:rsid w:val="00BB1233"/>
    <w:rsid w:val="00BB1DD3"/>
    <w:rsid w:val="00BB1E51"/>
    <w:rsid w:val="00BB1EE1"/>
    <w:rsid w:val="00BB1F7C"/>
    <w:rsid w:val="00BB21D8"/>
    <w:rsid w:val="00BB3D1F"/>
    <w:rsid w:val="00BB4D9B"/>
    <w:rsid w:val="00BB53B4"/>
    <w:rsid w:val="00BB643D"/>
    <w:rsid w:val="00BB7483"/>
    <w:rsid w:val="00BB7A1A"/>
    <w:rsid w:val="00BC012D"/>
    <w:rsid w:val="00BC184B"/>
    <w:rsid w:val="00BC1B43"/>
    <w:rsid w:val="00BC43C7"/>
    <w:rsid w:val="00BC482E"/>
    <w:rsid w:val="00BC50C6"/>
    <w:rsid w:val="00BC5593"/>
    <w:rsid w:val="00BC6339"/>
    <w:rsid w:val="00BC6F55"/>
    <w:rsid w:val="00BC708D"/>
    <w:rsid w:val="00BC7C25"/>
    <w:rsid w:val="00BD1173"/>
    <w:rsid w:val="00BD1835"/>
    <w:rsid w:val="00BD301B"/>
    <w:rsid w:val="00BD3EF1"/>
    <w:rsid w:val="00BD4275"/>
    <w:rsid w:val="00BD6402"/>
    <w:rsid w:val="00BD6B98"/>
    <w:rsid w:val="00BD7153"/>
    <w:rsid w:val="00BD71AD"/>
    <w:rsid w:val="00BD7A2E"/>
    <w:rsid w:val="00BE02CE"/>
    <w:rsid w:val="00BE0BDC"/>
    <w:rsid w:val="00BE0D3C"/>
    <w:rsid w:val="00BE0EC4"/>
    <w:rsid w:val="00BE0ED5"/>
    <w:rsid w:val="00BE1E0C"/>
    <w:rsid w:val="00BE2A06"/>
    <w:rsid w:val="00BE4031"/>
    <w:rsid w:val="00BE469A"/>
    <w:rsid w:val="00BE4A5C"/>
    <w:rsid w:val="00BE4BBB"/>
    <w:rsid w:val="00BE5431"/>
    <w:rsid w:val="00BE606A"/>
    <w:rsid w:val="00BE69CB"/>
    <w:rsid w:val="00BE69D8"/>
    <w:rsid w:val="00BE6C43"/>
    <w:rsid w:val="00BE721D"/>
    <w:rsid w:val="00BF0BFF"/>
    <w:rsid w:val="00BF0D39"/>
    <w:rsid w:val="00BF11CB"/>
    <w:rsid w:val="00BF135B"/>
    <w:rsid w:val="00BF1852"/>
    <w:rsid w:val="00BF1BF1"/>
    <w:rsid w:val="00BF4218"/>
    <w:rsid w:val="00BF51F6"/>
    <w:rsid w:val="00BF5564"/>
    <w:rsid w:val="00BF7CE3"/>
    <w:rsid w:val="00BF7FE0"/>
    <w:rsid w:val="00C01496"/>
    <w:rsid w:val="00C01E2F"/>
    <w:rsid w:val="00C020F5"/>
    <w:rsid w:val="00C02C5E"/>
    <w:rsid w:val="00C0342B"/>
    <w:rsid w:val="00C03AF9"/>
    <w:rsid w:val="00C04A41"/>
    <w:rsid w:val="00C04C15"/>
    <w:rsid w:val="00C058F8"/>
    <w:rsid w:val="00C101BA"/>
    <w:rsid w:val="00C10358"/>
    <w:rsid w:val="00C103EE"/>
    <w:rsid w:val="00C1122D"/>
    <w:rsid w:val="00C113B3"/>
    <w:rsid w:val="00C11646"/>
    <w:rsid w:val="00C11845"/>
    <w:rsid w:val="00C11EC0"/>
    <w:rsid w:val="00C12354"/>
    <w:rsid w:val="00C13460"/>
    <w:rsid w:val="00C134B6"/>
    <w:rsid w:val="00C13539"/>
    <w:rsid w:val="00C13876"/>
    <w:rsid w:val="00C1397F"/>
    <w:rsid w:val="00C13BA3"/>
    <w:rsid w:val="00C14817"/>
    <w:rsid w:val="00C15125"/>
    <w:rsid w:val="00C1571B"/>
    <w:rsid w:val="00C16753"/>
    <w:rsid w:val="00C17DC8"/>
    <w:rsid w:val="00C2039E"/>
    <w:rsid w:val="00C208C3"/>
    <w:rsid w:val="00C21624"/>
    <w:rsid w:val="00C22366"/>
    <w:rsid w:val="00C243A8"/>
    <w:rsid w:val="00C24E3D"/>
    <w:rsid w:val="00C25535"/>
    <w:rsid w:val="00C256EF"/>
    <w:rsid w:val="00C27377"/>
    <w:rsid w:val="00C30E9F"/>
    <w:rsid w:val="00C30FFF"/>
    <w:rsid w:val="00C313DE"/>
    <w:rsid w:val="00C31ABE"/>
    <w:rsid w:val="00C32788"/>
    <w:rsid w:val="00C32E75"/>
    <w:rsid w:val="00C3529B"/>
    <w:rsid w:val="00C36044"/>
    <w:rsid w:val="00C3651C"/>
    <w:rsid w:val="00C365F4"/>
    <w:rsid w:val="00C367AF"/>
    <w:rsid w:val="00C36AA5"/>
    <w:rsid w:val="00C36C51"/>
    <w:rsid w:val="00C37835"/>
    <w:rsid w:val="00C37DEB"/>
    <w:rsid w:val="00C416FA"/>
    <w:rsid w:val="00C41EF4"/>
    <w:rsid w:val="00C4289F"/>
    <w:rsid w:val="00C430A2"/>
    <w:rsid w:val="00C43884"/>
    <w:rsid w:val="00C438E8"/>
    <w:rsid w:val="00C43E2E"/>
    <w:rsid w:val="00C4468E"/>
    <w:rsid w:val="00C447CD"/>
    <w:rsid w:val="00C44C8B"/>
    <w:rsid w:val="00C4542F"/>
    <w:rsid w:val="00C4684E"/>
    <w:rsid w:val="00C46BA2"/>
    <w:rsid w:val="00C46D5D"/>
    <w:rsid w:val="00C46E8B"/>
    <w:rsid w:val="00C47073"/>
    <w:rsid w:val="00C475BF"/>
    <w:rsid w:val="00C50CC0"/>
    <w:rsid w:val="00C539B8"/>
    <w:rsid w:val="00C56883"/>
    <w:rsid w:val="00C57238"/>
    <w:rsid w:val="00C57E99"/>
    <w:rsid w:val="00C603D9"/>
    <w:rsid w:val="00C6110B"/>
    <w:rsid w:val="00C615AA"/>
    <w:rsid w:val="00C61C95"/>
    <w:rsid w:val="00C61E52"/>
    <w:rsid w:val="00C62549"/>
    <w:rsid w:val="00C6260B"/>
    <w:rsid w:val="00C638A7"/>
    <w:rsid w:val="00C653B6"/>
    <w:rsid w:val="00C65789"/>
    <w:rsid w:val="00C66A4C"/>
    <w:rsid w:val="00C66BC6"/>
    <w:rsid w:val="00C67351"/>
    <w:rsid w:val="00C7037F"/>
    <w:rsid w:val="00C70BBD"/>
    <w:rsid w:val="00C70D80"/>
    <w:rsid w:val="00C70DA9"/>
    <w:rsid w:val="00C7135F"/>
    <w:rsid w:val="00C714FA"/>
    <w:rsid w:val="00C72738"/>
    <w:rsid w:val="00C72E45"/>
    <w:rsid w:val="00C73A7C"/>
    <w:rsid w:val="00C73C9A"/>
    <w:rsid w:val="00C73DE0"/>
    <w:rsid w:val="00C75BCD"/>
    <w:rsid w:val="00C75E5E"/>
    <w:rsid w:val="00C77015"/>
    <w:rsid w:val="00C77294"/>
    <w:rsid w:val="00C778C1"/>
    <w:rsid w:val="00C77C66"/>
    <w:rsid w:val="00C81ABF"/>
    <w:rsid w:val="00C826CB"/>
    <w:rsid w:val="00C83548"/>
    <w:rsid w:val="00C83DBD"/>
    <w:rsid w:val="00C844F9"/>
    <w:rsid w:val="00C85682"/>
    <w:rsid w:val="00C85A3A"/>
    <w:rsid w:val="00C85B39"/>
    <w:rsid w:val="00C860A9"/>
    <w:rsid w:val="00C87502"/>
    <w:rsid w:val="00C878B5"/>
    <w:rsid w:val="00C87E9C"/>
    <w:rsid w:val="00C90EA0"/>
    <w:rsid w:val="00C92119"/>
    <w:rsid w:val="00C92435"/>
    <w:rsid w:val="00C92A91"/>
    <w:rsid w:val="00C9385F"/>
    <w:rsid w:val="00C940C2"/>
    <w:rsid w:val="00C94E20"/>
    <w:rsid w:val="00C95960"/>
    <w:rsid w:val="00C95DCD"/>
    <w:rsid w:val="00C96411"/>
    <w:rsid w:val="00C96960"/>
    <w:rsid w:val="00C9722C"/>
    <w:rsid w:val="00CA06DA"/>
    <w:rsid w:val="00CA0F9A"/>
    <w:rsid w:val="00CA178C"/>
    <w:rsid w:val="00CA17DB"/>
    <w:rsid w:val="00CA194A"/>
    <w:rsid w:val="00CA1E17"/>
    <w:rsid w:val="00CA29EB"/>
    <w:rsid w:val="00CA347C"/>
    <w:rsid w:val="00CA393A"/>
    <w:rsid w:val="00CA643A"/>
    <w:rsid w:val="00CA7634"/>
    <w:rsid w:val="00CA7BB8"/>
    <w:rsid w:val="00CB0A8D"/>
    <w:rsid w:val="00CB2369"/>
    <w:rsid w:val="00CB2501"/>
    <w:rsid w:val="00CB276F"/>
    <w:rsid w:val="00CB50AF"/>
    <w:rsid w:val="00CB50F7"/>
    <w:rsid w:val="00CB606C"/>
    <w:rsid w:val="00CB645D"/>
    <w:rsid w:val="00CB6C45"/>
    <w:rsid w:val="00CB7CCA"/>
    <w:rsid w:val="00CB7DBA"/>
    <w:rsid w:val="00CB7DDD"/>
    <w:rsid w:val="00CC067B"/>
    <w:rsid w:val="00CC133B"/>
    <w:rsid w:val="00CC166C"/>
    <w:rsid w:val="00CC1898"/>
    <w:rsid w:val="00CC34B5"/>
    <w:rsid w:val="00CC3658"/>
    <w:rsid w:val="00CC3959"/>
    <w:rsid w:val="00CC4CB5"/>
    <w:rsid w:val="00CC53E0"/>
    <w:rsid w:val="00CC69FD"/>
    <w:rsid w:val="00CD06EE"/>
    <w:rsid w:val="00CD0D4C"/>
    <w:rsid w:val="00CD12C8"/>
    <w:rsid w:val="00CD1714"/>
    <w:rsid w:val="00CD1A62"/>
    <w:rsid w:val="00CD2343"/>
    <w:rsid w:val="00CD26D5"/>
    <w:rsid w:val="00CD351D"/>
    <w:rsid w:val="00CD3934"/>
    <w:rsid w:val="00CD3C30"/>
    <w:rsid w:val="00CD4328"/>
    <w:rsid w:val="00CD55E8"/>
    <w:rsid w:val="00CD6154"/>
    <w:rsid w:val="00CD6E13"/>
    <w:rsid w:val="00CD6E7A"/>
    <w:rsid w:val="00CD7594"/>
    <w:rsid w:val="00CD78AE"/>
    <w:rsid w:val="00CE05F1"/>
    <w:rsid w:val="00CE15A2"/>
    <w:rsid w:val="00CE1EFE"/>
    <w:rsid w:val="00CE2C86"/>
    <w:rsid w:val="00CE30DF"/>
    <w:rsid w:val="00CE37AE"/>
    <w:rsid w:val="00CE3A36"/>
    <w:rsid w:val="00CE3AFA"/>
    <w:rsid w:val="00CE3F85"/>
    <w:rsid w:val="00CE4549"/>
    <w:rsid w:val="00CE45B7"/>
    <w:rsid w:val="00CE468D"/>
    <w:rsid w:val="00CE4776"/>
    <w:rsid w:val="00CE4A5B"/>
    <w:rsid w:val="00CE4DF4"/>
    <w:rsid w:val="00CE50D0"/>
    <w:rsid w:val="00CE5641"/>
    <w:rsid w:val="00CE5B19"/>
    <w:rsid w:val="00CE5C07"/>
    <w:rsid w:val="00CE5CA5"/>
    <w:rsid w:val="00CE61AE"/>
    <w:rsid w:val="00CE6936"/>
    <w:rsid w:val="00CE72A7"/>
    <w:rsid w:val="00CE7D59"/>
    <w:rsid w:val="00CF04DB"/>
    <w:rsid w:val="00CF13CB"/>
    <w:rsid w:val="00CF1DF4"/>
    <w:rsid w:val="00CF20A0"/>
    <w:rsid w:val="00CF2AED"/>
    <w:rsid w:val="00CF2B5D"/>
    <w:rsid w:val="00CF2E5C"/>
    <w:rsid w:val="00CF2FE0"/>
    <w:rsid w:val="00CF311D"/>
    <w:rsid w:val="00CF379D"/>
    <w:rsid w:val="00CF4D82"/>
    <w:rsid w:val="00CF4E7D"/>
    <w:rsid w:val="00CF58B7"/>
    <w:rsid w:val="00CF5ADD"/>
    <w:rsid w:val="00CF624D"/>
    <w:rsid w:val="00CF723E"/>
    <w:rsid w:val="00CF7465"/>
    <w:rsid w:val="00D00D16"/>
    <w:rsid w:val="00D0173A"/>
    <w:rsid w:val="00D0177A"/>
    <w:rsid w:val="00D02A8F"/>
    <w:rsid w:val="00D03561"/>
    <w:rsid w:val="00D03F17"/>
    <w:rsid w:val="00D043BC"/>
    <w:rsid w:val="00D046DC"/>
    <w:rsid w:val="00D04B9A"/>
    <w:rsid w:val="00D04D37"/>
    <w:rsid w:val="00D05369"/>
    <w:rsid w:val="00D05961"/>
    <w:rsid w:val="00D05995"/>
    <w:rsid w:val="00D05A5C"/>
    <w:rsid w:val="00D06205"/>
    <w:rsid w:val="00D06606"/>
    <w:rsid w:val="00D06D42"/>
    <w:rsid w:val="00D07B14"/>
    <w:rsid w:val="00D11063"/>
    <w:rsid w:val="00D11B2E"/>
    <w:rsid w:val="00D11CC0"/>
    <w:rsid w:val="00D138BE"/>
    <w:rsid w:val="00D13F52"/>
    <w:rsid w:val="00D145AF"/>
    <w:rsid w:val="00D14974"/>
    <w:rsid w:val="00D15B72"/>
    <w:rsid w:val="00D1699D"/>
    <w:rsid w:val="00D16F16"/>
    <w:rsid w:val="00D175E3"/>
    <w:rsid w:val="00D2033B"/>
    <w:rsid w:val="00D20950"/>
    <w:rsid w:val="00D217DD"/>
    <w:rsid w:val="00D22564"/>
    <w:rsid w:val="00D22775"/>
    <w:rsid w:val="00D22CFF"/>
    <w:rsid w:val="00D23E5D"/>
    <w:rsid w:val="00D24B81"/>
    <w:rsid w:val="00D258A0"/>
    <w:rsid w:val="00D2683D"/>
    <w:rsid w:val="00D26A60"/>
    <w:rsid w:val="00D2755B"/>
    <w:rsid w:val="00D27F40"/>
    <w:rsid w:val="00D27F61"/>
    <w:rsid w:val="00D31677"/>
    <w:rsid w:val="00D316FE"/>
    <w:rsid w:val="00D326BC"/>
    <w:rsid w:val="00D33493"/>
    <w:rsid w:val="00D33EDF"/>
    <w:rsid w:val="00D34839"/>
    <w:rsid w:val="00D34F84"/>
    <w:rsid w:val="00D351C1"/>
    <w:rsid w:val="00D3532B"/>
    <w:rsid w:val="00D3575B"/>
    <w:rsid w:val="00D3583A"/>
    <w:rsid w:val="00D35EFB"/>
    <w:rsid w:val="00D4000C"/>
    <w:rsid w:val="00D4035E"/>
    <w:rsid w:val="00D4164B"/>
    <w:rsid w:val="00D422B7"/>
    <w:rsid w:val="00D42582"/>
    <w:rsid w:val="00D42B65"/>
    <w:rsid w:val="00D43B09"/>
    <w:rsid w:val="00D4531A"/>
    <w:rsid w:val="00D453D0"/>
    <w:rsid w:val="00D457EC"/>
    <w:rsid w:val="00D45DD1"/>
    <w:rsid w:val="00D46CCA"/>
    <w:rsid w:val="00D47D55"/>
    <w:rsid w:val="00D47E45"/>
    <w:rsid w:val="00D504B3"/>
    <w:rsid w:val="00D50EB9"/>
    <w:rsid w:val="00D52403"/>
    <w:rsid w:val="00D5251D"/>
    <w:rsid w:val="00D525E5"/>
    <w:rsid w:val="00D52BE5"/>
    <w:rsid w:val="00D52D15"/>
    <w:rsid w:val="00D53373"/>
    <w:rsid w:val="00D53BAF"/>
    <w:rsid w:val="00D5407E"/>
    <w:rsid w:val="00D54B2E"/>
    <w:rsid w:val="00D559A6"/>
    <w:rsid w:val="00D55D6D"/>
    <w:rsid w:val="00D55F2C"/>
    <w:rsid w:val="00D567C4"/>
    <w:rsid w:val="00D57902"/>
    <w:rsid w:val="00D6184D"/>
    <w:rsid w:val="00D61DBA"/>
    <w:rsid w:val="00D6209A"/>
    <w:rsid w:val="00D62AA2"/>
    <w:rsid w:val="00D634CC"/>
    <w:rsid w:val="00D63F06"/>
    <w:rsid w:val="00D63FE0"/>
    <w:rsid w:val="00D64624"/>
    <w:rsid w:val="00D6485B"/>
    <w:rsid w:val="00D6632D"/>
    <w:rsid w:val="00D663E4"/>
    <w:rsid w:val="00D66C36"/>
    <w:rsid w:val="00D66D20"/>
    <w:rsid w:val="00D671FA"/>
    <w:rsid w:val="00D67897"/>
    <w:rsid w:val="00D70848"/>
    <w:rsid w:val="00D70AF5"/>
    <w:rsid w:val="00D71C7B"/>
    <w:rsid w:val="00D728A6"/>
    <w:rsid w:val="00D738A7"/>
    <w:rsid w:val="00D741BF"/>
    <w:rsid w:val="00D7478A"/>
    <w:rsid w:val="00D74983"/>
    <w:rsid w:val="00D749CE"/>
    <w:rsid w:val="00D74E64"/>
    <w:rsid w:val="00D75149"/>
    <w:rsid w:val="00D76729"/>
    <w:rsid w:val="00D76964"/>
    <w:rsid w:val="00D7747A"/>
    <w:rsid w:val="00D77696"/>
    <w:rsid w:val="00D77ADA"/>
    <w:rsid w:val="00D77D12"/>
    <w:rsid w:val="00D807FA"/>
    <w:rsid w:val="00D8190E"/>
    <w:rsid w:val="00D82291"/>
    <w:rsid w:val="00D8251C"/>
    <w:rsid w:val="00D82A53"/>
    <w:rsid w:val="00D836E6"/>
    <w:rsid w:val="00D84905"/>
    <w:rsid w:val="00D85222"/>
    <w:rsid w:val="00D867B7"/>
    <w:rsid w:val="00D86BF0"/>
    <w:rsid w:val="00D870A2"/>
    <w:rsid w:val="00D8716F"/>
    <w:rsid w:val="00D872F1"/>
    <w:rsid w:val="00D8756E"/>
    <w:rsid w:val="00D87F56"/>
    <w:rsid w:val="00D91A12"/>
    <w:rsid w:val="00D91D26"/>
    <w:rsid w:val="00D91EDD"/>
    <w:rsid w:val="00D9216C"/>
    <w:rsid w:val="00D931F3"/>
    <w:rsid w:val="00D9379E"/>
    <w:rsid w:val="00D94D52"/>
    <w:rsid w:val="00D94EB1"/>
    <w:rsid w:val="00D95F0C"/>
    <w:rsid w:val="00D9633E"/>
    <w:rsid w:val="00D968FC"/>
    <w:rsid w:val="00D975A8"/>
    <w:rsid w:val="00D976B5"/>
    <w:rsid w:val="00D977A1"/>
    <w:rsid w:val="00D97899"/>
    <w:rsid w:val="00D97F9F"/>
    <w:rsid w:val="00DA0835"/>
    <w:rsid w:val="00DA1770"/>
    <w:rsid w:val="00DA2C13"/>
    <w:rsid w:val="00DA2CB1"/>
    <w:rsid w:val="00DA2CB3"/>
    <w:rsid w:val="00DA306B"/>
    <w:rsid w:val="00DA3A84"/>
    <w:rsid w:val="00DA427A"/>
    <w:rsid w:val="00DA42FA"/>
    <w:rsid w:val="00DA50FF"/>
    <w:rsid w:val="00DA605D"/>
    <w:rsid w:val="00DA609E"/>
    <w:rsid w:val="00DA6235"/>
    <w:rsid w:val="00DA6517"/>
    <w:rsid w:val="00DA666A"/>
    <w:rsid w:val="00DA6D8A"/>
    <w:rsid w:val="00DB157C"/>
    <w:rsid w:val="00DB2714"/>
    <w:rsid w:val="00DB3276"/>
    <w:rsid w:val="00DB39AC"/>
    <w:rsid w:val="00DB3F59"/>
    <w:rsid w:val="00DB4380"/>
    <w:rsid w:val="00DB4C51"/>
    <w:rsid w:val="00DB4F68"/>
    <w:rsid w:val="00DB5643"/>
    <w:rsid w:val="00DB61BF"/>
    <w:rsid w:val="00DB632E"/>
    <w:rsid w:val="00DB718E"/>
    <w:rsid w:val="00DBE686"/>
    <w:rsid w:val="00DC0235"/>
    <w:rsid w:val="00DC0355"/>
    <w:rsid w:val="00DC0C3B"/>
    <w:rsid w:val="00DC131D"/>
    <w:rsid w:val="00DC1751"/>
    <w:rsid w:val="00DC39AB"/>
    <w:rsid w:val="00DC3A0C"/>
    <w:rsid w:val="00DC41F4"/>
    <w:rsid w:val="00DC4482"/>
    <w:rsid w:val="00DC4AB8"/>
    <w:rsid w:val="00DC528B"/>
    <w:rsid w:val="00DC5B39"/>
    <w:rsid w:val="00DC65CA"/>
    <w:rsid w:val="00DC6FB8"/>
    <w:rsid w:val="00DC73AE"/>
    <w:rsid w:val="00DD0423"/>
    <w:rsid w:val="00DD050F"/>
    <w:rsid w:val="00DD1E19"/>
    <w:rsid w:val="00DD29E2"/>
    <w:rsid w:val="00DD31F3"/>
    <w:rsid w:val="00DD4EA0"/>
    <w:rsid w:val="00DD52F0"/>
    <w:rsid w:val="00DD53DD"/>
    <w:rsid w:val="00DD60F4"/>
    <w:rsid w:val="00DD630C"/>
    <w:rsid w:val="00DD72F0"/>
    <w:rsid w:val="00DD7B36"/>
    <w:rsid w:val="00DE0BFB"/>
    <w:rsid w:val="00DE0CE5"/>
    <w:rsid w:val="00DE0E45"/>
    <w:rsid w:val="00DE10F9"/>
    <w:rsid w:val="00DE11C3"/>
    <w:rsid w:val="00DE1674"/>
    <w:rsid w:val="00DE330D"/>
    <w:rsid w:val="00DE364E"/>
    <w:rsid w:val="00DE3AB2"/>
    <w:rsid w:val="00DE437C"/>
    <w:rsid w:val="00DE6810"/>
    <w:rsid w:val="00DE7AF4"/>
    <w:rsid w:val="00DF0026"/>
    <w:rsid w:val="00DF26B2"/>
    <w:rsid w:val="00DF30B3"/>
    <w:rsid w:val="00DF3157"/>
    <w:rsid w:val="00DF377A"/>
    <w:rsid w:val="00DF401E"/>
    <w:rsid w:val="00DF5672"/>
    <w:rsid w:val="00DF5D2A"/>
    <w:rsid w:val="00DF674A"/>
    <w:rsid w:val="00DF6C0E"/>
    <w:rsid w:val="00DF7831"/>
    <w:rsid w:val="00DF7AC4"/>
    <w:rsid w:val="00E00123"/>
    <w:rsid w:val="00E0025F"/>
    <w:rsid w:val="00E00D8E"/>
    <w:rsid w:val="00E01494"/>
    <w:rsid w:val="00E028A0"/>
    <w:rsid w:val="00E0370E"/>
    <w:rsid w:val="00E040CF"/>
    <w:rsid w:val="00E04279"/>
    <w:rsid w:val="00E04644"/>
    <w:rsid w:val="00E04D14"/>
    <w:rsid w:val="00E05032"/>
    <w:rsid w:val="00E052AD"/>
    <w:rsid w:val="00E0557B"/>
    <w:rsid w:val="00E05877"/>
    <w:rsid w:val="00E06208"/>
    <w:rsid w:val="00E06327"/>
    <w:rsid w:val="00E0677C"/>
    <w:rsid w:val="00E0796F"/>
    <w:rsid w:val="00E07B66"/>
    <w:rsid w:val="00E103AF"/>
    <w:rsid w:val="00E107F2"/>
    <w:rsid w:val="00E10F59"/>
    <w:rsid w:val="00E11557"/>
    <w:rsid w:val="00E13694"/>
    <w:rsid w:val="00E13C60"/>
    <w:rsid w:val="00E13FC0"/>
    <w:rsid w:val="00E141AD"/>
    <w:rsid w:val="00E14328"/>
    <w:rsid w:val="00E15935"/>
    <w:rsid w:val="00E15BBA"/>
    <w:rsid w:val="00E15F1B"/>
    <w:rsid w:val="00E1666F"/>
    <w:rsid w:val="00E17A04"/>
    <w:rsid w:val="00E205E9"/>
    <w:rsid w:val="00E20CB6"/>
    <w:rsid w:val="00E21276"/>
    <w:rsid w:val="00E2141F"/>
    <w:rsid w:val="00E21949"/>
    <w:rsid w:val="00E22F0F"/>
    <w:rsid w:val="00E22FCE"/>
    <w:rsid w:val="00E23EF4"/>
    <w:rsid w:val="00E23EFE"/>
    <w:rsid w:val="00E24A31"/>
    <w:rsid w:val="00E24D8C"/>
    <w:rsid w:val="00E25CF2"/>
    <w:rsid w:val="00E261DB"/>
    <w:rsid w:val="00E265F3"/>
    <w:rsid w:val="00E2753D"/>
    <w:rsid w:val="00E3101B"/>
    <w:rsid w:val="00E3179B"/>
    <w:rsid w:val="00E31DB6"/>
    <w:rsid w:val="00E32120"/>
    <w:rsid w:val="00E32219"/>
    <w:rsid w:val="00E32608"/>
    <w:rsid w:val="00E32674"/>
    <w:rsid w:val="00E32E46"/>
    <w:rsid w:val="00E3342B"/>
    <w:rsid w:val="00E34ED1"/>
    <w:rsid w:val="00E3608A"/>
    <w:rsid w:val="00E371E5"/>
    <w:rsid w:val="00E41F7B"/>
    <w:rsid w:val="00E42460"/>
    <w:rsid w:val="00E43E14"/>
    <w:rsid w:val="00E44865"/>
    <w:rsid w:val="00E448C1"/>
    <w:rsid w:val="00E45277"/>
    <w:rsid w:val="00E453C2"/>
    <w:rsid w:val="00E4665D"/>
    <w:rsid w:val="00E46CF5"/>
    <w:rsid w:val="00E46FA5"/>
    <w:rsid w:val="00E47858"/>
    <w:rsid w:val="00E47C41"/>
    <w:rsid w:val="00E47FE3"/>
    <w:rsid w:val="00E5021A"/>
    <w:rsid w:val="00E50DED"/>
    <w:rsid w:val="00E51079"/>
    <w:rsid w:val="00E51487"/>
    <w:rsid w:val="00E51920"/>
    <w:rsid w:val="00E51951"/>
    <w:rsid w:val="00E51D41"/>
    <w:rsid w:val="00E52353"/>
    <w:rsid w:val="00E52643"/>
    <w:rsid w:val="00E52D4E"/>
    <w:rsid w:val="00E55AEF"/>
    <w:rsid w:val="00E55C8D"/>
    <w:rsid w:val="00E55D74"/>
    <w:rsid w:val="00E55EC0"/>
    <w:rsid w:val="00E5692C"/>
    <w:rsid w:val="00E56C72"/>
    <w:rsid w:val="00E56CCD"/>
    <w:rsid w:val="00E57087"/>
    <w:rsid w:val="00E57751"/>
    <w:rsid w:val="00E60151"/>
    <w:rsid w:val="00E60646"/>
    <w:rsid w:val="00E60932"/>
    <w:rsid w:val="00E611DD"/>
    <w:rsid w:val="00E62794"/>
    <w:rsid w:val="00E62C03"/>
    <w:rsid w:val="00E62FA4"/>
    <w:rsid w:val="00E63934"/>
    <w:rsid w:val="00E64120"/>
    <w:rsid w:val="00E643C7"/>
    <w:rsid w:val="00E645AB"/>
    <w:rsid w:val="00E65D5D"/>
    <w:rsid w:val="00E660A1"/>
    <w:rsid w:val="00E66661"/>
    <w:rsid w:val="00E66C69"/>
    <w:rsid w:val="00E70B04"/>
    <w:rsid w:val="00E70C7A"/>
    <w:rsid w:val="00E70D2A"/>
    <w:rsid w:val="00E71CAD"/>
    <w:rsid w:val="00E7223E"/>
    <w:rsid w:val="00E72AE9"/>
    <w:rsid w:val="00E73150"/>
    <w:rsid w:val="00E73C9C"/>
    <w:rsid w:val="00E740B4"/>
    <w:rsid w:val="00E7412B"/>
    <w:rsid w:val="00E74669"/>
    <w:rsid w:val="00E7529E"/>
    <w:rsid w:val="00E763FD"/>
    <w:rsid w:val="00E770B7"/>
    <w:rsid w:val="00E77249"/>
    <w:rsid w:val="00E7727E"/>
    <w:rsid w:val="00E779C8"/>
    <w:rsid w:val="00E77C91"/>
    <w:rsid w:val="00E77F85"/>
    <w:rsid w:val="00E801C9"/>
    <w:rsid w:val="00E80825"/>
    <w:rsid w:val="00E81EC8"/>
    <w:rsid w:val="00E81FDD"/>
    <w:rsid w:val="00E824EB"/>
    <w:rsid w:val="00E830CE"/>
    <w:rsid w:val="00E8343F"/>
    <w:rsid w:val="00E83544"/>
    <w:rsid w:val="00E84414"/>
    <w:rsid w:val="00E84E73"/>
    <w:rsid w:val="00E851C4"/>
    <w:rsid w:val="00E862AD"/>
    <w:rsid w:val="00E8764F"/>
    <w:rsid w:val="00E87685"/>
    <w:rsid w:val="00E87DA7"/>
    <w:rsid w:val="00E91BDC"/>
    <w:rsid w:val="00E92D26"/>
    <w:rsid w:val="00E93AA7"/>
    <w:rsid w:val="00E94633"/>
    <w:rsid w:val="00E94BAF"/>
    <w:rsid w:val="00E94CC7"/>
    <w:rsid w:val="00E9516B"/>
    <w:rsid w:val="00E958CA"/>
    <w:rsid w:val="00E95C28"/>
    <w:rsid w:val="00E966B3"/>
    <w:rsid w:val="00EA0A3C"/>
    <w:rsid w:val="00EA1C2A"/>
    <w:rsid w:val="00EA2191"/>
    <w:rsid w:val="00EA2B84"/>
    <w:rsid w:val="00EA313C"/>
    <w:rsid w:val="00EA376D"/>
    <w:rsid w:val="00EA3BBC"/>
    <w:rsid w:val="00EA4676"/>
    <w:rsid w:val="00EA4C42"/>
    <w:rsid w:val="00EA4F39"/>
    <w:rsid w:val="00EA4F7D"/>
    <w:rsid w:val="00EA5A43"/>
    <w:rsid w:val="00EA6EAF"/>
    <w:rsid w:val="00EB096F"/>
    <w:rsid w:val="00EB1F10"/>
    <w:rsid w:val="00EB21DD"/>
    <w:rsid w:val="00EB2939"/>
    <w:rsid w:val="00EB2EE5"/>
    <w:rsid w:val="00EB30B9"/>
    <w:rsid w:val="00EB3E7C"/>
    <w:rsid w:val="00EB4B5D"/>
    <w:rsid w:val="00EB506C"/>
    <w:rsid w:val="00EB50BA"/>
    <w:rsid w:val="00EB5458"/>
    <w:rsid w:val="00EB56EB"/>
    <w:rsid w:val="00EB5BD3"/>
    <w:rsid w:val="00EB6C88"/>
    <w:rsid w:val="00EB7218"/>
    <w:rsid w:val="00EB7EB8"/>
    <w:rsid w:val="00EC06AF"/>
    <w:rsid w:val="00EC145B"/>
    <w:rsid w:val="00EC1738"/>
    <w:rsid w:val="00EC1CB7"/>
    <w:rsid w:val="00EC5723"/>
    <w:rsid w:val="00EC5FE2"/>
    <w:rsid w:val="00EC6EB0"/>
    <w:rsid w:val="00EC7FB8"/>
    <w:rsid w:val="00ED06DC"/>
    <w:rsid w:val="00ED0EAD"/>
    <w:rsid w:val="00ED1B2B"/>
    <w:rsid w:val="00ED2E0B"/>
    <w:rsid w:val="00ED4997"/>
    <w:rsid w:val="00ED5BA7"/>
    <w:rsid w:val="00ED6624"/>
    <w:rsid w:val="00ED66FF"/>
    <w:rsid w:val="00ED7195"/>
    <w:rsid w:val="00ED79D1"/>
    <w:rsid w:val="00ED7D5B"/>
    <w:rsid w:val="00EE00ED"/>
    <w:rsid w:val="00EE1313"/>
    <w:rsid w:val="00EE217F"/>
    <w:rsid w:val="00EE2303"/>
    <w:rsid w:val="00EE25CC"/>
    <w:rsid w:val="00EE30B6"/>
    <w:rsid w:val="00EE3570"/>
    <w:rsid w:val="00EE3B8F"/>
    <w:rsid w:val="00EE4799"/>
    <w:rsid w:val="00EE55B9"/>
    <w:rsid w:val="00EE5CE4"/>
    <w:rsid w:val="00EE6DA3"/>
    <w:rsid w:val="00EE737D"/>
    <w:rsid w:val="00EE797F"/>
    <w:rsid w:val="00EF102B"/>
    <w:rsid w:val="00EF1C40"/>
    <w:rsid w:val="00EF4C98"/>
    <w:rsid w:val="00EF4D43"/>
    <w:rsid w:val="00EF4F1B"/>
    <w:rsid w:val="00EF5638"/>
    <w:rsid w:val="00EF65AA"/>
    <w:rsid w:val="00EF6CCD"/>
    <w:rsid w:val="00EF7779"/>
    <w:rsid w:val="00F000C6"/>
    <w:rsid w:val="00F009D4"/>
    <w:rsid w:val="00F00E69"/>
    <w:rsid w:val="00F0167B"/>
    <w:rsid w:val="00F01F96"/>
    <w:rsid w:val="00F02140"/>
    <w:rsid w:val="00F025E0"/>
    <w:rsid w:val="00F027B0"/>
    <w:rsid w:val="00F047C1"/>
    <w:rsid w:val="00F04BB7"/>
    <w:rsid w:val="00F05333"/>
    <w:rsid w:val="00F055F1"/>
    <w:rsid w:val="00F05795"/>
    <w:rsid w:val="00F05872"/>
    <w:rsid w:val="00F05DC9"/>
    <w:rsid w:val="00F069A7"/>
    <w:rsid w:val="00F06C01"/>
    <w:rsid w:val="00F071E9"/>
    <w:rsid w:val="00F102F9"/>
    <w:rsid w:val="00F1134C"/>
    <w:rsid w:val="00F11DCB"/>
    <w:rsid w:val="00F13B04"/>
    <w:rsid w:val="00F1422F"/>
    <w:rsid w:val="00F14FFC"/>
    <w:rsid w:val="00F17981"/>
    <w:rsid w:val="00F2053F"/>
    <w:rsid w:val="00F20847"/>
    <w:rsid w:val="00F20A2D"/>
    <w:rsid w:val="00F20C07"/>
    <w:rsid w:val="00F20F00"/>
    <w:rsid w:val="00F22752"/>
    <w:rsid w:val="00F22BB1"/>
    <w:rsid w:val="00F231F1"/>
    <w:rsid w:val="00F24763"/>
    <w:rsid w:val="00F25702"/>
    <w:rsid w:val="00F2636F"/>
    <w:rsid w:val="00F26788"/>
    <w:rsid w:val="00F27A37"/>
    <w:rsid w:val="00F27FCC"/>
    <w:rsid w:val="00F3017B"/>
    <w:rsid w:val="00F3071B"/>
    <w:rsid w:val="00F3072B"/>
    <w:rsid w:val="00F3095A"/>
    <w:rsid w:val="00F31B11"/>
    <w:rsid w:val="00F31C7C"/>
    <w:rsid w:val="00F332B2"/>
    <w:rsid w:val="00F3398B"/>
    <w:rsid w:val="00F33A24"/>
    <w:rsid w:val="00F342E4"/>
    <w:rsid w:val="00F357F7"/>
    <w:rsid w:val="00F3659D"/>
    <w:rsid w:val="00F377BD"/>
    <w:rsid w:val="00F37E12"/>
    <w:rsid w:val="00F4027F"/>
    <w:rsid w:val="00F40316"/>
    <w:rsid w:val="00F4035C"/>
    <w:rsid w:val="00F40654"/>
    <w:rsid w:val="00F40BF2"/>
    <w:rsid w:val="00F417DF"/>
    <w:rsid w:val="00F4317E"/>
    <w:rsid w:val="00F43D43"/>
    <w:rsid w:val="00F44029"/>
    <w:rsid w:val="00F4411C"/>
    <w:rsid w:val="00F44334"/>
    <w:rsid w:val="00F44D63"/>
    <w:rsid w:val="00F451DB"/>
    <w:rsid w:val="00F46D41"/>
    <w:rsid w:val="00F47133"/>
    <w:rsid w:val="00F47137"/>
    <w:rsid w:val="00F47164"/>
    <w:rsid w:val="00F47246"/>
    <w:rsid w:val="00F47F49"/>
    <w:rsid w:val="00F5071D"/>
    <w:rsid w:val="00F5175F"/>
    <w:rsid w:val="00F51CD1"/>
    <w:rsid w:val="00F52A0E"/>
    <w:rsid w:val="00F5336D"/>
    <w:rsid w:val="00F53B61"/>
    <w:rsid w:val="00F54040"/>
    <w:rsid w:val="00F54611"/>
    <w:rsid w:val="00F555C4"/>
    <w:rsid w:val="00F55EDD"/>
    <w:rsid w:val="00F56322"/>
    <w:rsid w:val="00F56A8A"/>
    <w:rsid w:val="00F60BF6"/>
    <w:rsid w:val="00F61026"/>
    <w:rsid w:val="00F610AF"/>
    <w:rsid w:val="00F61B8B"/>
    <w:rsid w:val="00F626DD"/>
    <w:rsid w:val="00F63339"/>
    <w:rsid w:val="00F63347"/>
    <w:rsid w:val="00F64C11"/>
    <w:rsid w:val="00F65C51"/>
    <w:rsid w:val="00F66283"/>
    <w:rsid w:val="00F66404"/>
    <w:rsid w:val="00F671A8"/>
    <w:rsid w:val="00F67E38"/>
    <w:rsid w:val="00F702D1"/>
    <w:rsid w:val="00F70707"/>
    <w:rsid w:val="00F70BCE"/>
    <w:rsid w:val="00F71591"/>
    <w:rsid w:val="00F715DC"/>
    <w:rsid w:val="00F72BBF"/>
    <w:rsid w:val="00F7357F"/>
    <w:rsid w:val="00F747DF"/>
    <w:rsid w:val="00F75013"/>
    <w:rsid w:val="00F752D8"/>
    <w:rsid w:val="00F753F3"/>
    <w:rsid w:val="00F7586A"/>
    <w:rsid w:val="00F75EF3"/>
    <w:rsid w:val="00F80A3D"/>
    <w:rsid w:val="00F81619"/>
    <w:rsid w:val="00F8245D"/>
    <w:rsid w:val="00F8295D"/>
    <w:rsid w:val="00F83359"/>
    <w:rsid w:val="00F83C33"/>
    <w:rsid w:val="00F83F84"/>
    <w:rsid w:val="00F841B9"/>
    <w:rsid w:val="00F848EC"/>
    <w:rsid w:val="00F84FE6"/>
    <w:rsid w:val="00F85070"/>
    <w:rsid w:val="00F86117"/>
    <w:rsid w:val="00F8637D"/>
    <w:rsid w:val="00F86425"/>
    <w:rsid w:val="00F8721F"/>
    <w:rsid w:val="00F87984"/>
    <w:rsid w:val="00F918BE"/>
    <w:rsid w:val="00F91E27"/>
    <w:rsid w:val="00F91F3A"/>
    <w:rsid w:val="00F9248B"/>
    <w:rsid w:val="00F92F59"/>
    <w:rsid w:val="00F945FF"/>
    <w:rsid w:val="00F948C5"/>
    <w:rsid w:val="00F9580D"/>
    <w:rsid w:val="00F95949"/>
    <w:rsid w:val="00F95D00"/>
    <w:rsid w:val="00F965E9"/>
    <w:rsid w:val="00F97FE2"/>
    <w:rsid w:val="00FA06D2"/>
    <w:rsid w:val="00FA085F"/>
    <w:rsid w:val="00FA09DE"/>
    <w:rsid w:val="00FA0A45"/>
    <w:rsid w:val="00FA1840"/>
    <w:rsid w:val="00FA2BF1"/>
    <w:rsid w:val="00FA2C5A"/>
    <w:rsid w:val="00FA4AB8"/>
    <w:rsid w:val="00FA530B"/>
    <w:rsid w:val="00FA5544"/>
    <w:rsid w:val="00FA58C7"/>
    <w:rsid w:val="00FA5C3F"/>
    <w:rsid w:val="00FA63A3"/>
    <w:rsid w:val="00FA6517"/>
    <w:rsid w:val="00FB0086"/>
    <w:rsid w:val="00FB0CD7"/>
    <w:rsid w:val="00FB1B45"/>
    <w:rsid w:val="00FB1E7A"/>
    <w:rsid w:val="00FB295D"/>
    <w:rsid w:val="00FB361F"/>
    <w:rsid w:val="00FB3934"/>
    <w:rsid w:val="00FB3D63"/>
    <w:rsid w:val="00FB3D6A"/>
    <w:rsid w:val="00FB45B7"/>
    <w:rsid w:val="00FB4CA2"/>
    <w:rsid w:val="00FB4FC9"/>
    <w:rsid w:val="00FB540A"/>
    <w:rsid w:val="00FB576C"/>
    <w:rsid w:val="00FB5A43"/>
    <w:rsid w:val="00FB6607"/>
    <w:rsid w:val="00FB6E85"/>
    <w:rsid w:val="00FB7E9E"/>
    <w:rsid w:val="00FC1B81"/>
    <w:rsid w:val="00FC25A5"/>
    <w:rsid w:val="00FC2D11"/>
    <w:rsid w:val="00FC2EF8"/>
    <w:rsid w:val="00FC3624"/>
    <w:rsid w:val="00FC3F4A"/>
    <w:rsid w:val="00FC443A"/>
    <w:rsid w:val="00FC464A"/>
    <w:rsid w:val="00FC5893"/>
    <w:rsid w:val="00FC613B"/>
    <w:rsid w:val="00FC6230"/>
    <w:rsid w:val="00FC64BC"/>
    <w:rsid w:val="00FC65C9"/>
    <w:rsid w:val="00FC684C"/>
    <w:rsid w:val="00FC6A23"/>
    <w:rsid w:val="00FC6DC2"/>
    <w:rsid w:val="00FC6EF7"/>
    <w:rsid w:val="00FC71D2"/>
    <w:rsid w:val="00FD0166"/>
    <w:rsid w:val="00FD2537"/>
    <w:rsid w:val="00FD3474"/>
    <w:rsid w:val="00FD4E6D"/>
    <w:rsid w:val="00FD5989"/>
    <w:rsid w:val="00FD5A9D"/>
    <w:rsid w:val="00FE0350"/>
    <w:rsid w:val="00FE18D1"/>
    <w:rsid w:val="00FE1C5D"/>
    <w:rsid w:val="00FE1C82"/>
    <w:rsid w:val="00FE3907"/>
    <w:rsid w:val="00FE4DCB"/>
    <w:rsid w:val="00FE6C67"/>
    <w:rsid w:val="00FE7E06"/>
    <w:rsid w:val="00FF004E"/>
    <w:rsid w:val="00FF0AD0"/>
    <w:rsid w:val="00FF0E61"/>
    <w:rsid w:val="00FF19EB"/>
    <w:rsid w:val="00FF26D1"/>
    <w:rsid w:val="00FF2A67"/>
    <w:rsid w:val="00FF3832"/>
    <w:rsid w:val="00FF4122"/>
    <w:rsid w:val="00FF4346"/>
    <w:rsid w:val="00FF4AEA"/>
    <w:rsid w:val="00FF520F"/>
    <w:rsid w:val="00FF5FF1"/>
    <w:rsid w:val="00FF61E7"/>
    <w:rsid w:val="00FF64B2"/>
    <w:rsid w:val="00FF65C1"/>
    <w:rsid w:val="00FF6856"/>
    <w:rsid w:val="00FF7ACA"/>
    <w:rsid w:val="010D3C0F"/>
    <w:rsid w:val="011A27E4"/>
    <w:rsid w:val="015A2137"/>
    <w:rsid w:val="019FD670"/>
    <w:rsid w:val="01A8C373"/>
    <w:rsid w:val="021F0EE2"/>
    <w:rsid w:val="022E2828"/>
    <w:rsid w:val="0251D429"/>
    <w:rsid w:val="025A1B21"/>
    <w:rsid w:val="026BCA64"/>
    <w:rsid w:val="027E0486"/>
    <w:rsid w:val="02892CB6"/>
    <w:rsid w:val="02A61A0A"/>
    <w:rsid w:val="02AEFF12"/>
    <w:rsid w:val="02C88A75"/>
    <w:rsid w:val="02F7DFAC"/>
    <w:rsid w:val="0322D336"/>
    <w:rsid w:val="0340DF8C"/>
    <w:rsid w:val="0373AB87"/>
    <w:rsid w:val="037B40FA"/>
    <w:rsid w:val="03960DFF"/>
    <w:rsid w:val="03A2B9F3"/>
    <w:rsid w:val="03A7541E"/>
    <w:rsid w:val="03B01890"/>
    <w:rsid w:val="03B7D2F4"/>
    <w:rsid w:val="03CBDE73"/>
    <w:rsid w:val="043A41FC"/>
    <w:rsid w:val="0468E9B6"/>
    <w:rsid w:val="046B4A9A"/>
    <w:rsid w:val="04810839"/>
    <w:rsid w:val="049FB613"/>
    <w:rsid w:val="04AF5F69"/>
    <w:rsid w:val="04B3227C"/>
    <w:rsid w:val="04B56F72"/>
    <w:rsid w:val="04C1AD6F"/>
    <w:rsid w:val="04D2516E"/>
    <w:rsid w:val="04FAE734"/>
    <w:rsid w:val="04FDA1C8"/>
    <w:rsid w:val="0508A24F"/>
    <w:rsid w:val="050C5B2B"/>
    <w:rsid w:val="0515405D"/>
    <w:rsid w:val="0551B72B"/>
    <w:rsid w:val="0561CF30"/>
    <w:rsid w:val="058CF131"/>
    <w:rsid w:val="05DE2F0B"/>
    <w:rsid w:val="05E4E92E"/>
    <w:rsid w:val="05EAEB01"/>
    <w:rsid w:val="05FE28FE"/>
    <w:rsid w:val="06330A90"/>
    <w:rsid w:val="069D5153"/>
    <w:rsid w:val="06D45246"/>
    <w:rsid w:val="06D57BBF"/>
    <w:rsid w:val="06E7B296"/>
    <w:rsid w:val="07103BE9"/>
    <w:rsid w:val="074D76CE"/>
    <w:rsid w:val="075A24BE"/>
    <w:rsid w:val="077F2CF1"/>
    <w:rsid w:val="07827035"/>
    <w:rsid w:val="07AC273A"/>
    <w:rsid w:val="07F4818B"/>
    <w:rsid w:val="085292F5"/>
    <w:rsid w:val="08B31932"/>
    <w:rsid w:val="08CB639C"/>
    <w:rsid w:val="091528C3"/>
    <w:rsid w:val="092D2F6E"/>
    <w:rsid w:val="093D51F8"/>
    <w:rsid w:val="094090FF"/>
    <w:rsid w:val="0953A5D4"/>
    <w:rsid w:val="0971A004"/>
    <w:rsid w:val="09728E30"/>
    <w:rsid w:val="0975249D"/>
    <w:rsid w:val="0975FA2D"/>
    <w:rsid w:val="09AD6CBE"/>
    <w:rsid w:val="09CB99F6"/>
    <w:rsid w:val="09D40FC7"/>
    <w:rsid w:val="0A283F4B"/>
    <w:rsid w:val="0A317C78"/>
    <w:rsid w:val="0A50C880"/>
    <w:rsid w:val="0A52FC1F"/>
    <w:rsid w:val="0A771DD9"/>
    <w:rsid w:val="0AA8E55A"/>
    <w:rsid w:val="0AAA35FC"/>
    <w:rsid w:val="0AACCBB3"/>
    <w:rsid w:val="0AB0730B"/>
    <w:rsid w:val="0ACB945A"/>
    <w:rsid w:val="0ADCCE59"/>
    <w:rsid w:val="0AEF09C5"/>
    <w:rsid w:val="0AF253AF"/>
    <w:rsid w:val="0BB5F386"/>
    <w:rsid w:val="0BCAF04B"/>
    <w:rsid w:val="0BD01A22"/>
    <w:rsid w:val="0C42E48E"/>
    <w:rsid w:val="0C5709CD"/>
    <w:rsid w:val="0C8860BB"/>
    <w:rsid w:val="0C8DED13"/>
    <w:rsid w:val="0CA8B652"/>
    <w:rsid w:val="0CB87ED8"/>
    <w:rsid w:val="0D09ACDC"/>
    <w:rsid w:val="0D1A7B71"/>
    <w:rsid w:val="0D2726C3"/>
    <w:rsid w:val="0D544FAE"/>
    <w:rsid w:val="0D546D1F"/>
    <w:rsid w:val="0D7A2804"/>
    <w:rsid w:val="0DB97543"/>
    <w:rsid w:val="0DC5B01C"/>
    <w:rsid w:val="0DD6869C"/>
    <w:rsid w:val="0DDC6FC2"/>
    <w:rsid w:val="0E3BC0D4"/>
    <w:rsid w:val="0E6D9138"/>
    <w:rsid w:val="0E8FBCD7"/>
    <w:rsid w:val="0E945A02"/>
    <w:rsid w:val="0E95F3B7"/>
    <w:rsid w:val="0E9EC6B6"/>
    <w:rsid w:val="0EB69FF7"/>
    <w:rsid w:val="0EB8355A"/>
    <w:rsid w:val="0EBE3958"/>
    <w:rsid w:val="0F0331E8"/>
    <w:rsid w:val="0F2F63C9"/>
    <w:rsid w:val="0F44715F"/>
    <w:rsid w:val="0F4DD4F3"/>
    <w:rsid w:val="0F774260"/>
    <w:rsid w:val="0F992BD1"/>
    <w:rsid w:val="0FD2EACC"/>
    <w:rsid w:val="100BC477"/>
    <w:rsid w:val="101DEEDF"/>
    <w:rsid w:val="1027D09C"/>
    <w:rsid w:val="104F2585"/>
    <w:rsid w:val="105470F7"/>
    <w:rsid w:val="10822800"/>
    <w:rsid w:val="109EC498"/>
    <w:rsid w:val="10AD3933"/>
    <w:rsid w:val="10C8B54E"/>
    <w:rsid w:val="1112CA1A"/>
    <w:rsid w:val="11593DCD"/>
    <w:rsid w:val="116DF6BC"/>
    <w:rsid w:val="11B7EFA1"/>
    <w:rsid w:val="11C1E5EE"/>
    <w:rsid w:val="11FDF07F"/>
    <w:rsid w:val="120340A1"/>
    <w:rsid w:val="1203F3CF"/>
    <w:rsid w:val="12056F36"/>
    <w:rsid w:val="1209DC91"/>
    <w:rsid w:val="12200629"/>
    <w:rsid w:val="1231A8E1"/>
    <w:rsid w:val="12384297"/>
    <w:rsid w:val="12466FDF"/>
    <w:rsid w:val="128A02D2"/>
    <w:rsid w:val="129163E7"/>
    <w:rsid w:val="12BAC4A2"/>
    <w:rsid w:val="12D099F8"/>
    <w:rsid w:val="12E29BBE"/>
    <w:rsid w:val="12E2A2AE"/>
    <w:rsid w:val="1320062C"/>
    <w:rsid w:val="1342A895"/>
    <w:rsid w:val="135ACC0B"/>
    <w:rsid w:val="137BCDF8"/>
    <w:rsid w:val="137DA9A3"/>
    <w:rsid w:val="1391DC01"/>
    <w:rsid w:val="139CC506"/>
    <w:rsid w:val="13DD53D6"/>
    <w:rsid w:val="13F00B2D"/>
    <w:rsid w:val="1402944A"/>
    <w:rsid w:val="1432C645"/>
    <w:rsid w:val="1450E756"/>
    <w:rsid w:val="147F2E9F"/>
    <w:rsid w:val="1483F5F9"/>
    <w:rsid w:val="14A3EEB3"/>
    <w:rsid w:val="14AFA9D8"/>
    <w:rsid w:val="14BF7BD7"/>
    <w:rsid w:val="14D5980C"/>
    <w:rsid w:val="14D6CA49"/>
    <w:rsid w:val="14EA74E1"/>
    <w:rsid w:val="153B3C7F"/>
    <w:rsid w:val="154DBE0C"/>
    <w:rsid w:val="155FD41C"/>
    <w:rsid w:val="1572CF45"/>
    <w:rsid w:val="1581D26E"/>
    <w:rsid w:val="159226F1"/>
    <w:rsid w:val="15A82984"/>
    <w:rsid w:val="15B863E7"/>
    <w:rsid w:val="15CDF939"/>
    <w:rsid w:val="160EFAE4"/>
    <w:rsid w:val="162525C8"/>
    <w:rsid w:val="1625F1BC"/>
    <w:rsid w:val="1650A0FA"/>
    <w:rsid w:val="165482AD"/>
    <w:rsid w:val="167B3DBF"/>
    <w:rsid w:val="167FE614"/>
    <w:rsid w:val="16C94B3D"/>
    <w:rsid w:val="16D40BBF"/>
    <w:rsid w:val="16E29D2F"/>
    <w:rsid w:val="17489874"/>
    <w:rsid w:val="176FE872"/>
    <w:rsid w:val="1770956E"/>
    <w:rsid w:val="177BD5A5"/>
    <w:rsid w:val="17891E28"/>
    <w:rsid w:val="18006449"/>
    <w:rsid w:val="1801699F"/>
    <w:rsid w:val="1802B716"/>
    <w:rsid w:val="18151044"/>
    <w:rsid w:val="1835AFC2"/>
    <w:rsid w:val="183A2EA1"/>
    <w:rsid w:val="183E352E"/>
    <w:rsid w:val="184D66E4"/>
    <w:rsid w:val="18575D8B"/>
    <w:rsid w:val="185D5B6D"/>
    <w:rsid w:val="1861FC98"/>
    <w:rsid w:val="18637712"/>
    <w:rsid w:val="18937CC4"/>
    <w:rsid w:val="189D9163"/>
    <w:rsid w:val="18ADDC14"/>
    <w:rsid w:val="18E86EE4"/>
    <w:rsid w:val="1922D3D0"/>
    <w:rsid w:val="1942DC56"/>
    <w:rsid w:val="195731AE"/>
    <w:rsid w:val="19596AF6"/>
    <w:rsid w:val="19C76FF2"/>
    <w:rsid w:val="19F183F2"/>
    <w:rsid w:val="19F6BA4D"/>
    <w:rsid w:val="1A0AD2C6"/>
    <w:rsid w:val="1A0BDCC4"/>
    <w:rsid w:val="1A0DF1D1"/>
    <w:rsid w:val="1A3E09F8"/>
    <w:rsid w:val="1A6C17A1"/>
    <w:rsid w:val="1AA8F63B"/>
    <w:rsid w:val="1AEB53E6"/>
    <w:rsid w:val="1B0E72C9"/>
    <w:rsid w:val="1B19D672"/>
    <w:rsid w:val="1B359936"/>
    <w:rsid w:val="1B6122A0"/>
    <w:rsid w:val="1B77A8E7"/>
    <w:rsid w:val="1B83E98A"/>
    <w:rsid w:val="1BA96231"/>
    <w:rsid w:val="1BB4949D"/>
    <w:rsid w:val="1BB7E23D"/>
    <w:rsid w:val="1BFECAA9"/>
    <w:rsid w:val="1C0170F0"/>
    <w:rsid w:val="1C15A22F"/>
    <w:rsid w:val="1C1B8BB8"/>
    <w:rsid w:val="1C3A068A"/>
    <w:rsid w:val="1C71C321"/>
    <w:rsid w:val="1C75C8DA"/>
    <w:rsid w:val="1C9A3E91"/>
    <w:rsid w:val="1CE3CE82"/>
    <w:rsid w:val="1CFFC60B"/>
    <w:rsid w:val="1D20C9B1"/>
    <w:rsid w:val="1D34E761"/>
    <w:rsid w:val="1D390C40"/>
    <w:rsid w:val="1D7BDA4A"/>
    <w:rsid w:val="1D89EB23"/>
    <w:rsid w:val="1D9AE981"/>
    <w:rsid w:val="1D9CAB0F"/>
    <w:rsid w:val="1DBC85B6"/>
    <w:rsid w:val="1DCC14E2"/>
    <w:rsid w:val="1DD9B9E3"/>
    <w:rsid w:val="1E1DF597"/>
    <w:rsid w:val="1E2004AD"/>
    <w:rsid w:val="1E2231AA"/>
    <w:rsid w:val="1E283549"/>
    <w:rsid w:val="1E3CD096"/>
    <w:rsid w:val="1E6D3E7C"/>
    <w:rsid w:val="1E8451C8"/>
    <w:rsid w:val="1E959FB0"/>
    <w:rsid w:val="1E9C2AB7"/>
    <w:rsid w:val="1E9E315F"/>
    <w:rsid w:val="1EA15533"/>
    <w:rsid w:val="1ED39F5D"/>
    <w:rsid w:val="1F09B864"/>
    <w:rsid w:val="1F1D1D98"/>
    <w:rsid w:val="1F342A92"/>
    <w:rsid w:val="1F3D5323"/>
    <w:rsid w:val="1F8F373F"/>
    <w:rsid w:val="1FB2DE26"/>
    <w:rsid w:val="1FB710C6"/>
    <w:rsid w:val="1FD308AC"/>
    <w:rsid w:val="1FD7C97C"/>
    <w:rsid w:val="1FF1A935"/>
    <w:rsid w:val="2006D1F8"/>
    <w:rsid w:val="20202229"/>
    <w:rsid w:val="202F975E"/>
    <w:rsid w:val="20B8EDF9"/>
    <w:rsid w:val="20E964EB"/>
    <w:rsid w:val="210CCB0A"/>
    <w:rsid w:val="21133A29"/>
    <w:rsid w:val="212DAF89"/>
    <w:rsid w:val="21485258"/>
    <w:rsid w:val="215E57B4"/>
    <w:rsid w:val="215ECA06"/>
    <w:rsid w:val="217CC6BE"/>
    <w:rsid w:val="218A9F61"/>
    <w:rsid w:val="218B9B09"/>
    <w:rsid w:val="219F29A3"/>
    <w:rsid w:val="21B09A46"/>
    <w:rsid w:val="21C03ACE"/>
    <w:rsid w:val="21C38601"/>
    <w:rsid w:val="21D61E98"/>
    <w:rsid w:val="2207FA8F"/>
    <w:rsid w:val="221F366F"/>
    <w:rsid w:val="221F7162"/>
    <w:rsid w:val="2221DC2E"/>
    <w:rsid w:val="22398A52"/>
    <w:rsid w:val="2276E351"/>
    <w:rsid w:val="22A6419F"/>
    <w:rsid w:val="22AE0AE4"/>
    <w:rsid w:val="22BE5606"/>
    <w:rsid w:val="230386EF"/>
    <w:rsid w:val="2321711F"/>
    <w:rsid w:val="235ECAD8"/>
    <w:rsid w:val="236B244B"/>
    <w:rsid w:val="2387B734"/>
    <w:rsid w:val="23AC7A72"/>
    <w:rsid w:val="23BB5E8F"/>
    <w:rsid w:val="23CD8E9F"/>
    <w:rsid w:val="23D357DF"/>
    <w:rsid w:val="23D6A19A"/>
    <w:rsid w:val="2429599E"/>
    <w:rsid w:val="2447F83D"/>
    <w:rsid w:val="245640E5"/>
    <w:rsid w:val="24739975"/>
    <w:rsid w:val="248B9837"/>
    <w:rsid w:val="248F4793"/>
    <w:rsid w:val="248F7208"/>
    <w:rsid w:val="24ABED45"/>
    <w:rsid w:val="24ABF3EC"/>
    <w:rsid w:val="24DB862A"/>
    <w:rsid w:val="2513D0C0"/>
    <w:rsid w:val="2547C23C"/>
    <w:rsid w:val="25499888"/>
    <w:rsid w:val="25BCE4E1"/>
    <w:rsid w:val="25C4E15D"/>
    <w:rsid w:val="25EC4844"/>
    <w:rsid w:val="261DA094"/>
    <w:rsid w:val="261EA7D7"/>
    <w:rsid w:val="2623961E"/>
    <w:rsid w:val="2639527A"/>
    <w:rsid w:val="2646B5B5"/>
    <w:rsid w:val="26490F77"/>
    <w:rsid w:val="26777631"/>
    <w:rsid w:val="2695BD35"/>
    <w:rsid w:val="269BFF44"/>
    <w:rsid w:val="26B069A1"/>
    <w:rsid w:val="26E44838"/>
    <w:rsid w:val="26E86A42"/>
    <w:rsid w:val="26E922EF"/>
    <w:rsid w:val="2712ADE8"/>
    <w:rsid w:val="271D67A0"/>
    <w:rsid w:val="272A4033"/>
    <w:rsid w:val="272A7127"/>
    <w:rsid w:val="274E7BAF"/>
    <w:rsid w:val="2757274E"/>
    <w:rsid w:val="279D8F27"/>
    <w:rsid w:val="27A0BFB9"/>
    <w:rsid w:val="27A41995"/>
    <w:rsid w:val="27A86B5E"/>
    <w:rsid w:val="27BFA3A9"/>
    <w:rsid w:val="27CF2596"/>
    <w:rsid w:val="2802D9B8"/>
    <w:rsid w:val="281515FB"/>
    <w:rsid w:val="28332194"/>
    <w:rsid w:val="2855DDDC"/>
    <w:rsid w:val="285B4FCE"/>
    <w:rsid w:val="2863626D"/>
    <w:rsid w:val="28A91BED"/>
    <w:rsid w:val="28B6BC59"/>
    <w:rsid w:val="28B74428"/>
    <w:rsid w:val="2907193E"/>
    <w:rsid w:val="292A82DC"/>
    <w:rsid w:val="292B1B2F"/>
    <w:rsid w:val="293A3E6B"/>
    <w:rsid w:val="2946D5BA"/>
    <w:rsid w:val="294821E0"/>
    <w:rsid w:val="294BFC7A"/>
    <w:rsid w:val="2952B16A"/>
    <w:rsid w:val="29565ADC"/>
    <w:rsid w:val="2966CD8D"/>
    <w:rsid w:val="2978F910"/>
    <w:rsid w:val="297D5943"/>
    <w:rsid w:val="29A1B3C8"/>
    <w:rsid w:val="29FEB68C"/>
    <w:rsid w:val="2A22A861"/>
    <w:rsid w:val="2A2A027B"/>
    <w:rsid w:val="2A5806A6"/>
    <w:rsid w:val="2A755446"/>
    <w:rsid w:val="2A8CA204"/>
    <w:rsid w:val="2A923FAB"/>
    <w:rsid w:val="2A98B101"/>
    <w:rsid w:val="2ABD19F1"/>
    <w:rsid w:val="2AD07708"/>
    <w:rsid w:val="2AD0E318"/>
    <w:rsid w:val="2AD727CA"/>
    <w:rsid w:val="2AF3AF62"/>
    <w:rsid w:val="2B0C2BC9"/>
    <w:rsid w:val="2B3C8921"/>
    <w:rsid w:val="2B4800C2"/>
    <w:rsid w:val="2B4DD56C"/>
    <w:rsid w:val="2B513B4A"/>
    <w:rsid w:val="2B8EC6C5"/>
    <w:rsid w:val="2BC7E97C"/>
    <w:rsid w:val="2BC8E0A7"/>
    <w:rsid w:val="2BD13172"/>
    <w:rsid w:val="2BE43B78"/>
    <w:rsid w:val="2BEC671C"/>
    <w:rsid w:val="2C671965"/>
    <w:rsid w:val="2C692EB7"/>
    <w:rsid w:val="2C7F2B8F"/>
    <w:rsid w:val="2C8D7AC0"/>
    <w:rsid w:val="2CA6EF80"/>
    <w:rsid w:val="2CE7EA17"/>
    <w:rsid w:val="2CFEA531"/>
    <w:rsid w:val="2CFED238"/>
    <w:rsid w:val="2D0734C7"/>
    <w:rsid w:val="2D286824"/>
    <w:rsid w:val="2D30789E"/>
    <w:rsid w:val="2D46D583"/>
    <w:rsid w:val="2D5B6E4F"/>
    <w:rsid w:val="2D825ADD"/>
    <w:rsid w:val="2D8D427F"/>
    <w:rsid w:val="2D8F48E7"/>
    <w:rsid w:val="2DA3026E"/>
    <w:rsid w:val="2DA9D1AA"/>
    <w:rsid w:val="2DB0157B"/>
    <w:rsid w:val="2DB7866F"/>
    <w:rsid w:val="2DB8A3BB"/>
    <w:rsid w:val="2DC5BA6B"/>
    <w:rsid w:val="2DC6C09A"/>
    <w:rsid w:val="2DD4C224"/>
    <w:rsid w:val="2DD93FC7"/>
    <w:rsid w:val="2DD9DED9"/>
    <w:rsid w:val="2DDE0F7A"/>
    <w:rsid w:val="2DE153AC"/>
    <w:rsid w:val="2DE3B761"/>
    <w:rsid w:val="2DE82851"/>
    <w:rsid w:val="2DF759D6"/>
    <w:rsid w:val="2E145279"/>
    <w:rsid w:val="2E217510"/>
    <w:rsid w:val="2E2B291F"/>
    <w:rsid w:val="2E2CD6D7"/>
    <w:rsid w:val="2E4FBCC7"/>
    <w:rsid w:val="2E7271F6"/>
    <w:rsid w:val="2E8E071B"/>
    <w:rsid w:val="2E949681"/>
    <w:rsid w:val="2EA26318"/>
    <w:rsid w:val="2EC4D734"/>
    <w:rsid w:val="2EEE9A62"/>
    <w:rsid w:val="2F01C79B"/>
    <w:rsid w:val="2F0DE7E6"/>
    <w:rsid w:val="2F0E8F07"/>
    <w:rsid w:val="2F10B67A"/>
    <w:rsid w:val="2F286310"/>
    <w:rsid w:val="2F365A23"/>
    <w:rsid w:val="2F9105EE"/>
    <w:rsid w:val="2F9635A3"/>
    <w:rsid w:val="2F97CFF8"/>
    <w:rsid w:val="2FD39075"/>
    <w:rsid w:val="2FF1721A"/>
    <w:rsid w:val="2FFB134B"/>
    <w:rsid w:val="2FFBB378"/>
    <w:rsid w:val="2FFD971E"/>
    <w:rsid w:val="3035620A"/>
    <w:rsid w:val="3069D98F"/>
    <w:rsid w:val="306D9AFE"/>
    <w:rsid w:val="308A2CA9"/>
    <w:rsid w:val="30A699EF"/>
    <w:rsid w:val="30D73CDE"/>
    <w:rsid w:val="30F9DE16"/>
    <w:rsid w:val="3132E238"/>
    <w:rsid w:val="3161147D"/>
    <w:rsid w:val="3195069A"/>
    <w:rsid w:val="31A062DE"/>
    <w:rsid w:val="31A1ACEC"/>
    <w:rsid w:val="31AA4E69"/>
    <w:rsid w:val="31D1543C"/>
    <w:rsid w:val="31E5627B"/>
    <w:rsid w:val="31E98FE0"/>
    <w:rsid w:val="3201BC04"/>
    <w:rsid w:val="3221BF32"/>
    <w:rsid w:val="3223EE55"/>
    <w:rsid w:val="32485430"/>
    <w:rsid w:val="328B4A89"/>
    <w:rsid w:val="32A583B8"/>
    <w:rsid w:val="32B842CB"/>
    <w:rsid w:val="32DEA5FD"/>
    <w:rsid w:val="32F6B2A8"/>
    <w:rsid w:val="32FE4325"/>
    <w:rsid w:val="330B1FD8"/>
    <w:rsid w:val="33115277"/>
    <w:rsid w:val="332A5A5E"/>
    <w:rsid w:val="334333FD"/>
    <w:rsid w:val="334D54AD"/>
    <w:rsid w:val="33668A06"/>
    <w:rsid w:val="336FCDB2"/>
    <w:rsid w:val="33B279E6"/>
    <w:rsid w:val="33EDE503"/>
    <w:rsid w:val="3408F320"/>
    <w:rsid w:val="342A93D2"/>
    <w:rsid w:val="343AF755"/>
    <w:rsid w:val="344372EA"/>
    <w:rsid w:val="3449B5FA"/>
    <w:rsid w:val="345F1374"/>
    <w:rsid w:val="34617D28"/>
    <w:rsid w:val="3474DBBD"/>
    <w:rsid w:val="3475FBD8"/>
    <w:rsid w:val="347F6448"/>
    <w:rsid w:val="3488D698"/>
    <w:rsid w:val="34C73577"/>
    <w:rsid w:val="34C883DC"/>
    <w:rsid w:val="3516B1C9"/>
    <w:rsid w:val="35227F33"/>
    <w:rsid w:val="3522F5C6"/>
    <w:rsid w:val="3529E463"/>
    <w:rsid w:val="3549973A"/>
    <w:rsid w:val="359722A6"/>
    <w:rsid w:val="35C4F567"/>
    <w:rsid w:val="35D2EA73"/>
    <w:rsid w:val="35E574DC"/>
    <w:rsid w:val="35EF4F60"/>
    <w:rsid w:val="35F8511A"/>
    <w:rsid w:val="35FD9952"/>
    <w:rsid w:val="3633AE97"/>
    <w:rsid w:val="3640EAC2"/>
    <w:rsid w:val="367D6257"/>
    <w:rsid w:val="36AD74FD"/>
    <w:rsid w:val="36BE56C9"/>
    <w:rsid w:val="36D6C36B"/>
    <w:rsid w:val="36E9DDC1"/>
    <w:rsid w:val="372F6679"/>
    <w:rsid w:val="376AB0BE"/>
    <w:rsid w:val="378A9586"/>
    <w:rsid w:val="3794156F"/>
    <w:rsid w:val="37A90834"/>
    <w:rsid w:val="37B41503"/>
    <w:rsid w:val="37E5F290"/>
    <w:rsid w:val="381A3310"/>
    <w:rsid w:val="382CDD19"/>
    <w:rsid w:val="3831327F"/>
    <w:rsid w:val="3873987E"/>
    <w:rsid w:val="3876A60D"/>
    <w:rsid w:val="387CB930"/>
    <w:rsid w:val="388B3309"/>
    <w:rsid w:val="38A44FE3"/>
    <w:rsid w:val="38C2384D"/>
    <w:rsid w:val="38DB7489"/>
    <w:rsid w:val="38EE5DA6"/>
    <w:rsid w:val="39129C57"/>
    <w:rsid w:val="39333AFD"/>
    <w:rsid w:val="393EFD58"/>
    <w:rsid w:val="396F892F"/>
    <w:rsid w:val="39773BE1"/>
    <w:rsid w:val="397EC4AE"/>
    <w:rsid w:val="39B11B45"/>
    <w:rsid w:val="39B6F55F"/>
    <w:rsid w:val="39DA76F7"/>
    <w:rsid w:val="39EA0A9B"/>
    <w:rsid w:val="39EA6379"/>
    <w:rsid w:val="39F1D3A7"/>
    <w:rsid w:val="39FA696F"/>
    <w:rsid w:val="3A2A0BB3"/>
    <w:rsid w:val="3A2B7FD6"/>
    <w:rsid w:val="3A4BC5EC"/>
    <w:rsid w:val="3A8458FC"/>
    <w:rsid w:val="3AA0143C"/>
    <w:rsid w:val="3AAAE5CF"/>
    <w:rsid w:val="3AAC1EA5"/>
    <w:rsid w:val="3AAD6777"/>
    <w:rsid w:val="3AB3E450"/>
    <w:rsid w:val="3AB76D5B"/>
    <w:rsid w:val="3AC166B6"/>
    <w:rsid w:val="3ACC4C4F"/>
    <w:rsid w:val="3B176064"/>
    <w:rsid w:val="3B345F6D"/>
    <w:rsid w:val="3B62CE3E"/>
    <w:rsid w:val="3B6E7F3D"/>
    <w:rsid w:val="3B957200"/>
    <w:rsid w:val="3BA2A803"/>
    <w:rsid w:val="3BD6BB0C"/>
    <w:rsid w:val="3BD9F0F0"/>
    <w:rsid w:val="3BF35EFD"/>
    <w:rsid w:val="3C0D0F36"/>
    <w:rsid w:val="3C1D669D"/>
    <w:rsid w:val="3C216FF5"/>
    <w:rsid w:val="3C4A683E"/>
    <w:rsid w:val="3C528762"/>
    <w:rsid w:val="3C5D5818"/>
    <w:rsid w:val="3C8837DB"/>
    <w:rsid w:val="3C8DC8CF"/>
    <w:rsid w:val="3C9497FE"/>
    <w:rsid w:val="3C9B225F"/>
    <w:rsid w:val="3CA77E8C"/>
    <w:rsid w:val="3CD48066"/>
    <w:rsid w:val="3CE66D02"/>
    <w:rsid w:val="3D0E6F22"/>
    <w:rsid w:val="3D1078AE"/>
    <w:rsid w:val="3D10DC78"/>
    <w:rsid w:val="3D2C433E"/>
    <w:rsid w:val="3D3A3587"/>
    <w:rsid w:val="3D5D31EB"/>
    <w:rsid w:val="3D6137A4"/>
    <w:rsid w:val="3D9F3797"/>
    <w:rsid w:val="3DB2A308"/>
    <w:rsid w:val="3DE48C31"/>
    <w:rsid w:val="3DEF6391"/>
    <w:rsid w:val="3DF75117"/>
    <w:rsid w:val="3E05A079"/>
    <w:rsid w:val="3E0B87FD"/>
    <w:rsid w:val="3E12929D"/>
    <w:rsid w:val="3E2748EB"/>
    <w:rsid w:val="3E38A272"/>
    <w:rsid w:val="3E38C419"/>
    <w:rsid w:val="3E476BD8"/>
    <w:rsid w:val="3E582D9A"/>
    <w:rsid w:val="3E8B23A6"/>
    <w:rsid w:val="3E91E660"/>
    <w:rsid w:val="3E93B167"/>
    <w:rsid w:val="3E9D527F"/>
    <w:rsid w:val="3EAA3F83"/>
    <w:rsid w:val="3EB5CDD7"/>
    <w:rsid w:val="3EBB700B"/>
    <w:rsid w:val="3ECF3EF7"/>
    <w:rsid w:val="3EE523A5"/>
    <w:rsid w:val="3F1AEACA"/>
    <w:rsid w:val="3F3A3C75"/>
    <w:rsid w:val="3F3CF362"/>
    <w:rsid w:val="3F8B843A"/>
    <w:rsid w:val="3F95588A"/>
    <w:rsid w:val="3FADC896"/>
    <w:rsid w:val="3FB458DC"/>
    <w:rsid w:val="3FDD403E"/>
    <w:rsid w:val="3FEE7067"/>
    <w:rsid w:val="3FF475BA"/>
    <w:rsid w:val="3FF487CE"/>
    <w:rsid w:val="40168E39"/>
    <w:rsid w:val="40185DA3"/>
    <w:rsid w:val="4020ACCE"/>
    <w:rsid w:val="4021E056"/>
    <w:rsid w:val="402AA5FD"/>
    <w:rsid w:val="402BB048"/>
    <w:rsid w:val="403F9BF0"/>
    <w:rsid w:val="40460FE4"/>
    <w:rsid w:val="4050181B"/>
    <w:rsid w:val="405FB09B"/>
    <w:rsid w:val="40728D85"/>
    <w:rsid w:val="40757A23"/>
    <w:rsid w:val="408450F7"/>
    <w:rsid w:val="409FB1BE"/>
    <w:rsid w:val="40A2B966"/>
    <w:rsid w:val="40C93902"/>
    <w:rsid w:val="40CD6E20"/>
    <w:rsid w:val="40FEA9F2"/>
    <w:rsid w:val="4117C2B5"/>
    <w:rsid w:val="41576C4A"/>
    <w:rsid w:val="4193481D"/>
    <w:rsid w:val="41D1E543"/>
    <w:rsid w:val="41F03488"/>
    <w:rsid w:val="41FF76CD"/>
    <w:rsid w:val="4200CE33"/>
    <w:rsid w:val="4207E3B7"/>
    <w:rsid w:val="421D0081"/>
    <w:rsid w:val="423B821F"/>
    <w:rsid w:val="423C6DCB"/>
    <w:rsid w:val="42534ADF"/>
    <w:rsid w:val="425C7F9F"/>
    <w:rsid w:val="4271E726"/>
    <w:rsid w:val="428A3F12"/>
    <w:rsid w:val="42BB65A2"/>
    <w:rsid w:val="42C80750"/>
    <w:rsid w:val="42D9E5FD"/>
    <w:rsid w:val="42E0E150"/>
    <w:rsid w:val="42FE11DA"/>
    <w:rsid w:val="42FF5C33"/>
    <w:rsid w:val="43001374"/>
    <w:rsid w:val="430ACC2C"/>
    <w:rsid w:val="434CB8FE"/>
    <w:rsid w:val="437314B0"/>
    <w:rsid w:val="4378E72B"/>
    <w:rsid w:val="437D02A1"/>
    <w:rsid w:val="43AE03F5"/>
    <w:rsid w:val="43BE0D8D"/>
    <w:rsid w:val="43C8355D"/>
    <w:rsid w:val="43DFC286"/>
    <w:rsid w:val="43E7E551"/>
    <w:rsid w:val="43EBAAA1"/>
    <w:rsid w:val="43F507CD"/>
    <w:rsid w:val="4409AD2D"/>
    <w:rsid w:val="440DB787"/>
    <w:rsid w:val="445DA62B"/>
    <w:rsid w:val="4466929B"/>
    <w:rsid w:val="448DDF4F"/>
    <w:rsid w:val="44ABBA7B"/>
    <w:rsid w:val="44ACB881"/>
    <w:rsid w:val="44BC03F1"/>
    <w:rsid w:val="44C88114"/>
    <w:rsid w:val="44DA59A9"/>
    <w:rsid w:val="44E5AA09"/>
    <w:rsid w:val="44F137E3"/>
    <w:rsid w:val="44F4D5E6"/>
    <w:rsid w:val="4500CB3A"/>
    <w:rsid w:val="4512DF5E"/>
    <w:rsid w:val="4516109B"/>
    <w:rsid w:val="4518A671"/>
    <w:rsid w:val="451E4A81"/>
    <w:rsid w:val="454F2E7F"/>
    <w:rsid w:val="4575678C"/>
    <w:rsid w:val="457702A0"/>
    <w:rsid w:val="45842C95"/>
    <w:rsid w:val="458AB4EE"/>
    <w:rsid w:val="4590C7C3"/>
    <w:rsid w:val="45B62BB6"/>
    <w:rsid w:val="45B6D0F9"/>
    <w:rsid w:val="45BA0592"/>
    <w:rsid w:val="45BBCCF9"/>
    <w:rsid w:val="45C050C2"/>
    <w:rsid w:val="45EDCE2B"/>
    <w:rsid w:val="460BCCCE"/>
    <w:rsid w:val="4621B364"/>
    <w:rsid w:val="4648363C"/>
    <w:rsid w:val="464F8AC0"/>
    <w:rsid w:val="468C80AA"/>
    <w:rsid w:val="46A0A1AA"/>
    <w:rsid w:val="46A7680D"/>
    <w:rsid w:val="46D766D9"/>
    <w:rsid w:val="46F6329C"/>
    <w:rsid w:val="47197864"/>
    <w:rsid w:val="4722FE0E"/>
    <w:rsid w:val="47251B66"/>
    <w:rsid w:val="472B987E"/>
    <w:rsid w:val="4763264B"/>
    <w:rsid w:val="4772ECAF"/>
    <w:rsid w:val="47749B46"/>
    <w:rsid w:val="4778D057"/>
    <w:rsid w:val="477B3DF1"/>
    <w:rsid w:val="47AD13EB"/>
    <w:rsid w:val="47B4CCAB"/>
    <w:rsid w:val="482EEEFB"/>
    <w:rsid w:val="485ACB7F"/>
    <w:rsid w:val="485BC74F"/>
    <w:rsid w:val="488BA05A"/>
    <w:rsid w:val="4898F023"/>
    <w:rsid w:val="48AC9100"/>
    <w:rsid w:val="48AE7484"/>
    <w:rsid w:val="490E6BAE"/>
    <w:rsid w:val="4923C1F4"/>
    <w:rsid w:val="493A03BE"/>
    <w:rsid w:val="495D9C89"/>
    <w:rsid w:val="496F6179"/>
    <w:rsid w:val="49851DFF"/>
    <w:rsid w:val="498B1AF1"/>
    <w:rsid w:val="4995BF6E"/>
    <w:rsid w:val="499DF200"/>
    <w:rsid w:val="49B8ACFB"/>
    <w:rsid w:val="49C8F462"/>
    <w:rsid w:val="4A2DE17F"/>
    <w:rsid w:val="4A401A84"/>
    <w:rsid w:val="4A51A93B"/>
    <w:rsid w:val="4A77E4E0"/>
    <w:rsid w:val="4A80D603"/>
    <w:rsid w:val="4A9C723D"/>
    <w:rsid w:val="4ABE5B65"/>
    <w:rsid w:val="4AC2EE77"/>
    <w:rsid w:val="4AC84A29"/>
    <w:rsid w:val="4AD0581E"/>
    <w:rsid w:val="4AD66D33"/>
    <w:rsid w:val="4AE6EDF1"/>
    <w:rsid w:val="4B1B865D"/>
    <w:rsid w:val="4B283CA7"/>
    <w:rsid w:val="4B34F4A5"/>
    <w:rsid w:val="4B516EB9"/>
    <w:rsid w:val="4B682C6D"/>
    <w:rsid w:val="4B86457A"/>
    <w:rsid w:val="4BB5795B"/>
    <w:rsid w:val="4BD4A166"/>
    <w:rsid w:val="4BE9FBD9"/>
    <w:rsid w:val="4C188850"/>
    <w:rsid w:val="4C1D3D67"/>
    <w:rsid w:val="4C3D19C3"/>
    <w:rsid w:val="4C3FEE94"/>
    <w:rsid w:val="4C406981"/>
    <w:rsid w:val="4C41F8A5"/>
    <w:rsid w:val="4C617B10"/>
    <w:rsid w:val="4C670F9E"/>
    <w:rsid w:val="4C7EBEEE"/>
    <w:rsid w:val="4C861F1C"/>
    <w:rsid w:val="4C99F483"/>
    <w:rsid w:val="4C9EFADD"/>
    <w:rsid w:val="4CBF8C59"/>
    <w:rsid w:val="4CC0A52D"/>
    <w:rsid w:val="4D0631B4"/>
    <w:rsid w:val="4D629FAD"/>
    <w:rsid w:val="4D656773"/>
    <w:rsid w:val="4D6788FD"/>
    <w:rsid w:val="4D6E0331"/>
    <w:rsid w:val="4DCB2BFD"/>
    <w:rsid w:val="4DCBFBEC"/>
    <w:rsid w:val="4DE2068E"/>
    <w:rsid w:val="4DE339C7"/>
    <w:rsid w:val="4DEF872E"/>
    <w:rsid w:val="4E005730"/>
    <w:rsid w:val="4E01143D"/>
    <w:rsid w:val="4E404A3D"/>
    <w:rsid w:val="4E44FF88"/>
    <w:rsid w:val="4E5B593A"/>
    <w:rsid w:val="4E7AD105"/>
    <w:rsid w:val="4E88BCB9"/>
    <w:rsid w:val="4EB8B5E1"/>
    <w:rsid w:val="4EC35771"/>
    <w:rsid w:val="4ED2407B"/>
    <w:rsid w:val="4ED476D5"/>
    <w:rsid w:val="4EFECD71"/>
    <w:rsid w:val="4F33A798"/>
    <w:rsid w:val="4F372895"/>
    <w:rsid w:val="4F5167B2"/>
    <w:rsid w:val="4F594D24"/>
    <w:rsid w:val="4F70319F"/>
    <w:rsid w:val="4F846FA4"/>
    <w:rsid w:val="4F8F7BB4"/>
    <w:rsid w:val="4FB5A42C"/>
    <w:rsid w:val="4FC29488"/>
    <w:rsid w:val="50076393"/>
    <w:rsid w:val="50143855"/>
    <w:rsid w:val="50385BEE"/>
    <w:rsid w:val="5053A91A"/>
    <w:rsid w:val="5053B9A9"/>
    <w:rsid w:val="50642134"/>
    <w:rsid w:val="506F8080"/>
    <w:rsid w:val="5073088B"/>
    <w:rsid w:val="50849EA4"/>
    <w:rsid w:val="508F4376"/>
    <w:rsid w:val="50E77734"/>
    <w:rsid w:val="51247A71"/>
    <w:rsid w:val="512D3317"/>
    <w:rsid w:val="5139E1A4"/>
    <w:rsid w:val="514515A3"/>
    <w:rsid w:val="516FFA01"/>
    <w:rsid w:val="51720599"/>
    <w:rsid w:val="517A5B8C"/>
    <w:rsid w:val="517B448D"/>
    <w:rsid w:val="517B80B1"/>
    <w:rsid w:val="51B0D988"/>
    <w:rsid w:val="51CAFAC6"/>
    <w:rsid w:val="51D0E1E3"/>
    <w:rsid w:val="51F5B2A7"/>
    <w:rsid w:val="51FD9213"/>
    <w:rsid w:val="52292B42"/>
    <w:rsid w:val="523B9015"/>
    <w:rsid w:val="5267D697"/>
    <w:rsid w:val="527FEB94"/>
    <w:rsid w:val="528DA6F9"/>
    <w:rsid w:val="5301A318"/>
    <w:rsid w:val="5303188D"/>
    <w:rsid w:val="53076392"/>
    <w:rsid w:val="530CE267"/>
    <w:rsid w:val="533A1668"/>
    <w:rsid w:val="53502937"/>
    <w:rsid w:val="5384EACC"/>
    <w:rsid w:val="538F393B"/>
    <w:rsid w:val="5393F940"/>
    <w:rsid w:val="5395D649"/>
    <w:rsid w:val="53A45384"/>
    <w:rsid w:val="53B35E97"/>
    <w:rsid w:val="53BEA675"/>
    <w:rsid w:val="53D13144"/>
    <w:rsid w:val="53F681BC"/>
    <w:rsid w:val="53FC1696"/>
    <w:rsid w:val="5427A947"/>
    <w:rsid w:val="54519C09"/>
    <w:rsid w:val="54573BDB"/>
    <w:rsid w:val="545BBA7C"/>
    <w:rsid w:val="5460AE8E"/>
    <w:rsid w:val="5463492A"/>
    <w:rsid w:val="549D6704"/>
    <w:rsid w:val="54C98572"/>
    <w:rsid w:val="552D5369"/>
    <w:rsid w:val="554E2989"/>
    <w:rsid w:val="55A8AC8B"/>
    <w:rsid w:val="55AA1460"/>
    <w:rsid w:val="55BEE7A5"/>
    <w:rsid w:val="55C79938"/>
    <w:rsid w:val="55E0D6E0"/>
    <w:rsid w:val="55F0A583"/>
    <w:rsid w:val="55FB8071"/>
    <w:rsid w:val="5605513B"/>
    <w:rsid w:val="5620A3FE"/>
    <w:rsid w:val="5650D6F0"/>
    <w:rsid w:val="5653424E"/>
    <w:rsid w:val="56864BA4"/>
    <w:rsid w:val="56B6BBD4"/>
    <w:rsid w:val="56C20B67"/>
    <w:rsid w:val="56D95B05"/>
    <w:rsid w:val="56F5FF59"/>
    <w:rsid w:val="570496A5"/>
    <w:rsid w:val="5709C95D"/>
    <w:rsid w:val="570CF155"/>
    <w:rsid w:val="571E3958"/>
    <w:rsid w:val="5721E77F"/>
    <w:rsid w:val="573AA0BE"/>
    <w:rsid w:val="5748844A"/>
    <w:rsid w:val="5757A577"/>
    <w:rsid w:val="5762ED75"/>
    <w:rsid w:val="576569BC"/>
    <w:rsid w:val="57808BB5"/>
    <w:rsid w:val="57992CD0"/>
    <w:rsid w:val="57AF170E"/>
    <w:rsid w:val="57C27ECC"/>
    <w:rsid w:val="57C39163"/>
    <w:rsid w:val="583616A9"/>
    <w:rsid w:val="58373018"/>
    <w:rsid w:val="584774A3"/>
    <w:rsid w:val="58C8D4F3"/>
    <w:rsid w:val="58CFD75B"/>
    <w:rsid w:val="58D96455"/>
    <w:rsid w:val="5907A939"/>
    <w:rsid w:val="5909EAC7"/>
    <w:rsid w:val="593AB645"/>
    <w:rsid w:val="5976D9D3"/>
    <w:rsid w:val="59820F94"/>
    <w:rsid w:val="5990944D"/>
    <w:rsid w:val="59C4AA18"/>
    <w:rsid w:val="59CEF50C"/>
    <w:rsid w:val="59CEFC45"/>
    <w:rsid w:val="59E56CDC"/>
    <w:rsid w:val="59E6CE7C"/>
    <w:rsid w:val="5A1EE4BA"/>
    <w:rsid w:val="5A36F406"/>
    <w:rsid w:val="5A78D60D"/>
    <w:rsid w:val="5A8C81F0"/>
    <w:rsid w:val="5A90AA66"/>
    <w:rsid w:val="5A939CE6"/>
    <w:rsid w:val="5A9DC6A6"/>
    <w:rsid w:val="5ADEC9D6"/>
    <w:rsid w:val="5AE0A11E"/>
    <w:rsid w:val="5AFBF476"/>
    <w:rsid w:val="5B140E2F"/>
    <w:rsid w:val="5B14EFBD"/>
    <w:rsid w:val="5B1C2ECE"/>
    <w:rsid w:val="5B1E9963"/>
    <w:rsid w:val="5B24F364"/>
    <w:rsid w:val="5B3354DF"/>
    <w:rsid w:val="5B53969C"/>
    <w:rsid w:val="5B7A5502"/>
    <w:rsid w:val="5B7C0B70"/>
    <w:rsid w:val="5B9EE3CC"/>
    <w:rsid w:val="5BE1B356"/>
    <w:rsid w:val="5BF00ECB"/>
    <w:rsid w:val="5C0075B5"/>
    <w:rsid w:val="5C01CA73"/>
    <w:rsid w:val="5C11A6AC"/>
    <w:rsid w:val="5C308834"/>
    <w:rsid w:val="5C5157AA"/>
    <w:rsid w:val="5C73E71D"/>
    <w:rsid w:val="5C7659E2"/>
    <w:rsid w:val="5CE41161"/>
    <w:rsid w:val="5CEB91EB"/>
    <w:rsid w:val="5CEC8ED7"/>
    <w:rsid w:val="5CF65332"/>
    <w:rsid w:val="5D526B98"/>
    <w:rsid w:val="5DA0BC78"/>
    <w:rsid w:val="5DB9123E"/>
    <w:rsid w:val="5DF6B281"/>
    <w:rsid w:val="5E419746"/>
    <w:rsid w:val="5E5CBC70"/>
    <w:rsid w:val="5EA28A1F"/>
    <w:rsid w:val="5EBD220E"/>
    <w:rsid w:val="5EE0F123"/>
    <w:rsid w:val="5EFCFF87"/>
    <w:rsid w:val="5F0E0AB8"/>
    <w:rsid w:val="5F39D654"/>
    <w:rsid w:val="5F431C6B"/>
    <w:rsid w:val="5F4C0E6B"/>
    <w:rsid w:val="5F62B967"/>
    <w:rsid w:val="5F713524"/>
    <w:rsid w:val="5F72F88F"/>
    <w:rsid w:val="5F7658C3"/>
    <w:rsid w:val="5F89108E"/>
    <w:rsid w:val="5FA640AF"/>
    <w:rsid w:val="5FBA4A7B"/>
    <w:rsid w:val="5FCBB09F"/>
    <w:rsid w:val="5FD65C6F"/>
    <w:rsid w:val="5FE87FCC"/>
    <w:rsid w:val="5FF8ABC8"/>
    <w:rsid w:val="601627AE"/>
    <w:rsid w:val="602C739D"/>
    <w:rsid w:val="6062F02C"/>
    <w:rsid w:val="6066E77A"/>
    <w:rsid w:val="606CDB33"/>
    <w:rsid w:val="6082A851"/>
    <w:rsid w:val="60853CFA"/>
    <w:rsid w:val="6086DD71"/>
    <w:rsid w:val="60C41BA0"/>
    <w:rsid w:val="60D7EA37"/>
    <w:rsid w:val="60E80A01"/>
    <w:rsid w:val="612C494E"/>
    <w:rsid w:val="612CC84A"/>
    <w:rsid w:val="613614B5"/>
    <w:rsid w:val="61555F25"/>
    <w:rsid w:val="61585E9D"/>
    <w:rsid w:val="617610B4"/>
    <w:rsid w:val="61AC6FEA"/>
    <w:rsid w:val="61B49801"/>
    <w:rsid w:val="61C14544"/>
    <w:rsid w:val="61FBDCAB"/>
    <w:rsid w:val="62062DD8"/>
    <w:rsid w:val="620D46D9"/>
    <w:rsid w:val="62232454"/>
    <w:rsid w:val="62429AED"/>
    <w:rsid w:val="6242E878"/>
    <w:rsid w:val="626B79E5"/>
    <w:rsid w:val="62B19465"/>
    <w:rsid w:val="62F40316"/>
    <w:rsid w:val="63034180"/>
    <w:rsid w:val="63059226"/>
    <w:rsid w:val="6309C10B"/>
    <w:rsid w:val="6351DA20"/>
    <w:rsid w:val="635EA168"/>
    <w:rsid w:val="63690950"/>
    <w:rsid w:val="636C48E1"/>
    <w:rsid w:val="6397318D"/>
    <w:rsid w:val="639D1A28"/>
    <w:rsid w:val="63B110BD"/>
    <w:rsid w:val="63B25D31"/>
    <w:rsid w:val="63D1A464"/>
    <w:rsid w:val="63DCCAA8"/>
    <w:rsid w:val="63EA7611"/>
    <w:rsid w:val="642AB5E9"/>
    <w:rsid w:val="642FC2B5"/>
    <w:rsid w:val="643C6DF7"/>
    <w:rsid w:val="64756DFD"/>
    <w:rsid w:val="64824168"/>
    <w:rsid w:val="64836B5E"/>
    <w:rsid w:val="64917B96"/>
    <w:rsid w:val="64C7C43C"/>
    <w:rsid w:val="64CBAA0C"/>
    <w:rsid w:val="64CEC4CE"/>
    <w:rsid w:val="64D2C74D"/>
    <w:rsid w:val="650D6855"/>
    <w:rsid w:val="650FEA22"/>
    <w:rsid w:val="651D64D2"/>
    <w:rsid w:val="654ED31E"/>
    <w:rsid w:val="655138F4"/>
    <w:rsid w:val="655FF95C"/>
    <w:rsid w:val="658E18D1"/>
    <w:rsid w:val="65BCFD49"/>
    <w:rsid w:val="65C79DE1"/>
    <w:rsid w:val="65D63BB9"/>
    <w:rsid w:val="65F4DB0A"/>
    <w:rsid w:val="66286E7E"/>
    <w:rsid w:val="665452B6"/>
    <w:rsid w:val="66792B21"/>
    <w:rsid w:val="667B8E0A"/>
    <w:rsid w:val="667D5017"/>
    <w:rsid w:val="66838453"/>
    <w:rsid w:val="66850205"/>
    <w:rsid w:val="6694B667"/>
    <w:rsid w:val="66A401EC"/>
    <w:rsid w:val="66B48990"/>
    <w:rsid w:val="66D07BA3"/>
    <w:rsid w:val="66E2AB88"/>
    <w:rsid w:val="66E61826"/>
    <w:rsid w:val="66E7E0D9"/>
    <w:rsid w:val="66F72EF3"/>
    <w:rsid w:val="66F8217D"/>
    <w:rsid w:val="6735B78D"/>
    <w:rsid w:val="67904C32"/>
    <w:rsid w:val="6791F64F"/>
    <w:rsid w:val="67A31C23"/>
    <w:rsid w:val="67AE9362"/>
    <w:rsid w:val="67B9E22A"/>
    <w:rsid w:val="67C65484"/>
    <w:rsid w:val="67E15380"/>
    <w:rsid w:val="67EEF96C"/>
    <w:rsid w:val="681EF6BE"/>
    <w:rsid w:val="68570BBD"/>
    <w:rsid w:val="687AA82A"/>
    <w:rsid w:val="68B4E900"/>
    <w:rsid w:val="68BA2697"/>
    <w:rsid w:val="68D3C1EA"/>
    <w:rsid w:val="68E68B77"/>
    <w:rsid w:val="68E692BF"/>
    <w:rsid w:val="68E7251E"/>
    <w:rsid w:val="694B943E"/>
    <w:rsid w:val="6955B28B"/>
    <w:rsid w:val="699299D5"/>
    <w:rsid w:val="69A95D54"/>
    <w:rsid w:val="69BE72F7"/>
    <w:rsid w:val="69E36B2A"/>
    <w:rsid w:val="69E83BBC"/>
    <w:rsid w:val="6A081782"/>
    <w:rsid w:val="6A0A0142"/>
    <w:rsid w:val="6A6895AE"/>
    <w:rsid w:val="6A8543DA"/>
    <w:rsid w:val="6A85C95F"/>
    <w:rsid w:val="6A978E8A"/>
    <w:rsid w:val="6AA928BB"/>
    <w:rsid w:val="6AECFEF9"/>
    <w:rsid w:val="6B12BF50"/>
    <w:rsid w:val="6B2B15AA"/>
    <w:rsid w:val="6B31EDBE"/>
    <w:rsid w:val="6B388F77"/>
    <w:rsid w:val="6B38DDA6"/>
    <w:rsid w:val="6B3B0EED"/>
    <w:rsid w:val="6B93CA00"/>
    <w:rsid w:val="6BBAFD4F"/>
    <w:rsid w:val="6BC8A6DA"/>
    <w:rsid w:val="6BD22C97"/>
    <w:rsid w:val="6C07F585"/>
    <w:rsid w:val="6C1483EE"/>
    <w:rsid w:val="6C2F8A4D"/>
    <w:rsid w:val="6C380753"/>
    <w:rsid w:val="6C46FEE9"/>
    <w:rsid w:val="6C48CF15"/>
    <w:rsid w:val="6C5CFBCC"/>
    <w:rsid w:val="6C92FF46"/>
    <w:rsid w:val="6CC2B13D"/>
    <w:rsid w:val="6CC889B3"/>
    <w:rsid w:val="6CCB3263"/>
    <w:rsid w:val="6CCF529D"/>
    <w:rsid w:val="6CF0985C"/>
    <w:rsid w:val="6D317E76"/>
    <w:rsid w:val="6D3F2A34"/>
    <w:rsid w:val="6D8962EC"/>
    <w:rsid w:val="6D94785F"/>
    <w:rsid w:val="6DA79FD5"/>
    <w:rsid w:val="6DD1E5BB"/>
    <w:rsid w:val="6DF82A1D"/>
    <w:rsid w:val="6E6A7755"/>
    <w:rsid w:val="6E8986B4"/>
    <w:rsid w:val="6E9914E3"/>
    <w:rsid w:val="6E9A8F05"/>
    <w:rsid w:val="6EF1117F"/>
    <w:rsid w:val="6EF6F8E9"/>
    <w:rsid w:val="6F3B4003"/>
    <w:rsid w:val="6F44DB6B"/>
    <w:rsid w:val="6F468420"/>
    <w:rsid w:val="6F4FA056"/>
    <w:rsid w:val="6F756CA7"/>
    <w:rsid w:val="6F7CDCE8"/>
    <w:rsid w:val="6F85E1DF"/>
    <w:rsid w:val="6F87237E"/>
    <w:rsid w:val="6F9A03AA"/>
    <w:rsid w:val="6FC4FB02"/>
    <w:rsid w:val="6FCB4780"/>
    <w:rsid w:val="6FDA3FFC"/>
    <w:rsid w:val="6FF07A32"/>
    <w:rsid w:val="6FF7BEE2"/>
    <w:rsid w:val="700C6E97"/>
    <w:rsid w:val="701BC019"/>
    <w:rsid w:val="70291928"/>
    <w:rsid w:val="70572470"/>
    <w:rsid w:val="70A300CB"/>
    <w:rsid w:val="70B0276C"/>
    <w:rsid w:val="70C3592D"/>
    <w:rsid w:val="70C54702"/>
    <w:rsid w:val="710193D5"/>
    <w:rsid w:val="714BF1EE"/>
    <w:rsid w:val="715B054F"/>
    <w:rsid w:val="7176C9E2"/>
    <w:rsid w:val="717FBD7F"/>
    <w:rsid w:val="71A11EFB"/>
    <w:rsid w:val="71A5D15B"/>
    <w:rsid w:val="71BC23EB"/>
    <w:rsid w:val="71F25CA2"/>
    <w:rsid w:val="72017A58"/>
    <w:rsid w:val="72042847"/>
    <w:rsid w:val="72147753"/>
    <w:rsid w:val="7218B3F9"/>
    <w:rsid w:val="72279308"/>
    <w:rsid w:val="724B855F"/>
    <w:rsid w:val="724BF7CD"/>
    <w:rsid w:val="7268415E"/>
    <w:rsid w:val="7268D6C3"/>
    <w:rsid w:val="72772CEC"/>
    <w:rsid w:val="729CA487"/>
    <w:rsid w:val="72AB373B"/>
    <w:rsid w:val="72D05D87"/>
    <w:rsid w:val="72D1763A"/>
    <w:rsid w:val="72D1A06B"/>
    <w:rsid w:val="73205E7B"/>
    <w:rsid w:val="733E8564"/>
    <w:rsid w:val="734ACC51"/>
    <w:rsid w:val="734F3551"/>
    <w:rsid w:val="73607599"/>
    <w:rsid w:val="73686B49"/>
    <w:rsid w:val="737DA018"/>
    <w:rsid w:val="7393AAA0"/>
    <w:rsid w:val="7396DAA0"/>
    <w:rsid w:val="73A2CC41"/>
    <w:rsid w:val="73A5A696"/>
    <w:rsid w:val="73CEFF9C"/>
    <w:rsid w:val="73F4EFF2"/>
    <w:rsid w:val="74107B07"/>
    <w:rsid w:val="747EECC7"/>
    <w:rsid w:val="74A11C3C"/>
    <w:rsid w:val="74A26E66"/>
    <w:rsid w:val="74ABAEF3"/>
    <w:rsid w:val="74ABC842"/>
    <w:rsid w:val="74D7AC24"/>
    <w:rsid w:val="75039B84"/>
    <w:rsid w:val="7517F8A1"/>
    <w:rsid w:val="753AED74"/>
    <w:rsid w:val="7545E73F"/>
    <w:rsid w:val="7549C1EB"/>
    <w:rsid w:val="7557FDCD"/>
    <w:rsid w:val="756541B2"/>
    <w:rsid w:val="75A907D0"/>
    <w:rsid w:val="75B3A5DD"/>
    <w:rsid w:val="75B86074"/>
    <w:rsid w:val="75E17927"/>
    <w:rsid w:val="75E7E969"/>
    <w:rsid w:val="75F6897D"/>
    <w:rsid w:val="7635AFEA"/>
    <w:rsid w:val="7640701F"/>
    <w:rsid w:val="76479191"/>
    <w:rsid w:val="76503425"/>
    <w:rsid w:val="765A93A3"/>
    <w:rsid w:val="76674AC6"/>
    <w:rsid w:val="766C06CB"/>
    <w:rsid w:val="768DC0ED"/>
    <w:rsid w:val="768F5FF9"/>
    <w:rsid w:val="7696BB06"/>
    <w:rsid w:val="76A45C15"/>
    <w:rsid w:val="76B02F60"/>
    <w:rsid w:val="76C2C221"/>
    <w:rsid w:val="76C86F6B"/>
    <w:rsid w:val="76C9FACB"/>
    <w:rsid w:val="76D46751"/>
    <w:rsid w:val="76DAC7D3"/>
    <w:rsid w:val="76F664B1"/>
    <w:rsid w:val="7701D16E"/>
    <w:rsid w:val="7711F30F"/>
    <w:rsid w:val="774501D7"/>
    <w:rsid w:val="774E18D7"/>
    <w:rsid w:val="7771B98F"/>
    <w:rsid w:val="7779B6BC"/>
    <w:rsid w:val="77825295"/>
    <w:rsid w:val="7795480F"/>
    <w:rsid w:val="77FCF07E"/>
    <w:rsid w:val="7806082C"/>
    <w:rsid w:val="782B93E7"/>
    <w:rsid w:val="786A4CB8"/>
    <w:rsid w:val="7889C6B8"/>
    <w:rsid w:val="78C0AD77"/>
    <w:rsid w:val="78C292DF"/>
    <w:rsid w:val="78D7E858"/>
    <w:rsid w:val="78EC17CF"/>
    <w:rsid w:val="78FB43B9"/>
    <w:rsid w:val="792EF7EE"/>
    <w:rsid w:val="794C1E1C"/>
    <w:rsid w:val="7989E2A0"/>
    <w:rsid w:val="7991C65D"/>
    <w:rsid w:val="79938341"/>
    <w:rsid w:val="799BB654"/>
    <w:rsid w:val="79A8B520"/>
    <w:rsid w:val="79C71E22"/>
    <w:rsid w:val="79CE515B"/>
    <w:rsid w:val="79E14588"/>
    <w:rsid w:val="79E73719"/>
    <w:rsid w:val="79FA2CD9"/>
    <w:rsid w:val="7A024458"/>
    <w:rsid w:val="7A29FFBC"/>
    <w:rsid w:val="7A35DDED"/>
    <w:rsid w:val="7A3C55BA"/>
    <w:rsid w:val="7A628EC7"/>
    <w:rsid w:val="7A83F02F"/>
    <w:rsid w:val="7AD1DB8D"/>
    <w:rsid w:val="7AE3985E"/>
    <w:rsid w:val="7AE8D616"/>
    <w:rsid w:val="7AFAE93B"/>
    <w:rsid w:val="7B0DC395"/>
    <w:rsid w:val="7B133669"/>
    <w:rsid w:val="7B196FBC"/>
    <w:rsid w:val="7B1C646A"/>
    <w:rsid w:val="7B379101"/>
    <w:rsid w:val="7B45609F"/>
    <w:rsid w:val="7B55D9E3"/>
    <w:rsid w:val="7B69E9C3"/>
    <w:rsid w:val="7B88C8C7"/>
    <w:rsid w:val="7B9C3AD8"/>
    <w:rsid w:val="7BB467A0"/>
    <w:rsid w:val="7BCA860D"/>
    <w:rsid w:val="7BD75EE2"/>
    <w:rsid w:val="7C209E5C"/>
    <w:rsid w:val="7C3628DD"/>
    <w:rsid w:val="7C3A3F65"/>
    <w:rsid w:val="7C41FD8B"/>
    <w:rsid w:val="7C49C984"/>
    <w:rsid w:val="7C4DC60B"/>
    <w:rsid w:val="7C5E13F5"/>
    <w:rsid w:val="7C6EEF00"/>
    <w:rsid w:val="7C787EC6"/>
    <w:rsid w:val="7C8F5398"/>
    <w:rsid w:val="7CA28513"/>
    <w:rsid w:val="7CC06092"/>
    <w:rsid w:val="7D0457A6"/>
    <w:rsid w:val="7D0FC1F0"/>
    <w:rsid w:val="7D32BB5E"/>
    <w:rsid w:val="7D40CBA6"/>
    <w:rsid w:val="7D5736A3"/>
    <w:rsid w:val="7D579294"/>
    <w:rsid w:val="7D6E4B1E"/>
    <w:rsid w:val="7D79D4A0"/>
    <w:rsid w:val="7D7E4B33"/>
    <w:rsid w:val="7D7E9B3F"/>
    <w:rsid w:val="7DA72196"/>
    <w:rsid w:val="7DB6CA3C"/>
    <w:rsid w:val="7DC29ECC"/>
    <w:rsid w:val="7DE68CAF"/>
    <w:rsid w:val="7DF6C55A"/>
    <w:rsid w:val="7E01495C"/>
    <w:rsid w:val="7E0C8603"/>
    <w:rsid w:val="7E1D2E34"/>
    <w:rsid w:val="7E3E7076"/>
    <w:rsid w:val="7E40A83E"/>
    <w:rsid w:val="7E5BBB14"/>
    <w:rsid w:val="7E652F44"/>
    <w:rsid w:val="7E786823"/>
    <w:rsid w:val="7E9581E5"/>
    <w:rsid w:val="7E9E792A"/>
    <w:rsid w:val="7EA115BF"/>
    <w:rsid w:val="7EBC670D"/>
    <w:rsid w:val="7ED3F573"/>
    <w:rsid w:val="7ED4D2F4"/>
    <w:rsid w:val="7F3D2627"/>
    <w:rsid w:val="7F5AE48B"/>
    <w:rsid w:val="7F5C9839"/>
    <w:rsid w:val="7F67068E"/>
    <w:rsid w:val="7F9312FA"/>
    <w:rsid w:val="7F99E795"/>
    <w:rsid w:val="7FA78798"/>
    <w:rsid w:val="7FAA8CEE"/>
    <w:rsid w:val="7FAB7CEB"/>
    <w:rsid w:val="7FD9C6F2"/>
    <w:rsid w:val="7FFBF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8C7E4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1"/>
      </w:numPr>
      <w:tabs>
        <w:tab w:val="left" w:pos="426"/>
      </w:tabs>
      <w:spacing w:after="240" w:line="360" w:lineRule="auto"/>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3"/>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4"/>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5"/>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6"/>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styleId="FollowedHyperlink">
    <w:name w:val="FollowedHyperlink"/>
    <w:basedOn w:val="DefaultParagraphFont"/>
    <w:semiHidden/>
    <w:rsid w:val="00EB7218"/>
    <w:rPr>
      <w:color w:val="00436C" w:themeColor="followedHyperlink"/>
      <w:u w:val="single"/>
    </w:rPr>
  </w:style>
  <w:style w:type="paragraph" w:styleId="ListParagraph">
    <w:name w:val="List Paragraph"/>
    <w:basedOn w:val="Normal"/>
    <w:uiPriority w:val="34"/>
    <w:qFormat/>
    <w:rsid w:val="002565C3"/>
    <w:pPr>
      <w:spacing w:line="276" w:lineRule="auto"/>
      <w:ind w:left="720"/>
      <w:contextualSpacing/>
    </w:pPr>
    <w:rPr>
      <w:rFonts w:ascii="Arial" w:eastAsia="Arial" w:hAnsi="Arial" w:cs="Arial"/>
      <w:sz w:val="22"/>
      <w:szCs w:val="22"/>
    </w:rPr>
  </w:style>
  <w:style w:type="character" w:styleId="UnresolvedMention">
    <w:name w:val="Unresolved Mention"/>
    <w:basedOn w:val="DefaultParagraphFont"/>
    <w:uiPriority w:val="99"/>
    <w:semiHidden/>
    <w:unhideWhenUsed/>
    <w:rsid w:val="00B57D51"/>
    <w:rPr>
      <w:color w:val="605E5C"/>
      <w:shd w:val="clear" w:color="auto" w:fill="E1DFDD"/>
    </w:rPr>
  </w:style>
  <w:style w:type="paragraph" w:styleId="Revision">
    <w:name w:val="Revision"/>
    <w:hidden/>
    <w:uiPriority w:val="99"/>
    <w:semiHidden/>
    <w:rsid w:val="00C416FA"/>
    <w:rPr>
      <w:sz w:val="24"/>
      <w:szCs w:val="24"/>
    </w:rPr>
  </w:style>
  <w:style w:type="character" w:customStyle="1" w:styleId="normaltextrun">
    <w:name w:val="normaltextrun"/>
    <w:basedOn w:val="DefaultParagraphFont"/>
    <w:rsid w:val="00C37835"/>
  </w:style>
  <w:style w:type="paragraph" w:customStyle="1" w:styleId="legp2paratext">
    <w:name w:val="legp2paratext"/>
    <w:basedOn w:val="Normal"/>
    <w:rsid w:val="00055C52"/>
    <w:pPr>
      <w:spacing w:before="100" w:beforeAutospacing="1" w:after="100" w:afterAutospacing="1"/>
    </w:pPr>
  </w:style>
  <w:style w:type="character" w:customStyle="1" w:styleId="legamendingtext">
    <w:name w:val="legamendingtext"/>
    <w:basedOn w:val="DefaultParagraphFont"/>
    <w:rsid w:val="00055C52"/>
  </w:style>
  <w:style w:type="paragraph" w:customStyle="1" w:styleId="legclearfix">
    <w:name w:val="legclearfix"/>
    <w:basedOn w:val="Normal"/>
    <w:rsid w:val="00055C52"/>
    <w:pPr>
      <w:spacing w:before="100" w:beforeAutospacing="1" w:after="100" w:afterAutospacing="1"/>
    </w:pPr>
  </w:style>
  <w:style w:type="character" w:customStyle="1" w:styleId="legds">
    <w:name w:val="legds"/>
    <w:basedOn w:val="DefaultParagraphFont"/>
    <w:rsid w:val="00055C52"/>
  </w:style>
  <w:style w:type="character" w:styleId="Mention">
    <w:name w:val="Mention"/>
    <w:basedOn w:val="DefaultParagraphFont"/>
    <w:uiPriority w:val="99"/>
    <w:unhideWhenUsed/>
    <w:rsid w:val="00DA666A"/>
    <w:rPr>
      <w:color w:val="2B579A"/>
      <w:shd w:val="clear" w:color="auto" w:fill="E1DFDD"/>
    </w:rPr>
  </w:style>
  <w:style w:type="character" w:customStyle="1" w:styleId="cf01">
    <w:name w:val="cf01"/>
    <w:basedOn w:val="DefaultParagraphFont"/>
    <w:rsid w:val="008F1FC1"/>
    <w:rPr>
      <w:rFonts w:ascii="Segoe UI" w:hAnsi="Segoe UI" w:cs="Segoe UI" w:hint="default"/>
      <w:sz w:val="18"/>
      <w:szCs w:val="18"/>
    </w:rPr>
  </w:style>
  <w:style w:type="paragraph" w:styleId="NormalWeb">
    <w:name w:val="Normal (Web)"/>
    <w:basedOn w:val="Normal"/>
    <w:uiPriority w:val="99"/>
    <w:semiHidden/>
    <w:unhideWhenUsed/>
    <w:rsid w:val="00F56A8A"/>
    <w:pPr>
      <w:spacing w:before="100" w:beforeAutospacing="1" w:after="100" w:afterAutospacing="1"/>
    </w:pPr>
  </w:style>
  <w:style w:type="character" w:customStyle="1" w:styleId="ui-provider">
    <w:name w:val="ui-provider"/>
    <w:basedOn w:val="DefaultParagraphFont"/>
    <w:rsid w:val="009E5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56136">
      <w:bodyDiv w:val="1"/>
      <w:marLeft w:val="0"/>
      <w:marRight w:val="0"/>
      <w:marTop w:val="0"/>
      <w:marBottom w:val="0"/>
      <w:divBdr>
        <w:top w:val="none" w:sz="0" w:space="0" w:color="auto"/>
        <w:left w:val="none" w:sz="0" w:space="0" w:color="auto"/>
        <w:bottom w:val="none" w:sz="0" w:space="0" w:color="auto"/>
        <w:right w:val="none" w:sz="0" w:space="0" w:color="auto"/>
      </w:divBdr>
    </w:div>
    <w:div w:id="283780154">
      <w:bodyDiv w:val="1"/>
      <w:marLeft w:val="0"/>
      <w:marRight w:val="0"/>
      <w:marTop w:val="0"/>
      <w:marBottom w:val="0"/>
      <w:divBdr>
        <w:top w:val="none" w:sz="0" w:space="0" w:color="auto"/>
        <w:left w:val="none" w:sz="0" w:space="0" w:color="auto"/>
        <w:bottom w:val="none" w:sz="0" w:space="0" w:color="auto"/>
        <w:right w:val="none" w:sz="0" w:space="0" w:color="auto"/>
      </w:divBdr>
    </w:div>
    <w:div w:id="337345101">
      <w:bodyDiv w:val="1"/>
      <w:marLeft w:val="0"/>
      <w:marRight w:val="0"/>
      <w:marTop w:val="0"/>
      <w:marBottom w:val="0"/>
      <w:divBdr>
        <w:top w:val="none" w:sz="0" w:space="0" w:color="auto"/>
        <w:left w:val="none" w:sz="0" w:space="0" w:color="auto"/>
        <w:bottom w:val="none" w:sz="0" w:space="0" w:color="auto"/>
        <w:right w:val="none" w:sz="0" w:space="0" w:color="auto"/>
      </w:divBdr>
    </w:div>
    <w:div w:id="402601669">
      <w:bodyDiv w:val="1"/>
      <w:marLeft w:val="0"/>
      <w:marRight w:val="0"/>
      <w:marTop w:val="0"/>
      <w:marBottom w:val="0"/>
      <w:divBdr>
        <w:top w:val="none" w:sz="0" w:space="0" w:color="auto"/>
        <w:left w:val="none" w:sz="0" w:space="0" w:color="auto"/>
        <w:bottom w:val="none" w:sz="0" w:space="0" w:color="auto"/>
        <w:right w:val="none" w:sz="0" w:space="0" w:color="auto"/>
      </w:divBdr>
      <w:divsChild>
        <w:div w:id="558445706">
          <w:marLeft w:val="547"/>
          <w:marRight w:val="0"/>
          <w:marTop w:val="200"/>
          <w:marBottom w:val="0"/>
          <w:divBdr>
            <w:top w:val="none" w:sz="0" w:space="0" w:color="auto"/>
            <w:left w:val="none" w:sz="0" w:space="0" w:color="auto"/>
            <w:bottom w:val="none" w:sz="0" w:space="0" w:color="auto"/>
            <w:right w:val="none" w:sz="0" w:space="0" w:color="auto"/>
          </w:divBdr>
        </w:div>
      </w:divsChild>
    </w:div>
    <w:div w:id="559635543">
      <w:bodyDiv w:val="1"/>
      <w:marLeft w:val="0"/>
      <w:marRight w:val="0"/>
      <w:marTop w:val="0"/>
      <w:marBottom w:val="0"/>
      <w:divBdr>
        <w:top w:val="none" w:sz="0" w:space="0" w:color="auto"/>
        <w:left w:val="none" w:sz="0" w:space="0" w:color="auto"/>
        <w:bottom w:val="none" w:sz="0" w:space="0" w:color="auto"/>
        <w:right w:val="none" w:sz="0" w:space="0" w:color="auto"/>
      </w:divBdr>
    </w:div>
    <w:div w:id="564679363">
      <w:bodyDiv w:val="1"/>
      <w:marLeft w:val="0"/>
      <w:marRight w:val="0"/>
      <w:marTop w:val="0"/>
      <w:marBottom w:val="0"/>
      <w:divBdr>
        <w:top w:val="none" w:sz="0" w:space="0" w:color="auto"/>
        <w:left w:val="none" w:sz="0" w:space="0" w:color="auto"/>
        <w:bottom w:val="none" w:sz="0" w:space="0" w:color="auto"/>
        <w:right w:val="none" w:sz="0" w:space="0" w:color="auto"/>
      </w:divBdr>
    </w:div>
    <w:div w:id="587809579">
      <w:bodyDiv w:val="1"/>
      <w:marLeft w:val="0"/>
      <w:marRight w:val="0"/>
      <w:marTop w:val="0"/>
      <w:marBottom w:val="0"/>
      <w:divBdr>
        <w:top w:val="none" w:sz="0" w:space="0" w:color="auto"/>
        <w:left w:val="none" w:sz="0" w:space="0" w:color="auto"/>
        <w:bottom w:val="none" w:sz="0" w:space="0" w:color="auto"/>
        <w:right w:val="none" w:sz="0" w:space="0" w:color="auto"/>
      </w:divBdr>
    </w:div>
    <w:div w:id="873807955">
      <w:bodyDiv w:val="1"/>
      <w:marLeft w:val="0"/>
      <w:marRight w:val="0"/>
      <w:marTop w:val="0"/>
      <w:marBottom w:val="0"/>
      <w:divBdr>
        <w:top w:val="none" w:sz="0" w:space="0" w:color="auto"/>
        <w:left w:val="none" w:sz="0" w:space="0" w:color="auto"/>
        <w:bottom w:val="none" w:sz="0" w:space="0" w:color="auto"/>
        <w:right w:val="none" w:sz="0" w:space="0" w:color="auto"/>
      </w:divBdr>
    </w:div>
    <w:div w:id="967049390">
      <w:bodyDiv w:val="1"/>
      <w:marLeft w:val="0"/>
      <w:marRight w:val="0"/>
      <w:marTop w:val="0"/>
      <w:marBottom w:val="0"/>
      <w:divBdr>
        <w:top w:val="none" w:sz="0" w:space="0" w:color="auto"/>
        <w:left w:val="none" w:sz="0" w:space="0" w:color="auto"/>
        <w:bottom w:val="none" w:sz="0" w:space="0" w:color="auto"/>
        <w:right w:val="none" w:sz="0" w:space="0" w:color="auto"/>
      </w:divBdr>
    </w:div>
    <w:div w:id="1118523341">
      <w:bodyDiv w:val="1"/>
      <w:marLeft w:val="0"/>
      <w:marRight w:val="0"/>
      <w:marTop w:val="0"/>
      <w:marBottom w:val="0"/>
      <w:divBdr>
        <w:top w:val="none" w:sz="0" w:space="0" w:color="auto"/>
        <w:left w:val="none" w:sz="0" w:space="0" w:color="auto"/>
        <w:bottom w:val="none" w:sz="0" w:space="0" w:color="auto"/>
        <w:right w:val="none" w:sz="0" w:space="0" w:color="auto"/>
      </w:divBdr>
    </w:div>
    <w:div w:id="1227035800">
      <w:bodyDiv w:val="1"/>
      <w:marLeft w:val="0"/>
      <w:marRight w:val="0"/>
      <w:marTop w:val="0"/>
      <w:marBottom w:val="0"/>
      <w:divBdr>
        <w:top w:val="none" w:sz="0" w:space="0" w:color="auto"/>
        <w:left w:val="none" w:sz="0" w:space="0" w:color="auto"/>
        <w:bottom w:val="none" w:sz="0" w:space="0" w:color="auto"/>
        <w:right w:val="none" w:sz="0" w:space="0" w:color="auto"/>
      </w:divBdr>
    </w:div>
    <w:div w:id="1264071894">
      <w:bodyDiv w:val="1"/>
      <w:marLeft w:val="0"/>
      <w:marRight w:val="0"/>
      <w:marTop w:val="0"/>
      <w:marBottom w:val="0"/>
      <w:divBdr>
        <w:top w:val="none" w:sz="0" w:space="0" w:color="auto"/>
        <w:left w:val="none" w:sz="0" w:space="0" w:color="auto"/>
        <w:bottom w:val="none" w:sz="0" w:space="0" w:color="auto"/>
        <w:right w:val="none" w:sz="0" w:space="0" w:color="auto"/>
      </w:divBdr>
    </w:div>
    <w:div w:id="1264611928">
      <w:bodyDiv w:val="1"/>
      <w:marLeft w:val="0"/>
      <w:marRight w:val="0"/>
      <w:marTop w:val="0"/>
      <w:marBottom w:val="0"/>
      <w:divBdr>
        <w:top w:val="none" w:sz="0" w:space="0" w:color="auto"/>
        <w:left w:val="none" w:sz="0" w:space="0" w:color="auto"/>
        <w:bottom w:val="none" w:sz="0" w:space="0" w:color="auto"/>
        <w:right w:val="none" w:sz="0" w:space="0" w:color="auto"/>
      </w:divBdr>
    </w:div>
    <w:div w:id="1299334755">
      <w:bodyDiv w:val="1"/>
      <w:marLeft w:val="0"/>
      <w:marRight w:val="0"/>
      <w:marTop w:val="0"/>
      <w:marBottom w:val="0"/>
      <w:divBdr>
        <w:top w:val="none" w:sz="0" w:space="0" w:color="auto"/>
        <w:left w:val="none" w:sz="0" w:space="0" w:color="auto"/>
        <w:bottom w:val="none" w:sz="0" w:space="0" w:color="auto"/>
        <w:right w:val="none" w:sz="0" w:space="0" w:color="auto"/>
      </w:divBdr>
    </w:div>
    <w:div w:id="1418819251">
      <w:bodyDiv w:val="1"/>
      <w:marLeft w:val="0"/>
      <w:marRight w:val="0"/>
      <w:marTop w:val="0"/>
      <w:marBottom w:val="0"/>
      <w:divBdr>
        <w:top w:val="none" w:sz="0" w:space="0" w:color="auto"/>
        <w:left w:val="none" w:sz="0" w:space="0" w:color="auto"/>
        <w:bottom w:val="none" w:sz="0" w:space="0" w:color="auto"/>
        <w:right w:val="none" w:sz="0" w:space="0" w:color="auto"/>
      </w:divBdr>
      <w:divsChild>
        <w:div w:id="276107861">
          <w:marLeft w:val="446"/>
          <w:marRight w:val="0"/>
          <w:marTop w:val="0"/>
          <w:marBottom w:val="0"/>
          <w:divBdr>
            <w:top w:val="none" w:sz="0" w:space="0" w:color="auto"/>
            <w:left w:val="none" w:sz="0" w:space="0" w:color="auto"/>
            <w:bottom w:val="none" w:sz="0" w:space="0" w:color="auto"/>
            <w:right w:val="none" w:sz="0" w:space="0" w:color="auto"/>
          </w:divBdr>
        </w:div>
        <w:div w:id="474377778">
          <w:marLeft w:val="446"/>
          <w:marRight w:val="0"/>
          <w:marTop w:val="0"/>
          <w:marBottom w:val="0"/>
          <w:divBdr>
            <w:top w:val="none" w:sz="0" w:space="0" w:color="auto"/>
            <w:left w:val="none" w:sz="0" w:space="0" w:color="auto"/>
            <w:bottom w:val="none" w:sz="0" w:space="0" w:color="auto"/>
            <w:right w:val="none" w:sz="0" w:space="0" w:color="auto"/>
          </w:divBdr>
        </w:div>
        <w:div w:id="591472630">
          <w:marLeft w:val="446"/>
          <w:marRight w:val="0"/>
          <w:marTop w:val="0"/>
          <w:marBottom w:val="0"/>
          <w:divBdr>
            <w:top w:val="none" w:sz="0" w:space="0" w:color="auto"/>
            <w:left w:val="none" w:sz="0" w:space="0" w:color="auto"/>
            <w:bottom w:val="none" w:sz="0" w:space="0" w:color="auto"/>
            <w:right w:val="none" w:sz="0" w:space="0" w:color="auto"/>
          </w:divBdr>
        </w:div>
        <w:div w:id="751048269">
          <w:marLeft w:val="547"/>
          <w:marRight w:val="0"/>
          <w:marTop w:val="0"/>
          <w:marBottom w:val="0"/>
          <w:divBdr>
            <w:top w:val="none" w:sz="0" w:space="0" w:color="auto"/>
            <w:left w:val="none" w:sz="0" w:space="0" w:color="auto"/>
            <w:bottom w:val="none" w:sz="0" w:space="0" w:color="auto"/>
            <w:right w:val="none" w:sz="0" w:space="0" w:color="auto"/>
          </w:divBdr>
        </w:div>
        <w:div w:id="801846764">
          <w:marLeft w:val="547"/>
          <w:marRight w:val="0"/>
          <w:marTop w:val="0"/>
          <w:marBottom w:val="0"/>
          <w:divBdr>
            <w:top w:val="none" w:sz="0" w:space="0" w:color="auto"/>
            <w:left w:val="none" w:sz="0" w:space="0" w:color="auto"/>
            <w:bottom w:val="none" w:sz="0" w:space="0" w:color="auto"/>
            <w:right w:val="none" w:sz="0" w:space="0" w:color="auto"/>
          </w:divBdr>
        </w:div>
        <w:div w:id="1355228350">
          <w:marLeft w:val="446"/>
          <w:marRight w:val="0"/>
          <w:marTop w:val="0"/>
          <w:marBottom w:val="0"/>
          <w:divBdr>
            <w:top w:val="none" w:sz="0" w:space="0" w:color="auto"/>
            <w:left w:val="none" w:sz="0" w:space="0" w:color="auto"/>
            <w:bottom w:val="none" w:sz="0" w:space="0" w:color="auto"/>
            <w:right w:val="none" w:sz="0" w:space="0" w:color="auto"/>
          </w:divBdr>
        </w:div>
        <w:div w:id="1514495002">
          <w:marLeft w:val="547"/>
          <w:marRight w:val="0"/>
          <w:marTop w:val="0"/>
          <w:marBottom w:val="0"/>
          <w:divBdr>
            <w:top w:val="none" w:sz="0" w:space="0" w:color="auto"/>
            <w:left w:val="none" w:sz="0" w:space="0" w:color="auto"/>
            <w:bottom w:val="none" w:sz="0" w:space="0" w:color="auto"/>
            <w:right w:val="none" w:sz="0" w:space="0" w:color="auto"/>
          </w:divBdr>
        </w:div>
        <w:div w:id="1797403344">
          <w:marLeft w:val="547"/>
          <w:marRight w:val="0"/>
          <w:marTop w:val="0"/>
          <w:marBottom w:val="0"/>
          <w:divBdr>
            <w:top w:val="none" w:sz="0" w:space="0" w:color="auto"/>
            <w:left w:val="none" w:sz="0" w:space="0" w:color="auto"/>
            <w:bottom w:val="none" w:sz="0" w:space="0" w:color="auto"/>
            <w:right w:val="none" w:sz="0" w:space="0" w:color="auto"/>
          </w:divBdr>
        </w:div>
        <w:div w:id="1839271649">
          <w:marLeft w:val="446"/>
          <w:marRight w:val="0"/>
          <w:marTop w:val="0"/>
          <w:marBottom w:val="0"/>
          <w:divBdr>
            <w:top w:val="none" w:sz="0" w:space="0" w:color="auto"/>
            <w:left w:val="none" w:sz="0" w:space="0" w:color="auto"/>
            <w:bottom w:val="none" w:sz="0" w:space="0" w:color="auto"/>
            <w:right w:val="none" w:sz="0" w:space="0" w:color="auto"/>
          </w:divBdr>
        </w:div>
        <w:div w:id="1898734336">
          <w:marLeft w:val="547"/>
          <w:marRight w:val="0"/>
          <w:marTop w:val="0"/>
          <w:marBottom w:val="0"/>
          <w:divBdr>
            <w:top w:val="none" w:sz="0" w:space="0" w:color="auto"/>
            <w:left w:val="none" w:sz="0" w:space="0" w:color="auto"/>
            <w:bottom w:val="none" w:sz="0" w:space="0" w:color="auto"/>
            <w:right w:val="none" w:sz="0" w:space="0" w:color="auto"/>
          </w:divBdr>
        </w:div>
        <w:div w:id="1941522231">
          <w:marLeft w:val="547"/>
          <w:marRight w:val="0"/>
          <w:marTop w:val="0"/>
          <w:marBottom w:val="0"/>
          <w:divBdr>
            <w:top w:val="none" w:sz="0" w:space="0" w:color="auto"/>
            <w:left w:val="none" w:sz="0" w:space="0" w:color="auto"/>
            <w:bottom w:val="none" w:sz="0" w:space="0" w:color="auto"/>
            <w:right w:val="none" w:sz="0" w:space="0" w:color="auto"/>
          </w:divBdr>
        </w:div>
        <w:div w:id="1957322836">
          <w:marLeft w:val="446"/>
          <w:marRight w:val="0"/>
          <w:marTop w:val="0"/>
          <w:marBottom w:val="0"/>
          <w:divBdr>
            <w:top w:val="none" w:sz="0" w:space="0" w:color="auto"/>
            <w:left w:val="none" w:sz="0" w:space="0" w:color="auto"/>
            <w:bottom w:val="none" w:sz="0" w:space="0" w:color="auto"/>
            <w:right w:val="none" w:sz="0" w:space="0" w:color="auto"/>
          </w:divBdr>
        </w:div>
      </w:divsChild>
    </w:div>
    <w:div w:id="1781072769">
      <w:bodyDiv w:val="1"/>
      <w:marLeft w:val="0"/>
      <w:marRight w:val="0"/>
      <w:marTop w:val="0"/>
      <w:marBottom w:val="0"/>
      <w:divBdr>
        <w:top w:val="none" w:sz="0" w:space="0" w:color="auto"/>
        <w:left w:val="none" w:sz="0" w:space="0" w:color="auto"/>
        <w:bottom w:val="none" w:sz="0" w:space="0" w:color="auto"/>
        <w:right w:val="none" w:sz="0" w:space="0" w:color="auto"/>
      </w:divBdr>
    </w:div>
    <w:div w:id="1810319867">
      <w:bodyDiv w:val="1"/>
      <w:marLeft w:val="0"/>
      <w:marRight w:val="0"/>
      <w:marTop w:val="0"/>
      <w:marBottom w:val="0"/>
      <w:divBdr>
        <w:top w:val="none" w:sz="0" w:space="0" w:color="auto"/>
        <w:left w:val="none" w:sz="0" w:space="0" w:color="auto"/>
        <w:bottom w:val="none" w:sz="0" w:space="0" w:color="auto"/>
        <w:right w:val="none" w:sz="0" w:space="0" w:color="auto"/>
      </w:divBdr>
    </w:div>
    <w:div w:id="1885672035">
      <w:bodyDiv w:val="1"/>
      <w:marLeft w:val="0"/>
      <w:marRight w:val="0"/>
      <w:marTop w:val="0"/>
      <w:marBottom w:val="0"/>
      <w:divBdr>
        <w:top w:val="none" w:sz="0" w:space="0" w:color="auto"/>
        <w:left w:val="none" w:sz="0" w:space="0" w:color="auto"/>
        <w:bottom w:val="none" w:sz="0" w:space="0" w:color="auto"/>
        <w:right w:val="none" w:sz="0" w:space="0" w:color="auto"/>
      </w:divBdr>
    </w:div>
    <w:div w:id="1981425503">
      <w:bodyDiv w:val="1"/>
      <w:marLeft w:val="0"/>
      <w:marRight w:val="0"/>
      <w:marTop w:val="0"/>
      <w:marBottom w:val="0"/>
      <w:divBdr>
        <w:top w:val="none" w:sz="0" w:space="0" w:color="auto"/>
        <w:left w:val="none" w:sz="0" w:space="0" w:color="auto"/>
        <w:bottom w:val="none" w:sz="0" w:space="0" w:color="auto"/>
        <w:right w:val="none" w:sz="0" w:space="0" w:color="auto"/>
      </w:divBdr>
    </w:div>
    <w:div w:id="2059698043">
      <w:bodyDiv w:val="1"/>
      <w:marLeft w:val="0"/>
      <w:marRight w:val="0"/>
      <w:marTop w:val="0"/>
      <w:marBottom w:val="0"/>
      <w:divBdr>
        <w:top w:val="none" w:sz="0" w:space="0" w:color="auto"/>
        <w:left w:val="none" w:sz="0" w:space="0" w:color="auto"/>
        <w:bottom w:val="none" w:sz="0" w:space="0" w:color="auto"/>
        <w:right w:val="none" w:sz="0" w:space="0" w:color="auto"/>
      </w:divBdr>
      <w:divsChild>
        <w:div w:id="273051015">
          <w:marLeft w:val="446"/>
          <w:marRight w:val="0"/>
          <w:marTop w:val="0"/>
          <w:marBottom w:val="0"/>
          <w:divBdr>
            <w:top w:val="none" w:sz="0" w:space="0" w:color="auto"/>
            <w:left w:val="none" w:sz="0" w:space="0" w:color="auto"/>
            <w:bottom w:val="none" w:sz="0" w:space="0" w:color="auto"/>
            <w:right w:val="none" w:sz="0" w:space="0" w:color="auto"/>
          </w:divBdr>
        </w:div>
        <w:div w:id="539126861">
          <w:marLeft w:val="446"/>
          <w:marRight w:val="0"/>
          <w:marTop w:val="0"/>
          <w:marBottom w:val="0"/>
          <w:divBdr>
            <w:top w:val="none" w:sz="0" w:space="0" w:color="auto"/>
            <w:left w:val="none" w:sz="0" w:space="0" w:color="auto"/>
            <w:bottom w:val="none" w:sz="0" w:space="0" w:color="auto"/>
            <w:right w:val="none" w:sz="0" w:space="0" w:color="auto"/>
          </w:divBdr>
        </w:div>
        <w:div w:id="1345093229">
          <w:marLeft w:val="446"/>
          <w:marRight w:val="0"/>
          <w:marTop w:val="0"/>
          <w:marBottom w:val="0"/>
          <w:divBdr>
            <w:top w:val="none" w:sz="0" w:space="0" w:color="auto"/>
            <w:left w:val="none" w:sz="0" w:space="0" w:color="auto"/>
            <w:bottom w:val="none" w:sz="0" w:space="0" w:color="auto"/>
            <w:right w:val="none" w:sz="0" w:space="0" w:color="auto"/>
          </w:divBdr>
        </w:div>
        <w:div w:id="1387337645">
          <w:marLeft w:val="446"/>
          <w:marRight w:val="0"/>
          <w:marTop w:val="0"/>
          <w:marBottom w:val="0"/>
          <w:divBdr>
            <w:top w:val="none" w:sz="0" w:space="0" w:color="auto"/>
            <w:left w:val="none" w:sz="0" w:space="0" w:color="auto"/>
            <w:bottom w:val="none" w:sz="0" w:space="0" w:color="auto"/>
            <w:right w:val="none" w:sz="0" w:space="0" w:color="auto"/>
          </w:divBdr>
        </w:div>
        <w:div w:id="2024353087">
          <w:marLeft w:val="446"/>
          <w:marRight w:val="0"/>
          <w:marTop w:val="0"/>
          <w:marBottom w:val="0"/>
          <w:divBdr>
            <w:top w:val="none" w:sz="0" w:space="0" w:color="auto"/>
            <w:left w:val="none" w:sz="0" w:space="0" w:color="auto"/>
            <w:bottom w:val="none" w:sz="0" w:space="0" w:color="auto"/>
            <w:right w:val="none" w:sz="0" w:space="0" w:color="auto"/>
          </w:divBdr>
        </w:div>
      </w:divsChild>
    </w:div>
    <w:div w:id="210522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process/pmg36/chapter/introduction-to-health-technology-evaluation" TargetMode="External"/><Relationship Id="rId18" Type="http://schemas.openxmlformats.org/officeDocument/2006/relationships/hyperlink" Target="https://www.ifrs.org/issued-standards/list-of-standards/ifrs-15-revenue-from-contracts-with-customers/" TargetMode="External"/><Relationship Id="rId26" Type="http://schemas.openxmlformats.org/officeDocument/2006/relationships/hyperlink" Target="https://www.nice.org.uk/about/what-we-do/our-research-work" TargetMode="External"/><Relationship Id="rId39" Type="http://schemas.openxmlformats.org/officeDocument/2006/relationships/hyperlink" Target="https://www.sbs.nhs.uk/" TargetMode="External"/><Relationship Id="rId21" Type="http://schemas.openxmlformats.org/officeDocument/2006/relationships/hyperlink" Target="https://www.gov.uk/government/publications/managing-public-money" TargetMode="External"/><Relationship Id="rId34" Type="http://schemas.openxmlformats.org/officeDocument/2006/relationships/hyperlink" Target="https://www.nice.org.uk/about/what-we-do/our-programmes/nice-guidance/nice-technology-appraisal-guidance/charging" TargetMode="External"/><Relationship Id="rId7" Type="http://schemas.openxmlformats.org/officeDocument/2006/relationships/hyperlink" Target="https://assets.publishing.service.gov.uk/media/5c0a7da340f0b6706e13b49d/government-response-to-nice-recommendations-consultation.pdf" TargetMode="External"/><Relationship Id="rId2" Type="http://schemas.openxmlformats.org/officeDocument/2006/relationships/styles" Target="styles.xml"/><Relationship Id="rId16" Type="http://schemas.openxmlformats.org/officeDocument/2006/relationships/hyperlink" Target="http://www.legislation.gov.uk/id/uksi/2018/1322" TargetMode="External"/><Relationship Id="rId20" Type="http://schemas.openxmlformats.org/officeDocument/2006/relationships/hyperlink" Target="https://www.gov.uk/government/publications/managing-public-money" TargetMode="External"/><Relationship Id="rId29" Type="http://schemas.openxmlformats.org/officeDocument/2006/relationships/image" Target="media/image2.e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about/what-we-do/our-programmes/nice-guidance/nice-technology-appraisal-guidance/charging/procedure-ta" TargetMode="External"/><Relationship Id="rId24" Type="http://schemas.openxmlformats.org/officeDocument/2006/relationships/footer" Target="footer2.xml"/><Relationship Id="rId32" Type="http://schemas.openxmlformats.org/officeDocument/2006/relationships/package" Target="embeddings/Microsoft_Visio_Drawing1.vsdx"/><Relationship Id="rId37" Type="http://schemas.openxmlformats.org/officeDocument/2006/relationships/hyperlink" Target="https://www.nice.org.uk/process/pmg36/chapter/introduction-to-health-technology-evaluation"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ice.org.uk/about/what-we-do/proportionate-approach-to-technology-appraisals" TargetMode="External"/><Relationship Id="rId23" Type="http://schemas.openxmlformats.org/officeDocument/2006/relationships/header" Target="header1.xml"/><Relationship Id="rId28" Type="http://schemas.openxmlformats.org/officeDocument/2006/relationships/hyperlink" Target="https://www.nice.org.uk/Media/Default/Get-involved/Meetings-In-Public/Public-board-meetings/september-23-pbm-IPR-september-23.pptx" TargetMode="External"/><Relationship Id="rId36" Type="http://schemas.openxmlformats.org/officeDocument/2006/relationships/hyperlink" Target="https://www.nice.org.uk/about/what-we-do/our-programmes/nice-guidance/nice-technology-appraisal-guidance/charging/procedure-ta" TargetMode="External"/><Relationship Id="rId10" Type="http://schemas.openxmlformats.org/officeDocument/2006/relationships/hyperlink" Target="https://indepth.nice.org.uk/transforming-nice/index.html" TargetMode="External"/><Relationship Id="rId19" Type="http://schemas.openxmlformats.org/officeDocument/2006/relationships/hyperlink" Target="https://www.gov.uk/government/publications/managing-public-money" TargetMode="External"/><Relationship Id="rId31"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s://www.gov.uk/government/publications/managing-public-money" TargetMode="External"/><Relationship Id="rId14" Type="http://schemas.openxmlformats.org/officeDocument/2006/relationships/hyperlink" Target="https://www.nice.org.uk/process/pmg37/chapter/about-this-guide" TargetMode="External"/><Relationship Id="rId22" Type="http://schemas.openxmlformats.org/officeDocument/2006/relationships/footer" Target="footer1.xml"/><Relationship Id="rId27" Type="http://schemas.openxmlformats.org/officeDocument/2006/relationships/hyperlink" Target="https://www.nice.org.uk/process/pmg36/chapter/introduction-to-health-technology-evaluation" TargetMode="External"/><Relationship Id="rId30" Type="http://schemas.openxmlformats.org/officeDocument/2006/relationships/package" Target="embeddings/Microsoft_Visio_Drawing.vsdx"/><Relationship Id="rId35" Type="http://schemas.openxmlformats.org/officeDocument/2006/relationships/hyperlink" Target="https://www.nice.org.uk/about/what-we-do/our-programmes/nice-guidance/nice-technology-appraisal-guidance/charging" TargetMode="External"/><Relationship Id="rId8" Type="http://schemas.openxmlformats.org/officeDocument/2006/relationships/hyperlink" Target="https://www.nice.org.uk/about/what-we-do/our-programmes/nice-guidance/nice-technology-appraisal-guidance/charging/procedure-ta" TargetMode="External"/><Relationship Id="rId3" Type="http://schemas.openxmlformats.org/officeDocument/2006/relationships/settings" Target="settings.xml"/><Relationship Id="rId12" Type="http://schemas.openxmlformats.org/officeDocument/2006/relationships/hyperlink" Target="https://www.legislation.gov.uk/ukpga/2012/7/contents" TargetMode="External"/><Relationship Id="rId17" Type="http://schemas.openxmlformats.org/officeDocument/2006/relationships/hyperlink" Target="https://www.gov.uk/government/publications/managing-public-money" TargetMode="External"/><Relationship Id="rId25" Type="http://schemas.openxmlformats.org/officeDocument/2006/relationships/hyperlink" Target="https://www.nhsemployers.org/payofferFAQs" TargetMode="External"/><Relationship Id="rId33" Type="http://schemas.openxmlformats.org/officeDocument/2006/relationships/hyperlink" Target="https://www.nice.org.uk/process/pmg36/chapter/introduction-to-health-technology-evaluation" TargetMode="External"/><Relationship Id="rId38" Type="http://schemas.openxmlformats.org/officeDocument/2006/relationships/hyperlink" Target="https://www.gov.uk/government/publications/managing-public-mone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4446</Words>
  <Characters>27019</Characters>
  <Application>Microsoft Office Word</Application>
  <DocSecurity>0</DocSecurity>
  <Lines>225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31403</CharactersWithSpaces>
  <SharedDoc>false</SharedDoc>
  <HLinks>
    <vt:vector size="186" baseType="variant">
      <vt:variant>
        <vt:i4>2687016</vt:i4>
      </vt:variant>
      <vt:variant>
        <vt:i4>96</vt:i4>
      </vt:variant>
      <vt:variant>
        <vt:i4>0</vt:i4>
      </vt:variant>
      <vt:variant>
        <vt:i4>5</vt:i4>
      </vt:variant>
      <vt:variant>
        <vt:lpwstr>https://www.sbs.nhs.uk/</vt:lpwstr>
      </vt:variant>
      <vt:variant>
        <vt:lpwstr/>
      </vt:variant>
      <vt:variant>
        <vt:i4>1572894</vt:i4>
      </vt:variant>
      <vt:variant>
        <vt:i4>93</vt:i4>
      </vt:variant>
      <vt:variant>
        <vt:i4>0</vt:i4>
      </vt:variant>
      <vt:variant>
        <vt:i4>5</vt:i4>
      </vt:variant>
      <vt:variant>
        <vt:lpwstr>https://www.gov.uk/government/publications/managing-public-money</vt:lpwstr>
      </vt:variant>
      <vt:variant>
        <vt:lpwstr/>
      </vt:variant>
      <vt:variant>
        <vt:i4>8323176</vt:i4>
      </vt:variant>
      <vt:variant>
        <vt:i4>90</vt:i4>
      </vt:variant>
      <vt:variant>
        <vt:i4>0</vt:i4>
      </vt:variant>
      <vt:variant>
        <vt:i4>5</vt:i4>
      </vt:variant>
      <vt:variant>
        <vt:lpwstr>https://www.nice.org.uk/process/pmg36/chapter/introduction-to-health-technology-evaluation</vt:lpwstr>
      </vt:variant>
      <vt:variant>
        <vt:lpwstr/>
      </vt:variant>
      <vt:variant>
        <vt:i4>1441893</vt:i4>
      </vt:variant>
      <vt:variant>
        <vt:i4>87</vt:i4>
      </vt:variant>
      <vt:variant>
        <vt:i4>0</vt:i4>
      </vt:variant>
      <vt:variant>
        <vt:i4>5</vt:i4>
      </vt:variant>
      <vt:variant>
        <vt:lpwstr/>
      </vt:variant>
      <vt:variant>
        <vt:lpwstr>_Appendix_3_-</vt:lpwstr>
      </vt:variant>
      <vt:variant>
        <vt:i4>1114227</vt:i4>
      </vt:variant>
      <vt:variant>
        <vt:i4>84</vt:i4>
      </vt:variant>
      <vt:variant>
        <vt:i4>0</vt:i4>
      </vt:variant>
      <vt:variant>
        <vt:i4>5</vt:i4>
      </vt:variant>
      <vt:variant>
        <vt:lpwstr/>
      </vt:variant>
      <vt:variant>
        <vt:lpwstr>_Proposal_1_–</vt:lpwstr>
      </vt:variant>
      <vt:variant>
        <vt:i4>655451</vt:i4>
      </vt:variant>
      <vt:variant>
        <vt:i4>81</vt:i4>
      </vt:variant>
      <vt:variant>
        <vt:i4>0</vt:i4>
      </vt:variant>
      <vt:variant>
        <vt:i4>5</vt:i4>
      </vt:variant>
      <vt:variant>
        <vt:lpwstr>https://www.nice.org.uk/about/what-we-do/our-programmes/nice-guidance/nice-technology-appraisal-guidance/charging/procedure-ta</vt:lpwstr>
      </vt:variant>
      <vt:variant>
        <vt:lpwstr>refunds</vt:lpwstr>
      </vt:variant>
      <vt:variant>
        <vt:i4>1704024</vt:i4>
      </vt:variant>
      <vt:variant>
        <vt:i4>78</vt:i4>
      </vt:variant>
      <vt:variant>
        <vt:i4>0</vt:i4>
      </vt:variant>
      <vt:variant>
        <vt:i4>5</vt:i4>
      </vt:variant>
      <vt:variant>
        <vt:lpwstr>https://www.nice.org.uk/about/what-we-do/our-programmes/nice-guidance/nice-technology-appraisal-guidance/charging</vt:lpwstr>
      </vt:variant>
      <vt:variant>
        <vt:lpwstr/>
      </vt:variant>
      <vt:variant>
        <vt:i4>1704024</vt:i4>
      </vt:variant>
      <vt:variant>
        <vt:i4>75</vt:i4>
      </vt:variant>
      <vt:variant>
        <vt:i4>0</vt:i4>
      </vt:variant>
      <vt:variant>
        <vt:i4>5</vt:i4>
      </vt:variant>
      <vt:variant>
        <vt:lpwstr>https://www.nice.org.uk/about/what-we-do/our-programmes/nice-guidance/nice-technology-appraisal-guidance/charging</vt:lpwstr>
      </vt:variant>
      <vt:variant>
        <vt:lpwstr/>
      </vt:variant>
      <vt:variant>
        <vt:i4>8323176</vt:i4>
      </vt:variant>
      <vt:variant>
        <vt:i4>72</vt:i4>
      </vt:variant>
      <vt:variant>
        <vt:i4>0</vt:i4>
      </vt:variant>
      <vt:variant>
        <vt:i4>5</vt:i4>
      </vt:variant>
      <vt:variant>
        <vt:lpwstr>https://www.nice.org.uk/process/pmg36/chapter/introduction-to-health-technology-evaluation</vt:lpwstr>
      </vt:variant>
      <vt:variant>
        <vt:lpwstr/>
      </vt:variant>
      <vt:variant>
        <vt:i4>7274549</vt:i4>
      </vt:variant>
      <vt:variant>
        <vt:i4>63</vt:i4>
      </vt:variant>
      <vt:variant>
        <vt:i4>0</vt:i4>
      </vt:variant>
      <vt:variant>
        <vt:i4>5</vt:i4>
      </vt:variant>
      <vt:variant>
        <vt:lpwstr>https://www.nice.org.uk/Media/Default/Get-involved/Meetings-In-Public/Public-board-meetings/september-23-pbm-IPR-september-23.pptx</vt:lpwstr>
      </vt:variant>
      <vt:variant>
        <vt:lpwstr/>
      </vt:variant>
      <vt:variant>
        <vt:i4>8323176</vt:i4>
      </vt:variant>
      <vt:variant>
        <vt:i4>60</vt:i4>
      </vt:variant>
      <vt:variant>
        <vt:i4>0</vt:i4>
      </vt:variant>
      <vt:variant>
        <vt:i4>5</vt:i4>
      </vt:variant>
      <vt:variant>
        <vt:lpwstr>https://www.nice.org.uk/process/pmg36/chapter/introduction-to-health-technology-evaluation</vt:lpwstr>
      </vt:variant>
      <vt:variant>
        <vt:lpwstr/>
      </vt:variant>
      <vt:variant>
        <vt:i4>3145852</vt:i4>
      </vt:variant>
      <vt:variant>
        <vt:i4>57</vt:i4>
      </vt:variant>
      <vt:variant>
        <vt:i4>0</vt:i4>
      </vt:variant>
      <vt:variant>
        <vt:i4>5</vt:i4>
      </vt:variant>
      <vt:variant>
        <vt:lpwstr>https://www.nice.org.uk/about/what-we-do/our-research-work</vt:lpwstr>
      </vt:variant>
      <vt:variant>
        <vt:lpwstr/>
      </vt:variant>
      <vt:variant>
        <vt:i4>5832799</vt:i4>
      </vt:variant>
      <vt:variant>
        <vt:i4>54</vt:i4>
      </vt:variant>
      <vt:variant>
        <vt:i4>0</vt:i4>
      </vt:variant>
      <vt:variant>
        <vt:i4>5</vt:i4>
      </vt:variant>
      <vt:variant>
        <vt:lpwstr>https://www.nhsemployers.org/payofferFAQs</vt:lpwstr>
      </vt:variant>
      <vt:variant>
        <vt:lpwstr/>
      </vt:variant>
      <vt:variant>
        <vt:i4>1441895</vt:i4>
      </vt:variant>
      <vt:variant>
        <vt:i4>51</vt:i4>
      </vt:variant>
      <vt:variant>
        <vt:i4>0</vt:i4>
      </vt:variant>
      <vt:variant>
        <vt:i4>5</vt:i4>
      </vt:variant>
      <vt:variant>
        <vt:lpwstr/>
      </vt:variant>
      <vt:variant>
        <vt:lpwstr>_Appendix_1_-</vt:lpwstr>
      </vt:variant>
      <vt:variant>
        <vt:i4>1572894</vt:i4>
      </vt:variant>
      <vt:variant>
        <vt:i4>48</vt:i4>
      </vt:variant>
      <vt:variant>
        <vt:i4>0</vt:i4>
      </vt:variant>
      <vt:variant>
        <vt:i4>5</vt:i4>
      </vt:variant>
      <vt:variant>
        <vt:lpwstr>https://www.gov.uk/government/publications/managing-public-money</vt:lpwstr>
      </vt:variant>
      <vt:variant>
        <vt:lpwstr/>
      </vt:variant>
      <vt:variant>
        <vt:i4>1572894</vt:i4>
      </vt:variant>
      <vt:variant>
        <vt:i4>45</vt:i4>
      </vt:variant>
      <vt:variant>
        <vt:i4>0</vt:i4>
      </vt:variant>
      <vt:variant>
        <vt:i4>5</vt:i4>
      </vt:variant>
      <vt:variant>
        <vt:lpwstr>https://www.gov.uk/government/publications/managing-public-money</vt:lpwstr>
      </vt:variant>
      <vt:variant>
        <vt:lpwstr/>
      </vt:variant>
      <vt:variant>
        <vt:i4>1572894</vt:i4>
      </vt:variant>
      <vt:variant>
        <vt:i4>42</vt:i4>
      </vt:variant>
      <vt:variant>
        <vt:i4>0</vt:i4>
      </vt:variant>
      <vt:variant>
        <vt:i4>5</vt:i4>
      </vt:variant>
      <vt:variant>
        <vt:lpwstr>https://www.gov.uk/government/publications/managing-public-money</vt:lpwstr>
      </vt:variant>
      <vt:variant>
        <vt:lpwstr/>
      </vt:variant>
      <vt:variant>
        <vt:i4>6684797</vt:i4>
      </vt:variant>
      <vt:variant>
        <vt:i4>39</vt:i4>
      </vt:variant>
      <vt:variant>
        <vt:i4>0</vt:i4>
      </vt:variant>
      <vt:variant>
        <vt:i4>5</vt:i4>
      </vt:variant>
      <vt:variant>
        <vt:lpwstr>https://www.ifrs.org/issued-standards/list-of-standards/ifrs-15-revenue-from-contracts-with-customers/</vt:lpwstr>
      </vt:variant>
      <vt:variant>
        <vt:lpwstr/>
      </vt:variant>
      <vt:variant>
        <vt:i4>1572894</vt:i4>
      </vt:variant>
      <vt:variant>
        <vt:i4>36</vt:i4>
      </vt:variant>
      <vt:variant>
        <vt:i4>0</vt:i4>
      </vt:variant>
      <vt:variant>
        <vt:i4>5</vt:i4>
      </vt:variant>
      <vt:variant>
        <vt:lpwstr>https://www.gov.uk/government/publications/managing-public-money</vt:lpwstr>
      </vt:variant>
      <vt:variant>
        <vt:lpwstr/>
      </vt:variant>
      <vt:variant>
        <vt:i4>3670132</vt:i4>
      </vt:variant>
      <vt:variant>
        <vt:i4>33</vt:i4>
      </vt:variant>
      <vt:variant>
        <vt:i4>0</vt:i4>
      </vt:variant>
      <vt:variant>
        <vt:i4>5</vt:i4>
      </vt:variant>
      <vt:variant>
        <vt:lpwstr>http://www.legislation.gov.uk/id/uksi/2018/1322</vt:lpwstr>
      </vt:variant>
      <vt:variant>
        <vt:lpwstr/>
      </vt:variant>
      <vt:variant>
        <vt:i4>1114204</vt:i4>
      </vt:variant>
      <vt:variant>
        <vt:i4>30</vt:i4>
      </vt:variant>
      <vt:variant>
        <vt:i4>0</vt:i4>
      </vt:variant>
      <vt:variant>
        <vt:i4>5</vt:i4>
      </vt:variant>
      <vt:variant>
        <vt:lpwstr>https://www.nice.org.uk/about/what-we-do/proportionate-approach-to-technology-appraisals</vt:lpwstr>
      </vt:variant>
      <vt:variant>
        <vt:lpwstr/>
      </vt:variant>
      <vt:variant>
        <vt:i4>3276834</vt:i4>
      </vt:variant>
      <vt:variant>
        <vt:i4>27</vt:i4>
      </vt:variant>
      <vt:variant>
        <vt:i4>0</vt:i4>
      </vt:variant>
      <vt:variant>
        <vt:i4>5</vt:i4>
      </vt:variant>
      <vt:variant>
        <vt:lpwstr>https://www.nice.org.uk/process/pmg37/chapter/about-this-guide</vt:lpwstr>
      </vt:variant>
      <vt:variant>
        <vt:lpwstr/>
      </vt:variant>
      <vt:variant>
        <vt:i4>8323176</vt:i4>
      </vt:variant>
      <vt:variant>
        <vt:i4>24</vt:i4>
      </vt:variant>
      <vt:variant>
        <vt:i4>0</vt:i4>
      </vt:variant>
      <vt:variant>
        <vt:i4>5</vt:i4>
      </vt:variant>
      <vt:variant>
        <vt:lpwstr>https://www.nice.org.uk/process/pmg36/chapter/introduction-to-health-technology-evaluation</vt:lpwstr>
      </vt:variant>
      <vt:variant>
        <vt:lpwstr/>
      </vt:variant>
      <vt:variant>
        <vt:i4>5636127</vt:i4>
      </vt:variant>
      <vt:variant>
        <vt:i4>21</vt:i4>
      </vt:variant>
      <vt:variant>
        <vt:i4>0</vt:i4>
      </vt:variant>
      <vt:variant>
        <vt:i4>5</vt:i4>
      </vt:variant>
      <vt:variant>
        <vt:lpwstr>https://www.legislation.gov.uk/ukpga/2012/7/contents</vt:lpwstr>
      </vt:variant>
      <vt:variant>
        <vt:lpwstr/>
      </vt:variant>
      <vt:variant>
        <vt:i4>8257569</vt:i4>
      </vt:variant>
      <vt:variant>
        <vt:i4>18</vt:i4>
      </vt:variant>
      <vt:variant>
        <vt:i4>0</vt:i4>
      </vt:variant>
      <vt:variant>
        <vt:i4>5</vt:i4>
      </vt:variant>
      <vt:variant>
        <vt:lpwstr>https://www.nice.org.uk/about/what-we-do/our-programmes/nice-guidance/nice-technology-appraisal-guidance/charging/procedure-ta</vt:lpwstr>
      </vt:variant>
      <vt:variant>
        <vt:lpwstr/>
      </vt:variant>
      <vt:variant>
        <vt:i4>1441892</vt:i4>
      </vt:variant>
      <vt:variant>
        <vt:i4>15</vt:i4>
      </vt:variant>
      <vt:variant>
        <vt:i4>0</vt:i4>
      </vt:variant>
      <vt:variant>
        <vt:i4>5</vt:i4>
      </vt:variant>
      <vt:variant>
        <vt:lpwstr/>
      </vt:variant>
      <vt:variant>
        <vt:lpwstr>_Appendix_2_-</vt:lpwstr>
      </vt:variant>
      <vt:variant>
        <vt:i4>5898352</vt:i4>
      </vt:variant>
      <vt:variant>
        <vt:i4>12</vt:i4>
      </vt:variant>
      <vt:variant>
        <vt:i4>0</vt:i4>
      </vt:variant>
      <vt:variant>
        <vt:i4>5</vt:i4>
      </vt:variant>
      <vt:variant>
        <vt:lpwstr/>
      </vt:variant>
      <vt:variant>
        <vt:lpwstr>_Fees_for_2024-25</vt:lpwstr>
      </vt:variant>
      <vt:variant>
        <vt:i4>458778</vt:i4>
      </vt:variant>
      <vt:variant>
        <vt:i4>9</vt:i4>
      </vt:variant>
      <vt:variant>
        <vt:i4>0</vt:i4>
      </vt:variant>
      <vt:variant>
        <vt:i4>5</vt:i4>
      </vt:variant>
      <vt:variant>
        <vt:lpwstr>https://indepth.nice.org.uk/transforming-nice/index.html</vt:lpwstr>
      </vt:variant>
      <vt:variant>
        <vt:lpwstr/>
      </vt:variant>
      <vt:variant>
        <vt:i4>1572894</vt:i4>
      </vt:variant>
      <vt:variant>
        <vt:i4>6</vt:i4>
      </vt:variant>
      <vt:variant>
        <vt:i4>0</vt:i4>
      </vt:variant>
      <vt:variant>
        <vt:i4>5</vt:i4>
      </vt:variant>
      <vt:variant>
        <vt:lpwstr>https://www.gov.uk/government/publications/managing-public-money</vt:lpwstr>
      </vt:variant>
      <vt:variant>
        <vt:lpwstr/>
      </vt:variant>
      <vt:variant>
        <vt:i4>8257569</vt:i4>
      </vt:variant>
      <vt:variant>
        <vt:i4>3</vt:i4>
      </vt:variant>
      <vt:variant>
        <vt:i4>0</vt:i4>
      </vt:variant>
      <vt:variant>
        <vt:i4>5</vt:i4>
      </vt:variant>
      <vt:variant>
        <vt:lpwstr>https://www.nice.org.uk/about/what-we-do/our-programmes/nice-guidance/nice-technology-appraisal-guidance/charging/procedure-ta</vt:lpwstr>
      </vt:variant>
      <vt:variant>
        <vt:lpwstr/>
      </vt:variant>
      <vt:variant>
        <vt:i4>5505042</vt:i4>
      </vt:variant>
      <vt:variant>
        <vt:i4>0</vt:i4>
      </vt:variant>
      <vt:variant>
        <vt:i4>0</vt:i4>
      </vt:variant>
      <vt:variant>
        <vt:i4>5</vt:i4>
      </vt:variant>
      <vt:variant>
        <vt:lpwstr>https://assets.publishing.service.gov.uk/media/5c0a7da340f0b6706e13b49d/government-response-to-nice-recommendations-consultation.pdf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2023-11-20T17:04:00Z</dcterms:created>
  <dcterms:modified xsi:type="dcterms:W3CDTF">2023-11-20T17:04:00Z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2023-11-20T17:04:42Z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4c53266a-f4dc-4129-9b2c-1b27aed23b03</vt:lpwstr>
  </property>
  <property fmtid="{D5CDD505-2E9C-101B-9397-08002B2CF9AE}" pid="8" name="MSIP_Label_c69d85d5-6d9e-4305-a294-1f636ec0f2d6_ContentBits">
    <vt:lpwstr>0</vt:lpwstr>
  </property>
</Properties>
</file>