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7711B" w14:textId="77777777" w:rsidR="00C24D6E" w:rsidRDefault="00C24D6E" w:rsidP="00C24D6E">
      <w:pPr>
        <w:pStyle w:val="Header"/>
        <w:jc w:val="center"/>
        <w:rPr>
          <w:b/>
          <w:bCs/>
        </w:rPr>
      </w:pPr>
      <w:r w:rsidRPr="006C542D">
        <w:rPr>
          <w:b/>
          <w:bCs/>
        </w:rPr>
        <w:t xml:space="preserve">National Institute for </w:t>
      </w:r>
      <w:r>
        <w:rPr>
          <w:b/>
          <w:bCs/>
        </w:rPr>
        <w:t>Health and Care</w:t>
      </w:r>
      <w:r w:rsidRPr="006C542D">
        <w:rPr>
          <w:b/>
          <w:bCs/>
        </w:rPr>
        <w:t xml:space="preserve"> Excellence </w:t>
      </w:r>
    </w:p>
    <w:p w14:paraId="49AABBE0" w14:textId="77777777" w:rsidR="00C24D6E" w:rsidRDefault="00C24D6E" w:rsidP="00C24D6E">
      <w:pPr>
        <w:pStyle w:val="Header"/>
        <w:jc w:val="center"/>
        <w:rPr>
          <w:b/>
          <w:bCs/>
        </w:rPr>
      </w:pPr>
    </w:p>
    <w:p w14:paraId="35F65A84" w14:textId="214BEA52" w:rsidR="00C24D6E" w:rsidRDefault="00F26310" w:rsidP="00C24D6E">
      <w:pPr>
        <w:pStyle w:val="Header"/>
        <w:jc w:val="center"/>
        <w:rPr>
          <w:b/>
          <w:bCs/>
        </w:rPr>
      </w:pPr>
      <w:r w:rsidRPr="003F26FC">
        <w:rPr>
          <w:b/>
          <w:bCs/>
        </w:rPr>
        <w:t>Single Technology Appraisal (STA)</w:t>
      </w:r>
    </w:p>
    <w:p w14:paraId="46FB4123" w14:textId="77777777" w:rsidR="00296963" w:rsidRDefault="00296963" w:rsidP="00C24D6E">
      <w:pPr>
        <w:widowControl w:val="0"/>
        <w:jc w:val="center"/>
        <w:rPr>
          <w:b/>
          <w:bCs/>
          <w:szCs w:val="24"/>
        </w:rPr>
      </w:pPr>
    </w:p>
    <w:p w14:paraId="2FFEA49F" w14:textId="05DD2E5E" w:rsidR="00C24D6E" w:rsidRPr="00F26310" w:rsidRDefault="003F26FC" w:rsidP="00F26310">
      <w:pPr>
        <w:spacing w:after="240"/>
        <w:jc w:val="center"/>
        <w:rPr>
          <w:b/>
          <w:bCs/>
          <w:szCs w:val="24"/>
        </w:rPr>
      </w:pPr>
      <w:proofErr w:type="spellStart"/>
      <w:r>
        <w:rPr>
          <w:b/>
          <w:bCs/>
          <w:szCs w:val="24"/>
        </w:rPr>
        <w:t>Venetoclax</w:t>
      </w:r>
      <w:proofErr w:type="spellEnd"/>
      <w:r>
        <w:rPr>
          <w:b/>
          <w:bCs/>
          <w:szCs w:val="24"/>
        </w:rPr>
        <w:t xml:space="preserve"> with </w:t>
      </w:r>
      <w:proofErr w:type="spellStart"/>
      <w:r>
        <w:rPr>
          <w:b/>
          <w:bCs/>
          <w:szCs w:val="24"/>
        </w:rPr>
        <w:t>obinutuzumab</w:t>
      </w:r>
      <w:proofErr w:type="spellEnd"/>
      <w:r>
        <w:rPr>
          <w:b/>
          <w:bCs/>
          <w:szCs w:val="24"/>
        </w:rPr>
        <w:t xml:space="preserve"> for untreated chronic lymphocytic leukaemia</w:t>
      </w:r>
    </w:p>
    <w:p w14:paraId="56FE377C" w14:textId="2177E668" w:rsidR="00C24D6E" w:rsidRDefault="00C24D6E" w:rsidP="00C24D6E">
      <w:pPr>
        <w:widowControl w:val="0"/>
        <w:jc w:val="center"/>
        <w:rPr>
          <w:b/>
          <w:bCs/>
        </w:rPr>
      </w:pPr>
      <w:r>
        <w:rPr>
          <w:b/>
          <w:bCs/>
        </w:rPr>
        <w:t xml:space="preserve">Response to consultee and commentator comments on the draft remit and draft scope </w:t>
      </w:r>
    </w:p>
    <w:p w14:paraId="71A37413" w14:textId="77777777" w:rsidR="00495D67" w:rsidRDefault="00495D67" w:rsidP="00C24D6E">
      <w:pPr>
        <w:keepNext/>
        <w:spacing w:before="240" w:after="120"/>
        <w:rPr>
          <w:b/>
        </w:rPr>
      </w:pPr>
      <w:r>
        <w:rPr>
          <w:b/>
        </w:rPr>
        <w:t xml:space="preserve">Please note: </w:t>
      </w:r>
      <w:r w:rsidRPr="009C65B5">
        <w:t>Comments received in the course of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26A8E98D" w14:textId="77777777" w:rsidR="00C24D6E" w:rsidRPr="006C542D" w:rsidRDefault="00C24D6E" w:rsidP="00C24D6E">
      <w:pPr>
        <w:keepNext/>
        <w:spacing w:before="240" w:after="120"/>
        <w:rPr>
          <w:b/>
        </w:rPr>
      </w:pPr>
      <w:r w:rsidRPr="006C542D">
        <w:rPr>
          <w:b/>
        </w:rPr>
        <w:t>Comment 1: the draft remit</w:t>
      </w:r>
    </w:p>
    <w:tbl>
      <w:tblPr>
        <w:tblStyle w:val="TableGrid"/>
        <w:tblW w:w="14174" w:type="dxa"/>
        <w:tblLayout w:type="fixed"/>
        <w:tblLook w:val="04A0" w:firstRow="1" w:lastRow="0" w:firstColumn="1" w:lastColumn="0" w:noHBand="0" w:noVBand="1"/>
      </w:tblPr>
      <w:tblGrid>
        <w:gridCol w:w="1951"/>
        <w:gridCol w:w="1843"/>
        <w:gridCol w:w="7796"/>
        <w:gridCol w:w="2584"/>
      </w:tblGrid>
      <w:tr w:rsidR="00CB2688" w14:paraId="62079328" w14:textId="77777777" w:rsidTr="009C5F05">
        <w:trPr>
          <w:trHeight w:val="590"/>
          <w:tblHeader/>
        </w:trPr>
        <w:tc>
          <w:tcPr>
            <w:tcW w:w="1951" w:type="dxa"/>
            <w:tcBorders>
              <w:bottom w:val="single" w:sz="12" w:space="0" w:color="auto"/>
            </w:tcBorders>
            <w:shd w:val="clear" w:color="auto" w:fill="D9D9D9" w:themeFill="background1" w:themeFillShade="D9"/>
          </w:tcPr>
          <w:p w14:paraId="39148863" w14:textId="77777777" w:rsidR="003724F8" w:rsidRPr="003724F8" w:rsidRDefault="003724F8" w:rsidP="00181A4A">
            <w:pPr>
              <w:pStyle w:val="Title"/>
              <w:rPr>
                <w:sz w:val="22"/>
                <w:szCs w:val="22"/>
              </w:rPr>
            </w:pPr>
            <w:r w:rsidRPr="003724F8">
              <w:rPr>
                <w:sz w:val="22"/>
                <w:szCs w:val="22"/>
              </w:rPr>
              <w:t xml:space="preserve">Section </w:t>
            </w:r>
          </w:p>
        </w:tc>
        <w:tc>
          <w:tcPr>
            <w:tcW w:w="1843" w:type="dxa"/>
            <w:tcBorders>
              <w:bottom w:val="single" w:sz="12" w:space="0" w:color="auto"/>
            </w:tcBorders>
            <w:shd w:val="clear" w:color="auto" w:fill="D9D9D9" w:themeFill="background1" w:themeFillShade="D9"/>
          </w:tcPr>
          <w:p w14:paraId="63C10059" w14:textId="77777777" w:rsidR="003724F8" w:rsidRPr="003724F8" w:rsidRDefault="003724F8" w:rsidP="00181A4A">
            <w:pPr>
              <w:pStyle w:val="Title"/>
              <w:rPr>
                <w:sz w:val="22"/>
                <w:szCs w:val="22"/>
              </w:rPr>
            </w:pPr>
            <w:r w:rsidRPr="003724F8">
              <w:rPr>
                <w:sz w:val="22"/>
                <w:szCs w:val="22"/>
              </w:rPr>
              <w:t>Consultee/</w:t>
            </w:r>
            <w:r w:rsidR="00CB2688">
              <w:rPr>
                <w:sz w:val="22"/>
                <w:szCs w:val="22"/>
              </w:rPr>
              <w:t xml:space="preserve"> </w:t>
            </w:r>
            <w:r w:rsidRPr="003724F8">
              <w:rPr>
                <w:sz w:val="22"/>
                <w:szCs w:val="22"/>
              </w:rPr>
              <w:t>Commentator</w:t>
            </w:r>
          </w:p>
        </w:tc>
        <w:tc>
          <w:tcPr>
            <w:tcW w:w="7796" w:type="dxa"/>
            <w:tcBorders>
              <w:bottom w:val="single" w:sz="12" w:space="0" w:color="auto"/>
            </w:tcBorders>
            <w:shd w:val="clear" w:color="auto" w:fill="D9D9D9" w:themeFill="background1" w:themeFillShade="D9"/>
          </w:tcPr>
          <w:p w14:paraId="7E3753FC" w14:textId="77777777" w:rsidR="003724F8" w:rsidRPr="003724F8" w:rsidRDefault="003724F8" w:rsidP="00181A4A">
            <w:pPr>
              <w:pStyle w:val="Title"/>
              <w:rPr>
                <w:sz w:val="22"/>
                <w:szCs w:val="22"/>
              </w:rPr>
            </w:pPr>
            <w:r w:rsidRPr="003724F8">
              <w:rPr>
                <w:sz w:val="22"/>
                <w:szCs w:val="22"/>
              </w:rPr>
              <w:t>Comments</w:t>
            </w:r>
            <w:r w:rsidR="00CC37C9">
              <w:rPr>
                <w:sz w:val="22"/>
                <w:szCs w:val="22"/>
              </w:rPr>
              <w:t xml:space="preserve"> [sic]</w:t>
            </w:r>
          </w:p>
        </w:tc>
        <w:tc>
          <w:tcPr>
            <w:tcW w:w="2584" w:type="dxa"/>
            <w:tcBorders>
              <w:bottom w:val="single" w:sz="12" w:space="0" w:color="auto"/>
            </w:tcBorders>
            <w:shd w:val="clear" w:color="auto" w:fill="D9D9D9" w:themeFill="background1" w:themeFillShade="D9"/>
          </w:tcPr>
          <w:p w14:paraId="2B9DDBD7" w14:textId="77777777" w:rsidR="003724F8" w:rsidRPr="003724F8" w:rsidRDefault="003724F8" w:rsidP="00181A4A">
            <w:pPr>
              <w:pStyle w:val="Title"/>
              <w:rPr>
                <w:sz w:val="22"/>
                <w:szCs w:val="22"/>
              </w:rPr>
            </w:pPr>
            <w:r w:rsidRPr="003724F8">
              <w:rPr>
                <w:sz w:val="22"/>
                <w:szCs w:val="22"/>
              </w:rPr>
              <w:t>Action</w:t>
            </w:r>
          </w:p>
        </w:tc>
      </w:tr>
      <w:tr w:rsidR="000F2EC0" w14:paraId="658B674F" w14:textId="77777777" w:rsidTr="009C5F05">
        <w:trPr>
          <w:trHeight w:val="270"/>
        </w:trPr>
        <w:tc>
          <w:tcPr>
            <w:tcW w:w="1951" w:type="dxa"/>
            <w:vMerge w:val="restart"/>
            <w:tcBorders>
              <w:top w:val="single" w:sz="12" w:space="0" w:color="auto"/>
            </w:tcBorders>
          </w:tcPr>
          <w:p w14:paraId="30A6AD30" w14:textId="77777777" w:rsidR="000F2EC0" w:rsidRPr="00EC0E27" w:rsidRDefault="000F2EC0" w:rsidP="00296963">
            <w:pPr>
              <w:pStyle w:val="Title"/>
              <w:jc w:val="left"/>
              <w:rPr>
                <w:b w:val="0"/>
                <w:sz w:val="22"/>
                <w:szCs w:val="22"/>
              </w:rPr>
            </w:pPr>
            <w:r w:rsidRPr="00EC0E27">
              <w:rPr>
                <w:b w:val="0"/>
                <w:sz w:val="22"/>
                <w:szCs w:val="22"/>
              </w:rPr>
              <w:t>Wording</w:t>
            </w:r>
          </w:p>
        </w:tc>
        <w:tc>
          <w:tcPr>
            <w:tcW w:w="1843" w:type="dxa"/>
            <w:tcBorders>
              <w:top w:val="single" w:sz="12" w:space="0" w:color="auto"/>
            </w:tcBorders>
          </w:tcPr>
          <w:p w14:paraId="054ED1EC" w14:textId="35FB212C" w:rsidR="000F2EC0" w:rsidRPr="00584846" w:rsidRDefault="000F2EC0" w:rsidP="00296963">
            <w:pPr>
              <w:pStyle w:val="Title"/>
              <w:jc w:val="left"/>
              <w:rPr>
                <w:b w:val="0"/>
                <w:sz w:val="22"/>
                <w:szCs w:val="22"/>
              </w:rPr>
            </w:pPr>
            <w:r>
              <w:rPr>
                <w:b w:val="0"/>
                <w:sz w:val="22"/>
                <w:szCs w:val="22"/>
              </w:rPr>
              <w:t>AbbVie</w:t>
            </w:r>
          </w:p>
        </w:tc>
        <w:tc>
          <w:tcPr>
            <w:tcW w:w="7796" w:type="dxa"/>
            <w:tcBorders>
              <w:top w:val="single" w:sz="12" w:space="0" w:color="auto"/>
            </w:tcBorders>
          </w:tcPr>
          <w:p w14:paraId="3BD80926" w14:textId="41E55E83" w:rsidR="000F2EC0" w:rsidRPr="00584846" w:rsidRDefault="000F2EC0" w:rsidP="00296963">
            <w:pPr>
              <w:pStyle w:val="Title"/>
              <w:jc w:val="left"/>
              <w:rPr>
                <w:b w:val="0"/>
                <w:sz w:val="22"/>
                <w:szCs w:val="22"/>
              </w:rPr>
            </w:pPr>
            <w:r>
              <w:rPr>
                <w:b w:val="0"/>
                <w:sz w:val="22"/>
                <w:szCs w:val="22"/>
              </w:rPr>
              <w:t>Yes</w:t>
            </w:r>
          </w:p>
        </w:tc>
        <w:tc>
          <w:tcPr>
            <w:tcW w:w="2584" w:type="dxa"/>
            <w:tcBorders>
              <w:top w:val="single" w:sz="12" w:space="0" w:color="auto"/>
            </w:tcBorders>
          </w:tcPr>
          <w:p w14:paraId="69E3DC68" w14:textId="643CE967" w:rsidR="000F2EC0" w:rsidRPr="00584846" w:rsidRDefault="000F2EC0" w:rsidP="00296963">
            <w:pPr>
              <w:pStyle w:val="Title"/>
              <w:jc w:val="left"/>
              <w:rPr>
                <w:b w:val="0"/>
                <w:sz w:val="22"/>
                <w:szCs w:val="22"/>
              </w:rPr>
            </w:pPr>
            <w:r>
              <w:rPr>
                <w:b w:val="0"/>
                <w:sz w:val="22"/>
                <w:szCs w:val="22"/>
              </w:rPr>
              <w:t>Comment noted. No change to the scope required.</w:t>
            </w:r>
          </w:p>
        </w:tc>
      </w:tr>
      <w:tr w:rsidR="000F2EC0" w:rsidRPr="003724F8" w14:paraId="7A9DA283" w14:textId="77777777" w:rsidTr="009C5F05">
        <w:tc>
          <w:tcPr>
            <w:tcW w:w="1951" w:type="dxa"/>
            <w:vMerge/>
          </w:tcPr>
          <w:p w14:paraId="38A62514" w14:textId="77777777" w:rsidR="000F2EC0" w:rsidRPr="00EC0E27" w:rsidRDefault="000F2EC0" w:rsidP="00623817">
            <w:pPr>
              <w:pStyle w:val="Title"/>
              <w:jc w:val="left"/>
              <w:rPr>
                <w:b w:val="0"/>
                <w:sz w:val="22"/>
                <w:szCs w:val="22"/>
              </w:rPr>
            </w:pPr>
          </w:p>
        </w:tc>
        <w:tc>
          <w:tcPr>
            <w:tcW w:w="1843" w:type="dxa"/>
          </w:tcPr>
          <w:p w14:paraId="58E95498" w14:textId="0587CE42" w:rsidR="000F2EC0" w:rsidRPr="00A9583D" w:rsidRDefault="000F2EC0" w:rsidP="00623817">
            <w:pPr>
              <w:pStyle w:val="Title"/>
              <w:jc w:val="left"/>
              <w:rPr>
                <w:b w:val="0"/>
                <w:sz w:val="22"/>
                <w:szCs w:val="22"/>
              </w:rPr>
            </w:pPr>
            <w:r>
              <w:rPr>
                <w:b w:val="0"/>
                <w:sz w:val="22"/>
                <w:szCs w:val="22"/>
              </w:rPr>
              <w:t>Leukaemia Care</w:t>
            </w:r>
          </w:p>
        </w:tc>
        <w:tc>
          <w:tcPr>
            <w:tcW w:w="7796" w:type="dxa"/>
          </w:tcPr>
          <w:p w14:paraId="0A5F2D61" w14:textId="7E569E07" w:rsidR="000F2EC0" w:rsidRPr="00737EFA" w:rsidRDefault="000F2EC0" w:rsidP="00623817">
            <w:pPr>
              <w:pStyle w:val="Title"/>
              <w:jc w:val="left"/>
              <w:rPr>
                <w:b w:val="0"/>
                <w:sz w:val="22"/>
                <w:szCs w:val="22"/>
              </w:rPr>
            </w:pPr>
            <w:r w:rsidRPr="004614E3">
              <w:rPr>
                <w:b w:val="0"/>
                <w:sz w:val="22"/>
                <w:szCs w:val="22"/>
              </w:rPr>
              <w:t>It is hard to answer this at this stage as the EMA UK marketing authorisation decision has not yet been issued and therapeutic indication defined.</w:t>
            </w:r>
          </w:p>
        </w:tc>
        <w:tc>
          <w:tcPr>
            <w:tcW w:w="2584" w:type="dxa"/>
          </w:tcPr>
          <w:p w14:paraId="005C93C5" w14:textId="19769ACD" w:rsidR="000F2EC0" w:rsidRPr="00584846" w:rsidRDefault="000F2EC0" w:rsidP="00623817">
            <w:pPr>
              <w:pStyle w:val="Title"/>
              <w:jc w:val="left"/>
              <w:rPr>
                <w:b w:val="0"/>
                <w:sz w:val="22"/>
                <w:szCs w:val="22"/>
              </w:rPr>
            </w:pPr>
            <w:r>
              <w:rPr>
                <w:b w:val="0"/>
                <w:sz w:val="22"/>
                <w:szCs w:val="22"/>
              </w:rPr>
              <w:t>Comment noted. No change to the scope required.</w:t>
            </w:r>
          </w:p>
        </w:tc>
      </w:tr>
      <w:tr w:rsidR="000F2EC0" w:rsidRPr="003724F8" w14:paraId="047FA414" w14:textId="77777777" w:rsidTr="009C5F05">
        <w:tc>
          <w:tcPr>
            <w:tcW w:w="1951" w:type="dxa"/>
            <w:vMerge/>
          </w:tcPr>
          <w:p w14:paraId="142A1D0D" w14:textId="77777777" w:rsidR="000F2EC0" w:rsidRPr="00EC0E27" w:rsidRDefault="000F2EC0" w:rsidP="00623817">
            <w:pPr>
              <w:pStyle w:val="Title"/>
              <w:jc w:val="left"/>
              <w:rPr>
                <w:b w:val="0"/>
                <w:sz w:val="22"/>
                <w:szCs w:val="22"/>
              </w:rPr>
            </w:pPr>
          </w:p>
        </w:tc>
        <w:tc>
          <w:tcPr>
            <w:tcW w:w="1843" w:type="dxa"/>
          </w:tcPr>
          <w:p w14:paraId="2EA936C4" w14:textId="0961367C" w:rsidR="000F2EC0" w:rsidRPr="00A9583D" w:rsidRDefault="000F2EC0" w:rsidP="00623817">
            <w:pPr>
              <w:pStyle w:val="Title"/>
              <w:jc w:val="left"/>
              <w:rPr>
                <w:b w:val="0"/>
                <w:sz w:val="22"/>
                <w:szCs w:val="22"/>
              </w:rPr>
            </w:pPr>
            <w:r w:rsidRPr="009C5F05">
              <w:rPr>
                <w:b w:val="0"/>
                <w:sz w:val="22"/>
                <w:szCs w:val="22"/>
              </w:rPr>
              <w:t xml:space="preserve">Chronic Lymphocytic Leukaemia Support Association </w:t>
            </w:r>
            <w:r>
              <w:rPr>
                <w:b w:val="0"/>
                <w:sz w:val="22"/>
                <w:szCs w:val="22"/>
              </w:rPr>
              <w:t>(</w:t>
            </w:r>
            <w:r w:rsidRPr="009C5F05">
              <w:rPr>
                <w:b w:val="0"/>
                <w:sz w:val="22"/>
                <w:szCs w:val="22"/>
              </w:rPr>
              <w:t>CLLSA</w:t>
            </w:r>
            <w:r>
              <w:rPr>
                <w:b w:val="0"/>
                <w:sz w:val="22"/>
                <w:szCs w:val="22"/>
              </w:rPr>
              <w:t>)</w:t>
            </w:r>
          </w:p>
        </w:tc>
        <w:tc>
          <w:tcPr>
            <w:tcW w:w="7796" w:type="dxa"/>
          </w:tcPr>
          <w:p w14:paraId="2CA6DC24" w14:textId="0F25AF9E" w:rsidR="000F2EC0" w:rsidRPr="00737EFA" w:rsidRDefault="000F2EC0" w:rsidP="00623817">
            <w:pPr>
              <w:pStyle w:val="Title"/>
              <w:jc w:val="left"/>
              <w:rPr>
                <w:b w:val="0"/>
                <w:sz w:val="22"/>
                <w:szCs w:val="22"/>
              </w:rPr>
            </w:pPr>
            <w:r>
              <w:rPr>
                <w:b w:val="0"/>
                <w:sz w:val="22"/>
                <w:szCs w:val="22"/>
              </w:rPr>
              <w:t>Yes</w:t>
            </w:r>
          </w:p>
        </w:tc>
        <w:tc>
          <w:tcPr>
            <w:tcW w:w="2584" w:type="dxa"/>
          </w:tcPr>
          <w:p w14:paraId="185809E0" w14:textId="651D568B" w:rsidR="000F2EC0" w:rsidRPr="00584846" w:rsidRDefault="000F2EC0" w:rsidP="00623817">
            <w:pPr>
              <w:pStyle w:val="Title"/>
              <w:jc w:val="left"/>
              <w:rPr>
                <w:b w:val="0"/>
                <w:sz w:val="22"/>
                <w:szCs w:val="22"/>
              </w:rPr>
            </w:pPr>
            <w:r>
              <w:rPr>
                <w:b w:val="0"/>
                <w:sz w:val="22"/>
                <w:szCs w:val="22"/>
              </w:rPr>
              <w:t>Comment noted. No change to the scope required.</w:t>
            </w:r>
          </w:p>
        </w:tc>
      </w:tr>
      <w:tr w:rsidR="000F2EC0" w:rsidRPr="003724F8" w14:paraId="7E167B01" w14:textId="77777777" w:rsidTr="009C5F05">
        <w:tc>
          <w:tcPr>
            <w:tcW w:w="1951" w:type="dxa"/>
            <w:vMerge/>
          </w:tcPr>
          <w:p w14:paraId="69555780" w14:textId="77777777" w:rsidR="000F2EC0" w:rsidRPr="00EC0E27" w:rsidRDefault="000F2EC0" w:rsidP="00623817">
            <w:pPr>
              <w:pStyle w:val="Title"/>
              <w:jc w:val="left"/>
              <w:rPr>
                <w:b w:val="0"/>
                <w:sz w:val="22"/>
                <w:szCs w:val="22"/>
              </w:rPr>
            </w:pPr>
          </w:p>
        </w:tc>
        <w:tc>
          <w:tcPr>
            <w:tcW w:w="1843" w:type="dxa"/>
          </w:tcPr>
          <w:p w14:paraId="0A0AABBC" w14:textId="415F34F4" w:rsidR="000F2EC0" w:rsidRPr="009C5F05" w:rsidRDefault="000F2EC0" w:rsidP="00623817">
            <w:pPr>
              <w:pStyle w:val="Title"/>
              <w:jc w:val="left"/>
              <w:rPr>
                <w:b w:val="0"/>
                <w:sz w:val="22"/>
                <w:szCs w:val="22"/>
              </w:rPr>
            </w:pPr>
            <w:r w:rsidRPr="000F2EC0">
              <w:rPr>
                <w:b w:val="0"/>
                <w:sz w:val="22"/>
                <w:szCs w:val="22"/>
              </w:rPr>
              <w:t xml:space="preserve">UK CLL FORUM, BSH, </w:t>
            </w:r>
            <w:proofErr w:type="spellStart"/>
            <w:r w:rsidRPr="000F2EC0">
              <w:rPr>
                <w:b w:val="0"/>
                <w:sz w:val="22"/>
                <w:szCs w:val="22"/>
              </w:rPr>
              <w:t>RCPath</w:t>
            </w:r>
            <w:proofErr w:type="spellEnd"/>
          </w:p>
        </w:tc>
        <w:tc>
          <w:tcPr>
            <w:tcW w:w="7796" w:type="dxa"/>
          </w:tcPr>
          <w:p w14:paraId="566B03CB" w14:textId="5600E34A" w:rsidR="000F2EC0" w:rsidRDefault="000F2EC0" w:rsidP="00623817">
            <w:pPr>
              <w:pStyle w:val="Title"/>
              <w:jc w:val="left"/>
              <w:rPr>
                <w:b w:val="0"/>
                <w:sz w:val="22"/>
                <w:szCs w:val="22"/>
              </w:rPr>
            </w:pPr>
            <w:r>
              <w:rPr>
                <w:b w:val="0"/>
                <w:sz w:val="22"/>
                <w:szCs w:val="22"/>
              </w:rPr>
              <w:t>Yes</w:t>
            </w:r>
          </w:p>
        </w:tc>
        <w:tc>
          <w:tcPr>
            <w:tcW w:w="2584" w:type="dxa"/>
          </w:tcPr>
          <w:p w14:paraId="627D5AEF" w14:textId="5E437566" w:rsidR="000F2EC0" w:rsidRDefault="00F03368" w:rsidP="00623817">
            <w:pPr>
              <w:pStyle w:val="Title"/>
              <w:jc w:val="left"/>
              <w:rPr>
                <w:b w:val="0"/>
                <w:sz w:val="22"/>
                <w:szCs w:val="22"/>
              </w:rPr>
            </w:pPr>
            <w:r>
              <w:rPr>
                <w:b w:val="0"/>
                <w:sz w:val="22"/>
                <w:szCs w:val="22"/>
              </w:rPr>
              <w:t>Comment noted. No change to the scope required.</w:t>
            </w:r>
          </w:p>
        </w:tc>
      </w:tr>
      <w:tr w:rsidR="000F2EC0" w:rsidRPr="003724F8" w14:paraId="1CCAEBF3" w14:textId="77777777" w:rsidTr="009C5F05">
        <w:tc>
          <w:tcPr>
            <w:tcW w:w="1951" w:type="dxa"/>
            <w:vMerge w:val="restart"/>
            <w:tcBorders>
              <w:top w:val="single" w:sz="12" w:space="0" w:color="auto"/>
            </w:tcBorders>
          </w:tcPr>
          <w:p w14:paraId="7AE55331" w14:textId="77777777" w:rsidR="000F2EC0" w:rsidRPr="00EC0E27" w:rsidRDefault="000F2EC0" w:rsidP="00623817">
            <w:pPr>
              <w:pStyle w:val="Title"/>
              <w:jc w:val="left"/>
              <w:rPr>
                <w:b w:val="0"/>
                <w:sz w:val="22"/>
                <w:szCs w:val="22"/>
              </w:rPr>
            </w:pPr>
            <w:r w:rsidRPr="00EC0E27">
              <w:rPr>
                <w:b w:val="0"/>
                <w:sz w:val="22"/>
                <w:szCs w:val="22"/>
              </w:rPr>
              <w:lastRenderedPageBreak/>
              <w:t>Timing Issues</w:t>
            </w:r>
          </w:p>
        </w:tc>
        <w:tc>
          <w:tcPr>
            <w:tcW w:w="1843" w:type="dxa"/>
            <w:tcBorders>
              <w:top w:val="single" w:sz="12" w:space="0" w:color="auto"/>
            </w:tcBorders>
          </w:tcPr>
          <w:p w14:paraId="4AB57231" w14:textId="3D5B3750" w:rsidR="000F2EC0" w:rsidRPr="00584846" w:rsidRDefault="000F2EC0" w:rsidP="00623817">
            <w:pPr>
              <w:pStyle w:val="Title"/>
              <w:jc w:val="left"/>
              <w:rPr>
                <w:b w:val="0"/>
                <w:sz w:val="22"/>
                <w:szCs w:val="22"/>
              </w:rPr>
            </w:pPr>
            <w:r>
              <w:rPr>
                <w:b w:val="0"/>
                <w:sz w:val="22"/>
                <w:szCs w:val="22"/>
              </w:rPr>
              <w:t>AbbVie</w:t>
            </w:r>
          </w:p>
        </w:tc>
        <w:tc>
          <w:tcPr>
            <w:tcW w:w="7796" w:type="dxa"/>
            <w:tcBorders>
              <w:top w:val="single" w:sz="12" w:space="0" w:color="auto"/>
            </w:tcBorders>
          </w:tcPr>
          <w:p w14:paraId="2DEA9127" w14:textId="6D060242" w:rsidR="000F2EC0" w:rsidRPr="00584846" w:rsidRDefault="000F2EC0" w:rsidP="00623817">
            <w:pPr>
              <w:pStyle w:val="Title"/>
              <w:jc w:val="left"/>
              <w:rPr>
                <w:b w:val="0"/>
                <w:sz w:val="22"/>
                <w:szCs w:val="22"/>
              </w:rPr>
            </w:pPr>
            <w:r w:rsidRPr="003F26FC">
              <w:rPr>
                <w:b w:val="0"/>
                <w:sz w:val="22"/>
                <w:szCs w:val="22"/>
              </w:rPr>
              <w:t>The NHS would benefit from early appraisal of this technology as there are limited treatment options in untreated CLL</w:t>
            </w:r>
          </w:p>
        </w:tc>
        <w:tc>
          <w:tcPr>
            <w:tcW w:w="2584" w:type="dxa"/>
            <w:tcBorders>
              <w:top w:val="single" w:sz="12" w:space="0" w:color="auto"/>
            </w:tcBorders>
          </w:tcPr>
          <w:p w14:paraId="1ACF465C" w14:textId="62A0024D" w:rsidR="000F2EC0" w:rsidRPr="00584846" w:rsidRDefault="000F2EC0" w:rsidP="00623817">
            <w:pPr>
              <w:pStyle w:val="Title"/>
              <w:jc w:val="left"/>
              <w:rPr>
                <w:b w:val="0"/>
                <w:sz w:val="22"/>
                <w:szCs w:val="22"/>
              </w:rPr>
            </w:pPr>
            <w:r>
              <w:rPr>
                <w:b w:val="0"/>
                <w:sz w:val="22"/>
                <w:szCs w:val="22"/>
              </w:rPr>
              <w:t>Comment noted. This appraisal has been scheduled into the technology appraisal work programme.</w:t>
            </w:r>
          </w:p>
        </w:tc>
      </w:tr>
      <w:tr w:rsidR="000F2EC0" w:rsidRPr="003724F8" w14:paraId="6E862A5E" w14:textId="77777777" w:rsidTr="009C5F05">
        <w:tc>
          <w:tcPr>
            <w:tcW w:w="1951" w:type="dxa"/>
            <w:vMerge/>
          </w:tcPr>
          <w:p w14:paraId="379BE519" w14:textId="77777777" w:rsidR="000F2EC0" w:rsidRPr="00EC0E27" w:rsidRDefault="000F2EC0" w:rsidP="00623817">
            <w:pPr>
              <w:pStyle w:val="Title"/>
              <w:jc w:val="left"/>
              <w:rPr>
                <w:b w:val="0"/>
                <w:sz w:val="22"/>
                <w:szCs w:val="22"/>
              </w:rPr>
            </w:pPr>
          </w:p>
        </w:tc>
        <w:tc>
          <w:tcPr>
            <w:tcW w:w="1843" w:type="dxa"/>
          </w:tcPr>
          <w:p w14:paraId="72B0B131" w14:textId="48E7CDE5" w:rsidR="000F2EC0" w:rsidRPr="00A9583D" w:rsidRDefault="000F2EC0" w:rsidP="00623817">
            <w:pPr>
              <w:pStyle w:val="Title"/>
              <w:jc w:val="left"/>
              <w:rPr>
                <w:b w:val="0"/>
                <w:sz w:val="22"/>
                <w:szCs w:val="22"/>
              </w:rPr>
            </w:pPr>
            <w:r>
              <w:rPr>
                <w:b w:val="0"/>
                <w:sz w:val="22"/>
                <w:szCs w:val="22"/>
              </w:rPr>
              <w:t>Leukaemia Care</w:t>
            </w:r>
          </w:p>
        </w:tc>
        <w:tc>
          <w:tcPr>
            <w:tcW w:w="7796" w:type="dxa"/>
          </w:tcPr>
          <w:p w14:paraId="7F8A9F15" w14:textId="281F8921" w:rsidR="000F2EC0" w:rsidRPr="00737EFA" w:rsidRDefault="000F2EC0" w:rsidP="00623817">
            <w:pPr>
              <w:pStyle w:val="Title"/>
              <w:jc w:val="left"/>
              <w:rPr>
                <w:b w:val="0"/>
                <w:sz w:val="22"/>
                <w:szCs w:val="22"/>
              </w:rPr>
            </w:pPr>
            <w:r w:rsidRPr="004614E3">
              <w:rPr>
                <w:b w:val="0"/>
                <w:sz w:val="22"/>
                <w:szCs w:val="22"/>
              </w:rPr>
              <w:t xml:space="preserve">Patients who are unsuitable for 1st line therapies, such as FCR or bendamustine, urgently require access to treatments, preferably of a limited duration and those that </w:t>
            </w:r>
            <w:proofErr w:type="gramStart"/>
            <w:r w:rsidRPr="004614E3">
              <w:rPr>
                <w:b w:val="0"/>
                <w:sz w:val="22"/>
                <w:szCs w:val="22"/>
              </w:rPr>
              <w:t>are able to</w:t>
            </w:r>
            <w:proofErr w:type="gramEnd"/>
            <w:r w:rsidRPr="004614E3">
              <w:rPr>
                <w:b w:val="0"/>
                <w:sz w:val="22"/>
                <w:szCs w:val="22"/>
              </w:rPr>
              <w:t xml:space="preserve"> offer a deep and durable response and good quality of life.</w:t>
            </w:r>
          </w:p>
        </w:tc>
        <w:tc>
          <w:tcPr>
            <w:tcW w:w="2584" w:type="dxa"/>
          </w:tcPr>
          <w:p w14:paraId="0405D341" w14:textId="66B37CEF" w:rsidR="000F2EC0" w:rsidRPr="00584846" w:rsidRDefault="000F2EC0" w:rsidP="00623817">
            <w:pPr>
              <w:pStyle w:val="Title"/>
              <w:jc w:val="left"/>
              <w:rPr>
                <w:b w:val="0"/>
                <w:sz w:val="22"/>
                <w:szCs w:val="22"/>
              </w:rPr>
            </w:pPr>
            <w:r>
              <w:rPr>
                <w:b w:val="0"/>
                <w:sz w:val="22"/>
                <w:szCs w:val="22"/>
              </w:rPr>
              <w:t>Comment noted. This appraisal has been scheduled into the technology appraisal work programme.</w:t>
            </w:r>
          </w:p>
        </w:tc>
      </w:tr>
      <w:tr w:rsidR="000F2EC0" w:rsidRPr="003724F8" w14:paraId="2E5360BB" w14:textId="77777777" w:rsidTr="009C5F05">
        <w:tc>
          <w:tcPr>
            <w:tcW w:w="1951" w:type="dxa"/>
            <w:vMerge/>
          </w:tcPr>
          <w:p w14:paraId="521F5991" w14:textId="77777777" w:rsidR="000F2EC0" w:rsidRPr="00EC0E27" w:rsidRDefault="000F2EC0" w:rsidP="00623817">
            <w:pPr>
              <w:pStyle w:val="Title"/>
              <w:jc w:val="left"/>
              <w:rPr>
                <w:b w:val="0"/>
                <w:sz w:val="22"/>
                <w:szCs w:val="22"/>
              </w:rPr>
            </w:pPr>
          </w:p>
        </w:tc>
        <w:tc>
          <w:tcPr>
            <w:tcW w:w="1843" w:type="dxa"/>
          </w:tcPr>
          <w:p w14:paraId="17BC0338" w14:textId="69BBC6C9" w:rsidR="000F2EC0" w:rsidRPr="00A9583D" w:rsidRDefault="000F2EC0" w:rsidP="00623817">
            <w:pPr>
              <w:pStyle w:val="Title"/>
              <w:jc w:val="left"/>
              <w:rPr>
                <w:b w:val="0"/>
                <w:sz w:val="22"/>
                <w:szCs w:val="22"/>
              </w:rPr>
            </w:pPr>
            <w:r>
              <w:rPr>
                <w:b w:val="0"/>
                <w:sz w:val="22"/>
                <w:szCs w:val="22"/>
              </w:rPr>
              <w:t>CLLSA</w:t>
            </w:r>
          </w:p>
        </w:tc>
        <w:tc>
          <w:tcPr>
            <w:tcW w:w="7796" w:type="dxa"/>
          </w:tcPr>
          <w:p w14:paraId="22D43245" w14:textId="59616CE9" w:rsidR="000F2EC0" w:rsidRPr="00737EFA" w:rsidRDefault="000F2EC0" w:rsidP="00623817">
            <w:pPr>
              <w:pStyle w:val="Title"/>
              <w:jc w:val="left"/>
              <w:rPr>
                <w:b w:val="0"/>
                <w:sz w:val="22"/>
                <w:szCs w:val="22"/>
              </w:rPr>
            </w:pPr>
            <w:r w:rsidRPr="009C5F05">
              <w:rPr>
                <w:b w:val="0"/>
                <w:sz w:val="22"/>
                <w:szCs w:val="22"/>
              </w:rPr>
              <w:t>Some urgency for this appraisal</w:t>
            </w:r>
          </w:p>
        </w:tc>
        <w:tc>
          <w:tcPr>
            <w:tcW w:w="2584" w:type="dxa"/>
          </w:tcPr>
          <w:p w14:paraId="41993A03" w14:textId="70D32664" w:rsidR="000F2EC0" w:rsidRPr="00584846" w:rsidRDefault="000F2EC0" w:rsidP="00623817">
            <w:pPr>
              <w:pStyle w:val="Title"/>
              <w:jc w:val="left"/>
              <w:rPr>
                <w:b w:val="0"/>
                <w:sz w:val="22"/>
                <w:szCs w:val="22"/>
              </w:rPr>
            </w:pPr>
            <w:r>
              <w:rPr>
                <w:b w:val="0"/>
                <w:sz w:val="22"/>
                <w:szCs w:val="22"/>
              </w:rPr>
              <w:t>Comment noted. This appraisal has been scheduled into the technology appraisal work programme.</w:t>
            </w:r>
          </w:p>
        </w:tc>
      </w:tr>
      <w:tr w:rsidR="000F2EC0" w:rsidRPr="003724F8" w14:paraId="1E6BEAD2" w14:textId="77777777" w:rsidTr="009C5F05">
        <w:tc>
          <w:tcPr>
            <w:tcW w:w="1951" w:type="dxa"/>
            <w:vMerge/>
          </w:tcPr>
          <w:p w14:paraId="3155BBC1" w14:textId="77777777" w:rsidR="000F2EC0" w:rsidRPr="00EC0E27" w:rsidRDefault="000F2EC0" w:rsidP="00623817">
            <w:pPr>
              <w:pStyle w:val="Title"/>
              <w:jc w:val="left"/>
              <w:rPr>
                <w:b w:val="0"/>
                <w:sz w:val="22"/>
                <w:szCs w:val="22"/>
              </w:rPr>
            </w:pPr>
          </w:p>
        </w:tc>
        <w:tc>
          <w:tcPr>
            <w:tcW w:w="1843" w:type="dxa"/>
          </w:tcPr>
          <w:p w14:paraId="4110AB83" w14:textId="665DB281" w:rsidR="000F2EC0" w:rsidRDefault="000F2EC0" w:rsidP="00623817">
            <w:pPr>
              <w:pStyle w:val="Title"/>
              <w:jc w:val="left"/>
              <w:rPr>
                <w:b w:val="0"/>
                <w:sz w:val="22"/>
                <w:szCs w:val="22"/>
              </w:rPr>
            </w:pPr>
            <w:r w:rsidRPr="000F2EC0">
              <w:rPr>
                <w:b w:val="0"/>
                <w:sz w:val="22"/>
                <w:szCs w:val="22"/>
              </w:rPr>
              <w:t xml:space="preserve">UK CLL FORUM, BSH, </w:t>
            </w:r>
            <w:proofErr w:type="spellStart"/>
            <w:r w:rsidRPr="000F2EC0">
              <w:rPr>
                <w:b w:val="0"/>
                <w:sz w:val="22"/>
                <w:szCs w:val="22"/>
              </w:rPr>
              <w:t>RCPath</w:t>
            </w:r>
            <w:proofErr w:type="spellEnd"/>
          </w:p>
        </w:tc>
        <w:tc>
          <w:tcPr>
            <w:tcW w:w="7796" w:type="dxa"/>
          </w:tcPr>
          <w:p w14:paraId="3790969C" w14:textId="798A6022" w:rsidR="000F2EC0" w:rsidRPr="009C5F05" w:rsidRDefault="000F2EC0" w:rsidP="00623817">
            <w:pPr>
              <w:pStyle w:val="Title"/>
              <w:jc w:val="left"/>
              <w:rPr>
                <w:b w:val="0"/>
                <w:sz w:val="22"/>
                <w:szCs w:val="22"/>
              </w:rPr>
            </w:pPr>
            <w:r w:rsidRPr="000F2EC0">
              <w:rPr>
                <w:b w:val="0"/>
                <w:sz w:val="22"/>
                <w:szCs w:val="22"/>
              </w:rPr>
              <w:t>This is an important innovation in front line treatment for CLL, this treatment would fill the gap for the patients not suitable for chemoimmunotherapy.</w:t>
            </w:r>
          </w:p>
        </w:tc>
        <w:tc>
          <w:tcPr>
            <w:tcW w:w="2584" w:type="dxa"/>
          </w:tcPr>
          <w:p w14:paraId="40EEA63B" w14:textId="65CE9C6F" w:rsidR="000F2EC0" w:rsidRDefault="00F03368" w:rsidP="00623817">
            <w:pPr>
              <w:pStyle w:val="Title"/>
              <w:jc w:val="left"/>
              <w:rPr>
                <w:b w:val="0"/>
                <w:sz w:val="22"/>
                <w:szCs w:val="22"/>
              </w:rPr>
            </w:pPr>
            <w:r>
              <w:rPr>
                <w:b w:val="0"/>
                <w:sz w:val="22"/>
                <w:szCs w:val="22"/>
              </w:rPr>
              <w:t xml:space="preserve">Comments on innovation noted. The committee will consider the innovative nature of the technology </w:t>
            </w:r>
            <w:proofErr w:type="gramStart"/>
            <w:r>
              <w:rPr>
                <w:b w:val="0"/>
                <w:sz w:val="22"/>
                <w:szCs w:val="22"/>
              </w:rPr>
              <w:t>during the course of</w:t>
            </w:r>
            <w:proofErr w:type="gramEnd"/>
            <w:r>
              <w:rPr>
                <w:b w:val="0"/>
                <w:sz w:val="22"/>
                <w:szCs w:val="22"/>
              </w:rPr>
              <w:t xml:space="preserve"> the appraisal.</w:t>
            </w:r>
          </w:p>
        </w:tc>
      </w:tr>
    </w:tbl>
    <w:p w14:paraId="3B42EFFE" w14:textId="77777777" w:rsidR="00443081" w:rsidRPr="00EC0E27" w:rsidRDefault="00EC0E27" w:rsidP="00EC0E27">
      <w:pPr>
        <w:pStyle w:val="Title"/>
        <w:jc w:val="left"/>
        <w:rPr>
          <w:sz w:val="22"/>
          <w:szCs w:val="22"/>
        </w:rPr>
      </w:pPr>
      <w:r w:rsidRPr="00EC0E27">
        <w:rPr>
          <w:sz w:val="22"/>
          <w:szCs w:val="22"/>
        </w:rPr>
        <w:t>Comment 2: the draft scope</w:t>
      </w:r>
    </w:p>
    <w:tbl>
      <w:tblPr>
        <w:tblStyle w:val="TableGrid"/>
        <w:tblW w:w="14174" w:type="dxa"/>
        <w:tblLayout w:type="fixed"/>
        <w:tblLook w:val="04A0" w:firstRow="1" w:lastRow="0" w:firstColumn="1" w:lastColumn="0" w:noHBand="0" w:noVBand="1"/>
      </w:tblPr>
      <w:tblGrid>
        <w:gridCol w:w="1951"/>
        <w:gridCol w:w="1843"/>
        <w:gridCol w:w="7796"/>
        <w:gridCol w:w="2584"/>
      </w:tblGrid>
      <w:tr w:rsidR="00EC0E27" w:rsidRPr="000664FE" w14:paraId="5724C88E" w14:textId="77777777" w:rsidTr="009C5F05">
        <w:trPr>
          <w:trHeight w:val="590"/>
          <w:tblHeader/>
        </w:trPr>
        <w:tc>
          <w:tcPr>
            <w:tcW w:w="1951" w:type="dxa"/>
            <w:tcBorders>
              <w:bottom w:val="single" w:sz="12" w:space="0" w:color="auto"/>
            </w:tcBorders>
            <w:shd w:val="clear" w:color="auto" w:fill="D9D9D9" w:themeFill="background1" w:themeFillShade="D9"/>
          </w:tcPr>
          <w:p w14:paraId="11FDC74E" w14:textId="77777777" w:rsidR="00EC0E27" w:rsidRPr="000664FE" w:rsidRDefault="00EC0E27" w:rsidP="000D33C8">
            <w:pPr>
              <w:pStyle w:val="Title"/>
              <w:rPr>
                <w:sz w:val="22"/>
                <w:szCs w:val="22"/>
              </w:rPr>
            </w:pPr>
            <w:r w:rsidRPr="000664FE">
              <w:rPr>
                <w:sz w:val="22"/>
                <w:szCs w:val="22"/>
              </w:rPr>
              <w:lastRenderedPageBreak/>
              <w:t xml:space="preserve">Section </w:t>
            </w:r>
          </w:p>
        </w:tc>
        <w:tc>
          <w:tcPr>
            <w:tcW w:w="1843" w:type="dxa"/>
            <w:tcBorders>
              <w:bottom w:val="single" w:sz="12" w:space="0" w:color="auto"/>
            </w:tcBorders>
            <w:shd w:val="clear" w:color="auto" w:fill="D9D9D9" w:themeFill="background1" w:themeFillShade="D9"/>
          </w:tcPr>
          <w:p w14:paraId="4FD3C19E" w14:textId="77777777" w:rsidR="00EC0E27" w:rsidRPr="000664FE" w:rsidRDefault="00EC0E27" w:rsidP="000D33C8">
            <w:pPr>
              <w:pStyle w:val="Title"/>
              <w:rPr>
                <w:sz w:val="22"/>
                <w:szCs w:val="22"/>
              </w:rPr>
            </w:pPr>
            <w:r w:rsidRPr="000664FE">
              <w:rPr>
                <w:sz w:val="22"/>
                <w:szCs w:val="22"/>
              </w:rPr>
              <w:t>Consultee/ Commentator</w:t>
            </w:r>
          </w:p>
        </w:tc>
        <w:tc>
          <w:tcPr>
            <w:tcW w:w="7796" w:type="dxa"/>
            <w:tcBorders>
              <w:bottom w:val="single" w:sz="12" w:space="0" w:color="auto"/>
            </w:tcBorders>
            <w:shd w:val="clear" w:color="auto" w:fill="D9D9D9" w:themeFill="background1" w:themeFillShade="D9"/>
          </w:tcPr>
          <w:p w14:paraId="09B7B2C7" w14:textId="77777777" w:rsidR="00EC0E27" w:rsidRPr="000664FE" w:rsidRDefault="00EC0E27" w:rsidP="000D33C8">
            <w:pPr>
              <w:pStyle w:val="Title"/>
              <w:rPr>
                <w:sz w:val="22"/>
                <w:szCs w:val="22"/>
              </w:rPr>
            </w:pPr>
            <w:r w:rsidRPr="000664FE">
              <w:rPr>
                <w:sz w:val="22"/>
                <w:szCs w:val="22"/>
              </w:rPr>
              <w:t>Comments</w:t>
            </w:r>
            <w:r w:rsidR="00CC37C9">
              <w:rPr>
                <w:sz w:val="22"/>
                <w:szCs w:val="22"/>
              </w:rPr>
              <w:t xml:space="preserve"> [sic]</w:t>
            </w:r>
          </w:p>
        </w:tc>
        <w:tc>
          <w:tcPr>
            <w:tcW w:w="2584" w:type="dxa"/>
            <w:tcBorders>
              <w:bottom w:val="single" w:sz="12" w:space="0" w:color="auto"/>
            </w:tcBorders>
            <w:shd w:val="clear" w:color="auto" w:fill="D9D9D9" w:themeFill="background1" w:themeFillShade="D9"/>
          </w:tcPr>
          <w:p w14:paraId="675230BE" w14:textId="77777777" w:rsidR="00EC0E27" w:rsidRPr="000664FE" w:rsidRDefault="00EC0E27" w:rsidP="000D33C8">
            <w:pPr>
              <w:pStyle w:val="Title"/>
              <w:rPr>
                <w:sz w:val="22"/>
                <w:szCs w:val="22"/>
              </w:rPr>
            </w:pPr>
            <w:r w:rsidRPr="000664FE">
              <w:rPr>
                <w:sz w:val="22"/>
                <w:szCs w:val="22"/>
              </w:rPr>
              <w:t>Action</w:t>
            </w:r>
          </w:p>
        </w:tc>
      </w:tr>
      <w:tr w:rsidR="000F2EC0" w:rsidRPr="000664FE" w14:paraId="7DFD020B" w14:textId="77777777" w:rsidTr="009C5F05">
        <w:tc>
          <w:tcPr>
            <w:tcW w:w="1951" w:type="dxa"/>
            <w:vMerge w:val="restart"/>
            <w:tcBorders>
              <w:top w:val="single" w:sz="12" w:space="0" w:color="auto"/>
            </w:tcBorders>
          </w:tcPr>
          <w:p w14:paraId="392EE021" w14:textId="77777777" w:rsidR="000F2EC0" w:rsidRPr="000664FE" w:rsidRDefault="000F2EC0" w:rsidP="00296963">
            <w:pPr>
              <w:pStyle w:val="Title"/>
              <w:jc w:val="left"/>
              <w:rPr>
                <w:b w:val="0"/>
                <w:sz w:val="22"/>
                <w:szCs w:val="22"/>
              </w:rPr>
            </w:pPr>
            <w:r w:rsidRPr="000664FE">
              <w:rPr>
                <w:b w:val="0"/>
                <w:sz w:val="22"/>
                <w:szCs w:val="22"/>
              </w:rPr>
              <w:t>Background information</w:t>
            </w:r>
          </w:p>
        </w:tc>
        <w:tc>
          <w:tcPr>
            <w:tcW w:w="1843" w:type="dxa"/>
            <w:tcBorders>
              <w:top w:val="single" w:sz="12" w:space="0" w:color="auto"/>
            </w:tcBorders>
          </w:tcPr>
          <w:p w14:paraId="56592515" w14:textId="56405C1F" w:rsidR="000F2EC0" w:rsidRPr="00584846" w:rsidRDefault="000F2EC0" w:rsidP="00296963">
            <w:pPr>
              <w:pStyle w:val="Title"/>
              <w:jc w:val="left"/>
              <w:rPr>
                <w:b w:val="0"/>
                <w:sz w:val="22"/>
                <w:szCs w:val="22"/>
              </w:rPr>
            </w:pPr>
            <w:r>
              <w:rPr>
                <w:b w:val="0"/>
                <w:sz w:val="22"/>
                <w:szCs w:val="22"/>
              </w:rPr>
              <w:t>AbbVie</w:t>
            </w:r>
          </w:p>
        </w:tc>
        <w:tc>
          <w:tcPr>
            <w:tcW w:w="7796" w:type="dxa"/>
            <w:tcBorders>
              <w:top w:val="single" w:sz="12" w:space="0" w:color="auto"/>
            </w:tcBorders>
          </w:tcPr>
          <w:p w14:paraId="7E1AE2C8" w14:textId="77777777" w:rsidR="000F2EC0" w:rsidRDefault="000F2EC0" w:rsidP="003F26FC">
            <w:pPr>
              <w:rPr>
                <w:lang w:val="en-US"/>
              </w:rPr>
            </w:pPr>
            <w:r>
              <w:rPr>
                <w:lang w:val="en-US"/>
              </w:rPr>
              <w:t>Currently the draft scope describes the disease but does not reference the unmet clinical need in untreated CLL. For completeness, the unmet clinical need should be included in the scope.</w:t>
            </w:r>
          </w:p>
          <w:p w14:paraId="687B0478" w14:textId="77777777" w:rsidR="000F2EC0" w:rsidRDefault="000F2EC0" w:rsidP="003F26FC">
            <w:pPr>
              <w:rPr>
                <w:lang w:val="en-US"/>
              </w:rPr>
            </w:pPr>
          </w:p>
          <w:p w14:paraId="6FB7AB90" w14:textId="52676C80" w:rsidR="000F2EC0" w:rsidRPr="009F7A80" w:rsidRDefault="000F2EC0" w:rsidP="003F26FC">
            <w:pPr>
              <w:spacing w:before="60" w:after="60"/>
              <w:rPr>
                <w:bCs/>
                <w:kern w:val="28"/>
              </w:rPr>
            </w:pPr>
            <w:r>
              <w:rPr>
                <w:lang w:val="en-US"/>
              </w:rPr>
              <w:t xml:space="preserve">Currently, the draft scope does not include a brief description on the prognostic significance of </w:t>
            </w:r>
            <w:r>
              <w:t>del/(17p) or TP53 mutation</w:t>
            </w:r>
            <w:r>
              <w:rPr>
                <w:lang w:val="en-US"/>
              </w:rPr>
              <w:t xml:space="preserve"> and the higher risk associated with this sub-population.</w:t>
            </w:r>
          </w:p>
        </w:tc>
        <w:tc>
          <w:tcPr>
            <w:tcW w:w="2584" w:type="dxa"/>
            <w:tcBorders>
              <w:top w:val="single" w:sz="12" w:space="0" w:color="auto"/>
            </w:tcBorders>
          </w:tcPr>
          <w:p w14:paraId="743DB2B0" w14:textId="05BF3245" w:rsidR="000F2EC0" w:rsidRPr="000664FE" w:rsidRDefault="000F2EC0" w:rsidP="00296963">
            <w:pPr>
              <w:pStyle w:val="Title"/>
              <w:jc w:val="left"/>
              <w:rPr>
                <w:b w:val="0"/>
                <w:sz w:val="22"/>
                <w:szCs w:val="22"/>
              </w:rPr>
            </w:pPr>
            <w:r>
              <w:rPr>
                <w:b w:val="0"/>
                <w:sz w:val="22"/>
                <w:szCs w:val="22"/>
              </w:rPr>
              <w:t xml:space="preserve">Comment noted. The background section </w:t>
            </w:r>
            <w:r w:rsidRPr="00F71DAF">
              <w:rPr>
                <w:b w:val="0"/>
                <w:sz w:val="22"/>
                <w:szCs w:val="22"/>
              </w:rPr>
              <w:t>of the scope is only intended to briefly describe the disease, prognosis associated with the condition, epidemiology and treatments currently used in the NHS.</w:t>
            </w:r>
            <w:r>
              <w:rPr>
                <w:b w:val="0"/>
                <w:sz w:val="22"/>
                <w:szCs w:val="22"/>
              </w:rPr>
              <w:t xml:space="preserve"> The scope has been updated to briefly describe the </w:t>
            </w:r>
            <w:r w:rsidRPr="00B97DC5">
              <w:rPr>
                <w:b w:val="0"/>
                <w:sz w:val="22"/>
                <w:szCs w:val="22"/>
              </w:rPr>
              <w:t xml:space="preserve">del(17p) </w:t>
            </w:r>
            <w:r>
              <w:rPr>
                <w:b w:val="0"/>
                <w:sz w:val="22"/>
                <w:szCs w:val="22"/>
              </w:rPr>
              <w:t>and</w:t>
            </w:r>
            <w:r w:rsidRPr="00B97DC5">
              <w:rPr>
                <w:b w:val="0"/>
                <w:sz w:val="22"/>
                <w:szCs w:val="22"/>
              </w:rPr>
              <w:t xml:space="preserve"> TP53 mutation</w:t>
            </w:r>
            <w:r>
              <w:rPr>
                <w:b w:val="0"/>
                <w:sz w:val="22"/>
                <w:szCs w:val="22"/>
              </w:rPr>
              <w:t>s.</w:t>
            </w:r>
          </w:p>
        </w:tc>
      </w:tr>
      <w:tr w:rsidR="000F2EC0" w:rsidRPr="000664FE" w14:paraId="49981FE6" w14:textId="77777777" w:rsidTr="009C5F05">
        <w:tc>
          <w:tcPr>
            <w:tcW w:w="1951" w:type="dxa"/>
            <w:vMerge/>
          </w:tcPr>
          <w:p w14:paraId="6E4466CA" w14:textId="77777777" w:rsidR="000F2EC0" w:rsidRPr="000664FE" w:rsidRDefault="000F2EC0" w:rsidP="00623817">
            <w:pPr>
              <w:pStyle w:val="Title"/>
              <w:jc w:val="left"/>
              <w:rPr>
                <w:b w:val="0"/>
                <w:sz w:val="22"/>
                <w:szCs w:val="22"/>
              </w:rPr>
            </w:pPr>
          </w:p>
        </w:tc>
        <w:tc>
          <w:tcPr>
            <w:tcW w:w="1843" w:type="dxa"/>
          </w:tcPr>
          <w:p w14:paraId="51284AE5" w14:textId="0B767B97" w:rsidR="000F2EC0" w:rsidRPr="00584846" w:rsidRDefault="000F2EC0" w:rsidP="00623817">
            <w:pPr>
              <w:pStyle w:val="Title"/>
              <w:jc w:val="left"/>
              <w:rPr>
                <w:b w:val="0"/>
                <w:sz w:val="22"/>
                <w:szCs w:val="22"/>
              </w:rPr>
            </w:pPr>
            <w:r>
              <w:rPr>
                <w:b w:val="0"/>
                <w:sz w:val="22"/>
                <w:szCs w:val="22"/>
              </w:rPr>
              <w:t>CLLSA</w:t>
            </w:r>
          </w:p>
        </w:tc>
        <w:tc>
          <w:tcPr>
            <w:tcW w:w="7796" w:type="dxa"/>
          </w:tcPr>
          <w:p w14:paraId="11CE023E" w14:textId="5B700E1F" w:rsidR="000F2EC0" w:rsidRPr="009F7A80" w:rsidRDefault="000F2EC0" w:rsidP="00A257BA">
            <w:pPr>
              <w:spacing w:before="60" w:after="60"/>
              <w:rPr>
                <w:bCs/>
                <w:kern w:val="28"/>
              </w:rPr>
            </w:pPr>
            <w:r>
              <w:t>Many patients will never need treatment and the number of patients likely to need and benefit from this treatment are significantly less than the number of cases each year.</w:t>
            </w:r>
          </w:p>
        </w:tc>
        <w:tc>
          <w:tcPr>
            <w:tcW w:w="2584" w:type="dxa"/>
          </w:tcPr>
          <w:p w14:paraId="2738D034" w14:textId="61C8BB10" w:rsidR="000F2EC0" w:rsidRPr="000664FE" w:rsidRDefault="000F2EC0" w:rsidP="00623817">
            <w:pPr>
              <w:pStyle w:val="Title"/>
              <w:jc w:val="left"/>
              <w:rPr>
                <w:b w:val="0"/>
                <w:sz w:val="22"/>
                <w:szCs w:val="22"/>
              </w:rPr>
            </w:pPr>
            <w:r>
              <w:rPr>
                <w:b w:val="0"/>
                <w:sz w:val="22"/>
                <w:szCs w:val="22"/>
              </w:rPr>
              <w:t>Comment noted. The background section has been updated.</w:t>
            </w:r>
          </w:p>
        </w:tc>
      </w:tr>
      <w:tr w:rsidR="000F2EC0" w:rsidRPr="000664FE" w14:paraId="5EE1F883" w14:textId="77777777" w:rsidTr="009C5F05">
        <w:tc>
          <w:tcPr>
            <w:tcW w:w="1951" w:type="dxa"/>
            <w:vMerge/>
          </w:tcPr>
          <w:p w14:paraId="168E35B3" w14:textId="77777777" w:rsidR="000F2EC0" w:rsidRPr="000664FE" w:rsidRDefault="000F2EC0" w:rsidP="00623817">
            <w:pPr>
              <w:pStyle w:val="Title"/>
              <w:jc w:val="left"/>
              <w:rPr>
                <w:b w:val="0"/>
                <w:sz w:val="22"/>
                <w:szCs w:val="22"/>
              </w:rPr>
            </w:pPr>
          </w:p>
        </w:tc>
        <w:tc>
          <w:tcPr>
            <w:tcW w:w="1843" w:type="dxa"/>
          </w:tcPr>
          <w:p w14:paraId="68AEC747" w14:textId="14E2C0CA" w:rsidR="000F2EC0" w:rsidRDefault="000F2EC0" w:rsidP="00623817">
            <w:pPr>
              <w:pStyle w:val="Title"/>
              <w:jc w:val="left"/>
              <w:rPr>
                <w:b w:val="0"/>
                <w:sz w:val="22"/>
                <w:szCs w:val="22"/>
              </w:rPr>
            </w:pPr>
            <w:r w:rsidRPr="000F2EC0">
              <w:rPr>
                <w:b w:val="0"/>
                <w:sz w:val="22"/>
                <w:szCs w:val="22"/>
              </w:rPr>
              <w:t xml:space="preserve">UK CLL FORUM, BSH, </w:t>
            </w:r>
            <w:proofErr w:type="spellStart"/>
            <w:r w:rsidRPr="000F2EC0">
              <w:rPr>
                <w:b w:val="0"/>
                <w:sz w:val="22"/>
                <w:szCs w:val="22"/>
              </w:rPr>
              <w:t>RCPath</w:t>
            </w:r>
            <w:proofErr w:type="spellEnd"/>
          </w:p>
        </w:tc>
        <w:tc>
          <w:tcPr>
            <w:tcW w:w="7796" w:type="dxa"/>
          </w:tcPr>
          <w:p w14:paraId="44F5DC00" w14:textId="77777777" w:rsidR="000D33C8" w:rsidRDefault="000D33C8" w:rsidP="000D33C8">
            <w:pPr>
              <w:spacing w:before="60" w:after="60"/>
            </w:pPr>
            <w:r>
              <w:t xml:space="preserve">The recommended standard of care for untreated CLL as outlined in the 2018 BSH guideline (British Journal of Haematology, 2018, 182, 344-359) is as follows: fludarabine cyclophosphamide rituximab (FCR) is recommended as initial therapy for fit patients and bendamustine+ rituximab is an acceptable alternative for fit patient for whom FCR is contraindicated due to comorbid conditions. Front-line treatment for less fit patients currently is chlorambucil + </w:t>
            </w:r>
            <w:proofErr w:type="spellStart"/>
            <w:r>
              <w:t>obinutuzumab</w:t>
            </w:r>
            <w:proofErr w:type="spellEnd"/>
            <w:r>
              <w:t xml:space="preserve"> (ofatumumab option has been withdrawn from non-US market in January 2018). Chlorambucil + rituximab is not routinely recommended; bendamustine+ rituximab might be considered as an alternative</w:t>
            </w:r>
          </w:p>
          <w:p w14:paraId="2705D2A7" w14:textId="77777777" w:rsidR="000D33C8" w:rsidRDefault="000D33C8" w:rsidP="000D33C8">
            <w:pPr>
              <w:spacing w:before="60" w:after="60"/>
            </w:pPr>
            <w:proofErr w:type="spellStart"/>
            <w:r>
              <w:t>Venetoclax</w:t>
            </w:r>
            <w:proofErr w:type="spellEnd"/>
            <w:r>
              <w:t xml:space="preserve"> </w:t>
            </w:r>
            <w:proofErr w:type="spellStart"/>
            <w:r>
              <w:t>Obinutuzumab</w:t>
            </w:r>
            <w:proofErr w:type="spellEnd"/>
            <w:r>
              <w:t xml:space="preserve"> would fit as an option for frontline treatment alongside FCR, BR and Chlorambucil+ </w:t>
            </w:r>
            <w:proofErr w:type="spellStart"/>
            <w:r>
              <w:t>Obinutuzumab</w:t>
            </w:r>
            <w:proofErr w:type="spellEnd"/>
          </w:p>
          <w:p w14:paraId="141FD1ED" w14:textId="256F24AA" w:rsidR="000F2EC0" w:rsidRDefault="000D33C8" w:rsidP="000D33C8">
            <w:pPr>
              <w:spacing w:before="60" w:after="60"/>
            </w:pPr>
            <w:r>
              <w:lastRenderedPageBreak/>
              <w:t xml:space="preserve">We anticipate that </w:t>
            </w:r>
            <w:proofErr w:type="spellStart"/>
            <w:r>
              <w:t>venetoclax</w:t>
            </w:r>
            <w:proofErr w:type="spellEnd"/>
            <w:r>
              <w:t xml:space="preserve">+ </w:t>
            </w:r>
            <w:proofErr w:type="spellStart"/>
            <w:r>
              <w:t>obinutuzumab</w:t>
            </w:r>
            <w:proofErr w:type="spellEnd"/>
            <w:r>
              <w:t xml:space="preserve"> in front line is likely to be superior to current standard of care</w:t>
            </w:r>
          </w:p>
        </w:tc>
        <w:tc>
          <w:tcPr>
            <w:tcW w:w="2584" w:type="dxa"/>
          </w:tcPr>
          <w:p w14:paraId="23C5307D" w14:textId="1EB3C211" w:rsidR="000F2EC0" w:rsidRDefault="00F553EA" w:rsidP="00623817">
            <w:pPr>
              <w:pStyle w:val="Title"/>
              <w:jc w:val="left"/>
              <w:rPr>
                <w:b w:val="0"/>
                <w:sz w:val="22"/>
                <w:szCs w:val="22"/>
              </w:rPr>
            </w:pPr>
            <w:r>
              <w:rPr>
                <w:b w:val="0"/>
                <w:sz w:val="22"/>
                <w:szCs w:val="22"/>
              </w:rPr>
              <w:lastRenderedPageBreak/>
              <w:t>Comments noted. The treatment options are already included in table 1 of the background section. No change to the scope required.</w:t>
            </w:r>
          </w:p>
        </w:tc>
      </w:tr>
      <w:tr w:rsidR="00220503" w:rsidRPr="000664FE" w14:paraId="56E29AEB" w14:textId="77777777" w:rsidTr="009C5F05">
        <w:trPr>
          <w:trHeight w:val="527"/>
        </w:trPr>
        <w:tc>
          <w:tcPr>
            <w:tcW w:w="1951" w:type="dxa"/>
            <w:vMerge w:val="restart"/>
            <w:tcBorders>
              <w:top w:val="single" w:sz="12" w:space="0" w:color="auto"/>
            </w:tcBorders>
          </w:tcPr>
          <w:p w14:paraId="4A72C3C5" w14:textId="77777777" w:rsidR="00220503" w:rsidRPr="000664FE" w:rsidRDefault="00220503" w:rsidP="00623817">
            <w:pPr>
              <w:pStyle w:val="Title"/>
              <w:jc w:val="left"/>
              <w:rPr>
                <w:b w:val="0"/>
                <w:sz w:val="22"/>
                <w:szCs w:val="22"/>
              </w:rPr>
            </w:pPr>
            <w:r w:rsidRPr="000664FE">
              <w:rPr>
                <w:b w:val="0"/>
                <w:sz w:val="22"/>
                <w:szCs w:val="22"/>
              </w:rPr>
              <w:t>The technology/ intervention</w:t>
            </w:r>
          </w:p>
        </w:tc>
        <w:tc>
          <w:tcPr>
            <w:tcW w:w="1843" w:type="dxa"/>
            <w:tcBorders>
              <w:top w:val="single" w:sz="12" w:space="0" w:color="auto"/>
            </w:tcBorders>
          </w:tcPr>
          <w:p w14:paraId="2FCD447E" w14:textId="33213D3F" w:rsidR="00220503" w:rsidRPr="00584846" w:rsidRDefault="00220503" w:rsidP="00623817">
            <w:pPr>
              <w:pStyle w:val="Title"/>
              <w:jc w:val="left"/>
              <w:rPr>
                <w:b w:val="0"/>
                <w:sz w:val="22"/>
                <w:szCs w:val="22"/>
              </w:rPr>
            </w:pPr>
            <w:r>
              <w:rPr>
                <w:b w:val="0"/>
                <w:sz w:val="22"/>
                <w:szCs w:val="22"/>
              </w:rPr>
              <w:t>AbbVie</w:t>
            </w:r>
          </w:p>
        </w:tc>
        <w:tc>
          <w:tcPr>
            <w:tcW w:w="7796" w:type="dxa"/>
            <w:tcBorders>
              <w:top w:val="single" w:sz="12" w:space="0" w:color="auto"/>
            </w:tcBorders>
          </w:tcPr>
          <w:p w14:paraId="1D376185" w14:textId="77777777" w:rsidR="00220503" w:rsidRDefault="00220503" w:rsidP="003F26FC">
            <w:pPr>
              <w:spacing w:before="60" w:after="60"/>
            </w:pPr>
            <w:r>
              <w:t xml:space="preserve">The description of the pivotal phase 3 trial that is being used to support the marketing authorisation application for </w:t>
            </w:r>
            <w:proofErr w:type="spellStart"/>
            <w:r>
              <w:t>venetoclax</w:t>
            </w:r>
            <w:proofErr w:type="spellEnd"/>
            <w:r>
              <w:t xml:space="preserve"> with </w:t>
            </w:r>
            <w:proofErr w:type="spellStart"/>
            <w:r>
              <w:t>obinutuzumab</w:t>
            </w:r>
            <w:proofErr w:type="spellEnd"/>
            <w:r>
              <w:t xml:space="preserve"> is incorrect. Please change to “</w:t>
            </w:r>
            <w:r w:rsidRPr="006D7B36">
              <w:rPr>
                <w:i/>
              </w:rPr>
              <w:t xml:space="preserve">It is being studied in clinical trials in comparison with </w:t>
            </w:r>
            <w:r w:rsidRPr="006D7B36">
              <w:rPr>
                <w:i/>
                <w:strike/>
              </w:rPr>
              <w:t>standard chemo-immunotherapy (FCR and BR) and</w:t>
            </w:r>
            <w:r w:rsidRPr="006D7B36">
              <w:rPr>
                <w:i/>
              </w:rPr>
              <w:t xml:space="preserve"> </w:t>
            </w:r>
            <w:proofErr w:type="spellStart"/>
            <w:r w:rsidRPr="006D7B36">
              <w:rPr>
                <w:i/>
                <w:lang w:val="en-US"/>
              </w:rPr>
              <w:t>obinutuzumab</w:t>
            </w:r>
            <w:proofErr w:type="spellEnd"/>
            <w:r w:rsidRPr="006D7B36">
              <w:rPr>
                <w:i/>
                <w:lang w:val="en-US"/>
              </w:rPr>
              <w:t xml:space="preserve"> with chlorambucil</w:t>
            </w:r>
            <w:r w:rsidRPr="006D7B36">
              <w:rPr>
                <w:i/>
              </w:rPr>
              <w:t>, in adults with untreated CLL</w:t>
            </w:r>
            <w:r>
              <w:t>”</w:t>
            </w:r>
          </w:p>
          <w:p w14:paraId="7A6CCFF9" w14:textId="43C2F0A0" w:rsidR="00220503" w:rsidRPr="003F26FC" w:rsidRDefault="00220503" w:rsidP="003F26FC">
            <w:pPr>
              <w:spacing w:before="60" w:after="60"/>
            </w:pPr>
            <w:r w:rsidRPr="00E20093">
              <w:t xml:space="preserve">The CLL14 trial </w:t>
            </w:r>
            <w:hyperlink r:id="rId8" w:history="1">
              <w:r>
                <w:rPr>
                  <w:rStyle w:val="Hyperlink"/>
                </w:rPr>
                <w:t>https://www.nejm.org/doi/full/10.1056/NEJMoa1815281</w:t>
              </w:r>
            </w:hyperlink>
            <w:r w:rsidRPr="00E20093">
              <w:t xml:space="preserve"> </w:t>
            </w:r>
            <w:r w:rsidRPr="00DB5D60">
              <w:rPr>
                <w:color w:val="0D0D0D"/>
                <w:shd w:val="clear" w:color="auto" w:fill="FFFFFF"/>
              </w:rPr>
              <w:t xml:space="preserve">compared </w:t>
            </w:r>
            <w:proofErr w:type="spellStart"/>
            <w:r w:rsidRPr="00DB5D60">
              <w:rPr>
                <w:color w:val="0D0D0D"/>
              </w:rPr>
              <w:t>venetoclax</w:t>
            </w:r>
            <w:proofErr w:type="spellEnd"/>
            <w:r w:rsidRPr="00DB5D60">
              <w:rPr>
                <w:color w:val="0D0D0D"/>
              </w:rPr>
              <w:t xml:space="preserve"> plus </w:t>
            </w:r>
            <w:proofErr w:type="spellStart"/>
            <w:r w:rsidRPr="00DB5D60">
              <w:rPr>
                <w:color w:val="0D0D0D"/>
              </w:rPr>
              <w:t>obinutuzumab</w:t>
            </w:r>
            <w:proofErr w:type="spellEnd"/>
            <w:r w:rsidRPr="00DB5D60">
              <w:rPr>
                <w:color w:val="0D0D0D"/>
                <w:shd w:val="clear" w:color="auto" w:fill="FFFFFF"/>
              </w:rPr>
              <w:t xml:space="preserve"> treatment with chlorambucil plus </w:t>
            </w:r>
            <w:proofErr w:type="spellStart"/>
            <w:r w:rsidRPr="00DB5D60">
              <w:rPr>
                <w:color w:val="0D0D0D"/>
                <w:shd w:val="clear" w:color="auto" w:fill="FFFFFF"/>
              </w:rPr>
              <w:t>obinutuzumab</w:t>
            </w:r>
            <w:proofErr w:type="spellEnd"/>
            <w:r w:rsidRPr="00DB5D60">
              <w:rPr>
                <w:color w:val="0D0D0D"/>
                <w:shd w:val="clear" w:color="auto" w:fill="FFFFFF"/>
              </w:rPr>
              <w:t xml:space="preserve"> in previously untreated patients with CLL and comorbidities</w:t>
            </w:r>
          </w:p>
        </w:tc>
        <w:tc>
          <w:tcPr>
            <w:tcW w:w="2584" w:type="dxa"/>
            <w:tcBorders>
              <w:top w:val="single" w:sz="12" w:space="0" w:color="auto"/>
            </w:tcBorders>
          </w:tcPr>
          <w:p w14:paraId="3B7371D4" w14:textId="5B3D021F" w:rsidR="00220503" w:rsidRPr="000664FE" w:rsidRDefault="00220503" w:rsidP="00623817">
            <w:pPr>
              <w:pStyle w:val="Title"/>
              <w:jc w:val="left"/>
              <w:rPr>
                <w:b w:val="0"/>
                <w:sz w:val="22"/>
                <w:szCs w:val="22"/>
              </w:rPr>
            </w:pPr>
            <w:r>
              <w:rPr>
                <w:b w:val="0"/>
                <w:sz w:val="22"/>
                <w:szCs w:val="22"/>
              </w:rPr>
              <w:t>Thank you for your comment. The technology section has been updated.</w:t>
            </w:r>
          </w:p>
        </w:tc>
      </w:tr>
      <w:tr w:rsidR="00220503" w:rsidRPr="000664FE" w14:paraId="00FCE90F" w14:textId="77777777" w:rsidTr="009C5F05">
        <w:tc>
          <w:tcPr>
            <w:tcW w:w="1951" w:type="dxa"/>
            <w:vMerge/>
          </w:tcPr>
          <w:p w14:paraId="780D1DB9" w14:textId="77777777" w:rsidR="00220503" w:rsidRPr="000664FE" w:rsidRDefault="00220503" w:rsidP="00623817">
            <w:pPr>
              <w:pStyle w:val="Title"/>
              <w:jc w:val="left"/>
              <w:rPr>
                <w:b w:val="0"/>
                <w:sz w:val="22"/>
                <w:szCs w:val="22"/>
              </w:rPr>
            </w:pPr>
          </w:p>
        </w:tc>
        <w:tc>
          <w:tcPr>
            <w:tcW w:w="1843" w:type="dxa"/>
          </w:tcPr>
          <w:p w14:paraId="2A3A32C0" w14:textId="26E935AF" w:rsidR="00220503" w:rsidRPr="00584846" w:rsidRDefault="00220503" w:rsidP="00623817">
            <w:pPr>
              <w:pStyle w:val="Title"/>
              <w:jc w:val="left"/>
              <w:rPr>
                <w:b w:val="0"/>
                <w:sz w:val="22"/>
                <w:szCs w:val="22"/>
              </w:rPr>
            </w:pPr>
            <w:r>
              <w:rPr>
                <w:b w:val="0"/>
                <w:sz w:val="22"/>
                <w:szCs w:val="22"/>
              </w:rPr>
              <w:t>CLLSA</w:t>
            </w:r>
          </w:p>
        </w:tc>
        <w:tc>
          <w:tcPr>
            <w:tcW w:w="7796" w:type="dxa"/>
          </w:tcPr>
          <w:p w14:paraId="15B9C300" w14:textId="12DA438C" w:rsidR="00220503" w:rsidRPr="000664FE" w:rsidRDefault="00220503" w:rsidP="00623817">
            <w:pPr>
              <w:pStyle w:val="Title"/>
              <w:jc w:val="left"/>
              <w:rPr>
                <w:b w:val="0"/>
                <w:sz w:val="22"/>
                <w:szCs w:val="22"/>
              </w:rPr>
            </w:pPr>
            <w:r>
              <w:rPr>
                <w:b w:val="0"/>
                <w:sz w:val="22"/>
                <w:szCs w:val="22"/>
              </w:rPr>
              <w:t>Yes</w:t>
            </w:r>
          </w:p>
        </w:tc>
        <w:tc>
          <w:tcPr>
            <w:tcW w:w="2584" w:type="dxa"/>
          </w:tcPr>
          <w:p w14:paraId="127A82E9" w14:textId="427B9AF5" w:rsidR="00220503" w:rsidRPr="000664FE" w:rsidRDefault="00220503" w:rsidP="00623817">
            <w:pPr>
              <w:pStyle w:val="Title"/>
              <w:jc w:val="left"/>
              <w:rPr>
                <w:b w:val="0"/>
                <w:sz w:val="22"/>
                <w:szCs w:val="22"/>
              </w:rPr>
            </w:pPr>
            <w:r>
              <w:rPr>
                <w:b w:val="0"/>
                <w:sz w:val="22"/>
                <w:szCs w:val="22"/>
              </w:rPr>
              <w:t>Comment noted. No change to the scope required.</w:t>
            </w:r>
          </w:p>
        </w:tc>
      </w:tr>
      <w:tr w:rsidR="00220503" w:rsidRPr="000664FE" w14:paraId="76246FAD" w14:textId="77777777" w:rsidTr="009C5F05">
        <w:tc>
          <w:tcPr>
            <w:tcW w:w="1951" w:type="dxa"/>
            <w:vMerge/>
          </w:tcPr>
          <w:p w14:paraId="0B8D1F22" w14:textId="77777777" w:rsidR="00220503" w:rsidRPr="000664FE" w:rsidRDefault="00220503" w:rsidP="00623817">
            <w:pPr>
              <w:pStyle w:val="Title"/>
              <w:jc w:val="left"/>
              <w:rPr>
                <w:b w:val="0"/>
                <w:sz w:val="22"/>
                <w:szCs w:val="22"/>
              </w:rPr>
            </w:pPr>
          </w:p>
        </w:tc>
        <w:tc>
          <w:tcPr>
            <w:tcW w:w="1843" w:type="dxa"/>
          </w:tcPr>
          <w:p w14:paraId="3FF0242F" w14:textId="26B5CA3A" w:rsidR="00220503" w:rsidRDefault="00220503" w:rsidP="00623817">
            <w:pPr>
              <w:pStyle w:val="Title"/>
              <w:jc w:val="left"/>
              <w:rPr>
                <w:b w:val="0"/>
                <w:sz w:val="22"/>
                <w:szCs w:val="22"/>
              </w:rPr>
            </w:pPr>
            <w:r w:rsidRPr="000F2EC0">
              <w:rPr>
                <w:b w:val="0"/>
                <w:sz w:val="22"/>
                <w:szCs w:val="22"/>
              </w:rPr>
              <w:t xml:space="preserve">UK CLL FORUM, BSH, </w:t>
            </w:r>
            <w:proofErr w:type="spellStart"/>
            <w:r w:rsidRPr="000F2EC0">
              <w:rPr>
                <w:b w:val="0"/>
                <w:sz w:val="22"/>
                <w:szCs w:val="22"/>
              </w:rPr>
              <w:t>RCPath</w:t>
            </w:r>
            <w:proofErr w:type="spellEnd"/>
          </w:p>
        </w:tc>
        <w:tc>
          <w:tcPr>
            <w:tcW w:w="7796" w:type="dxa"/>
          </w:tcPr>
          <w:p w14:paraId="7AA8E7D4" w14:textId="54A4CC37" w:rsidR="00220503" w:rsidRDefault="00220503" w:rsidP="00623817">
            <w:pPr>
              <w:pStyle w:val="Title"/>
              <w:jc w:val="left"/>
              <w:rPr>
                <w:b w:val="0"/>
                <w:sz w:val="22"/>
                <w:szCs w:val="22"/>
              </w:rPr>
            </w:pPr>
            <w:r>
              <w:rPr>
                <w:b w:val="0"/>
                <w:sz w:val="22"/>
                <w:szCs w:val="22"/>
              </w:rPr>
              <w:t>Yes</w:t>
            </w:r>
          </w:p>
        </w:tc>
        <w:tc>
          <w:tcPr>
            <w:tcW w:w="2584" w:type="dxa"/>
          </w:tcPr>
          <w:p w14:paraId="3CD2982B" w14:textId="4AFA9C17" w:rsidR="00220503" w:rsidRDefault="00F553EA" w:rsidP="00623817">
            <w:pPr>
              <w:pStyle w:val="Title"/>
              <w:jc w:val="left"/>
              <w:rPr>
                <w:b w:val="0"/>
                <w:sz w:val="22"/>
                <w:szCs w:val="22"/>
              </w:rPr>
            </w:pPr>
            <w:r>
              <w:rPr>
                <w:b w:val="0"/>
                <w:sz w:val="22"/>
                <w:szCs w:val="22"/>
              </w:rPr>
              <w:t>Comment noted. No change to the scope required.</w:t>
            </w:r>
          </w:p>
        </w:tc>
      </w:tr>
      <w:tr w:rsidR="00220503" w:rsidRPr="000664FE" w14:paraId="5B3719A8" w14:textId="77777777" w:rsidTr="009C5F05">
        <w:tc>
          <w:tcPr>
            <w:tcW w:w="1951" w:type="dxa"/>
            <w:vMerge w:val="restart"/>
            <w:tcBorders>
              <w:top w:val="single" w:sz="12" w:space="0" w:color="auto"/>
            </w:tcBorders>
          </w:tcPr>
          <w:p w14:paraId="1612CF6C" w14:textId="77777777" w:rsidR="00220503" w:rsidRPr="000664FE" w:rsidRDefault="00220503" w:rsidP="00623817">
            <w:pPr>
              <w:pStyle w:val="Title"/>
              <w:jc w:val="left"/>
              <w:rPr>
                <w:b w:val="0"/>
                <w:sz w:val="22"/>
                <w:szCs w:val="22"/>
              </w:rPr>
            </w:pPr>
            <w:r w:rsidRPr="000664FE">
              <w:rPr>
                <w:b w:val="0"/>
                <w:sz w:val="22"/>
                <w:szCs w:val="22"/>
              </w:rPr>
              <w:t>Population</w:t>
            </w:r>
          </w:p>
        </w:tc>
        <w:tc>
          <w:tcPr>
            <w:tcW w:w="1843" w:type="dxa"/>
            <w:tcBorders>
              <w:top w:val="single" w:sz="12" w:space="0" w:color="auto"/>
            </w:tcBorders>
          </w:tcPr>
          <w:p w14:paraId="6AAC284A" w14:textId="79490CDA" w:rsidR="00220503" w:rsidRPr="00584846" w:rsidRDefault="00220503" w:rsidP="00623817">
            <w:pPr>
              <w:pStyle w:val="Title"/>
              <w:jc w:val="left"/>
              <w:rPr>
                <w:b w:val="0"/>
                <w:sz w:val="22"/>
                <w:szCs w:val="22"/>
              </w:rPr>
            </w:pPr>
            <w:r>
              <w:rPr>
                <w:b w:val="0"/>
                <w:sz w:val="22"/>
                <w:szCs w:val="22"/>
              </w:rPr>
              <w:t>AbbVie</w:t>
            </w:r>
          </w:p>
        </w:tc>
        <w:tc>
          <w:tcPr>
            <w:tcW w:w="7796" w:type="dxa"/>
            <w:tcBorders>
              <w:top w:val="single" w:sz="12" w:space="0" w:color="auto"/>
            </w:tcBorders>
          </w:tcPr>
          <w:p w14:paraId="1962875F" w14:textId="027EF9B1" w:rsidR="00220503" w:rsidRPr="0029503F" w:rsidRDefault="00220503" w:rsidP="00623817">
            <w:pPr>
              <w:spacing w:before="60" w:after="60"/>
              <w:rPr>
                <w:b/>
              </w:rPr>
            </w:pPr>
            <w:r>
              <w:t>The population is defined appropriately</w:t>
            </w:r>
          </w:p>
        </w:tc>
        <w:tc>
          <w:tcPr>
            <w:tcW w:w="2584" w:type="dxa"/>
            <w:tcBorders>
              <w:top w:val="single" w:sz="12" w:space="0" w:color="auto"/>
            </w:tcBorders>
          </w:tcPr>
          <w:p w14:paraId="73F00D31" w14:textId="1CAD4836" w:rsidR="00220503" w:rsidRPr="000664FE" w:rsidRDefault="00220503" w:rsidP="00623817">
            <w:pPr>
              <w:pStyle w:val="Title"/>
              <w:jc w:val="left"/>
              <w:rPr>
                <w:b w:val="0"/>
                <w:sz w:val="22"/>
                <w:szCs w:val="22"/>
              </w:rPr>
            </w:pPr>
            <w:r>
              <w:rPr>
                <w:b w:val="0"/>
                <w:sz w:val="22"/>
                <w:szCs w:val="22"/>
              </w:rPr>
              <w:t>Comment noted. No change to the scope required.</w:t>
            </w:r>
          </w:p>
        </w:tc>
      </w:tr>
      <w:tr w:rsidR="00220503" w:rsidRPr="000664FE" w14:paraId="4395E1AE" w14:textId="77777777" w:rsidTr="009C5F05">
        <w:tc>
          <w:tcPr>
            <w:tcW w:w="1951" w:type="dxa"/>
            <w:vMerge/>
          </w:tcPr>
          <w:p w14:paraId="6BE02635" w14:textId="77777777" w:rsidR="00220503" w:rsidRPr="000664FE" w:rsidRDefault="00220503" w:rsidP="00623817">
            <w:pPr>
              <w:pStyle w:val="Title"/>
              <w:jc w:val="left"/>
              <w:rPr>
                <w:b w:val="0"/>
                <w:sz w:val="22"/>
                <w:szCs w:val="22"/>
              </w:rPr>
            </w:pPr>
          </w:p>
        </w:tc>
        <w:tc>
          <w:tcPr>
            <w:tcW w:w="1843" w:type="dxa"/>
          </w:tcPr>
          <w:p w14:paraId="1126B9D7" w14:textId="2754931B" w:rsidR="00220503" w:rsidRPr="004614E3" w:rsidRDefault="00220503" w:rsidP="00623817">
            <w:pPr>
              <w:pStyle w:val="Title"/>
              <w:jc w:val="left"/>
              <w:rPr>
                <w:b w:val="0"/>
                <w:sz w:val="22"/>
                <w:szCs w:val="22"/>
              </w:rPr>
            </w:pPr>
            <w:r w:rsidRPr="004614E3">
              <w:rPr>
                <w:b w:val="0"/>
                <w:sz w:val="22"/>
                <w:szCs w:val="22"/>
              </w:rPr>
              <w:t>Leukaemia Care</w:t>
            </w:r>
          </w:p>
        </w:tc>
        <w:tc>
          <w:tcPr>
            <w:tcW w:w="7796" w:type="dxa"/>
          </w:tcPr>
          <w:p w14:paraId="729C42FB" w14:textId="77777777" w:rsidR="00220503" w:rsidRPr="004614E3" w:rsidRDefault="00220503" w:rsidP="004614E3">
            <w:pPr>
              <w:spacing w:before="60" w:after="60"/>
              <w:rPr>
                <w:bCs/>
              </w:rPr>
            </w:pPr>
            <w:r w:rsidRPr="004614E3">
              <w:rPr>
                <w:bCs/>
              </w:rPr>
              <w:t xml:space="preserve">The CLL 14 trial data investigated the treatment of </w:t>
            </w:r>
            <w:proofErr w:type="spellStart"/>
            <w:r w:rsidRPr="004614E3">
              <w:rPr>
                <w:bCs/>
              </w:rPr>
              <w:t>venetoclax</w:t>
            </w:r>
            <w:proofErr w:type="spellEnd"/>
            <w:r w:rsidRPr="004614E3">
              <w:rPr>
                <w:bCs/>
              </w:rPr>
              <w:t xml:space="preserve"> and </w:t>
            </w:r>
            <w:proofErr w:type="spellStart"/>
            <w:r w:rsidRPr="004614E3">
              <w:rPr>
                <w:bCs/>
              </w:rPr>
              <w:t>obinutuzumab</w:t>
            </w:r>
            <w:proofErr w:type="spellEnd"/>
            <w:r w:rsidRPr="004614E3">
              <w:rPr>
                <w:bCs/>
              </w:rPr>
              <w:t xml:space="preserve"> in 1</w:t>
            </w:r>
            <w:r w:rsidRPr="004614E3">
              <w:rPr>
                <w:bCs/>
                <w:vertAlign w:val="superscript"/>
              </w:rPr>
              <w:t>st</w:t>
            </w:r>
            <w:r w:rsidRPr="004614E3">
              <w:rPr>
                <w:bCs/>
              </w:rPr>
              <w:t xml:space="preserve"> line patients with previously untreated CLL and coexisting conditions; therefore, we anticipate that the population will be redefined to cover just these patients. The rest of the comments in this document are based on this assumption.</w:t>
            </w:r>
          </w:p>
          <w:p w14:paraId="15B426E1" w14:textId="6FC27EA8" w:rsidR="00220503" w:rsidRPr="004614E3" w:rsidRDefault="00220503" w:rsidP="004614E3">
            <w:pPr>
              <w:pStyle w:val="BodyText"/>
              <w:rPr>
                <w:b w:val="0"/>
                <w:kern w:val="28"/>
              </w:rPr>
            </w:pPr>
            <w:r w:rsidRPr="004614E3">
              <w:rPr>
                <w:b w:val="0"/>
              </w:rPr>
              <w:t xml:space="preserve">This included a significant population of patients with a TP53 deletion or mutations. This population is automatically ineligible for the chemotherapeutic options and so </w:t>
            </w:r>
            <w:proofErr w:type="gramStart"/>
            <w:r w:rsidRPr="004614E3">
              <w:rPr>
                <w:b w:val="0"/>
              </w:rPr>
              <w:t>are in need of</w:t>
            </w:r>
            <w:proofErr w:type="gramEnd"/>
            <w:r w:rsidRPr="004614E3">
              <w:rPr>
                <w:b w:val="0"/>
              </w:rPr>
              <w:t xml:space="preserve"> new options.</w:t>
            </w:r>
          </w:p>
        </w:tc>
        <w:tc>
          <w:tcPr>
            <w:tcW w:w="2584" w:type="dxa"/>
          </w:tcPr>
          <w:p w14:paraId="3B443AF0" w14:textId="50F1D352" w:rsidR="00220503" w:rsidRPr="000664FE" w:rsidRDefault="00220503" w:rsidP="00623817">
            <w:pPr>
              <w:pStyle w:val="Title"/>
              <w:jc w:val="left"/>
              <w:rPr>
                <w:b w:val="0"/>
                <w:sz w:val="22"/>
                <w:szCs w:val="22"/>
              </w:rPr>
            </w:pPr>
            <w:r>
              <w:rPr>
                <w:b w:val="0"/>
                <w:sz w:val="22"/>
                <w:szCs w:val="22"/>
              </w:rPr>
              <w:t>The population has been kept broad to ensure that it captures the whole possible population that may be included in the</w:t>
            </w:r>
            <w:r w:rsidRPr="00640988">
              <w:rPr>
                <w:b w:val="0"/>
                <w:sz w:val="22"/>
                <w:szCs w:val="22"/>
              </w:rPr>
              <w:t xml:space="preserve"> </w:t>
            </w:r>
            <w:r>
              <w:rPr>
                <w:b w:val="0"/>
                <w:sz w:val="22"/>
                <w:szCs w:val="22"/>
              </w:rPr>
              <w:t xml:space="preserve">wording of the marketing authorisation from the </w:t>
            </w:r>
            <w:r>
              <w:rPr>
                <w:b w:val="0"/>
                <w:sz w:val="22"/>
                <w:szCs w:val="22"/>
              </w:rPr>
              <w:lastRenderedPageBreak/>
              <w:t>European Medicines Agency.</w:t>
            </w:r>
          </w:p>
        </w:tc>
      </w:tr>
      <w:tr w:rsidR="00220503" w:rsidRPr="000664FE" w14:paraId="6E26CA6D" w14:textId="77777777" w:rsidTr="009C5F05">
        <w:tc>
          <w:tcPr>
            <w:tcW w:w="1951" w:type="dxa"/>
            <w:vMerge/>
          </w:tcPr>
          <w:p w14:paraId="2B84A089" w14:textId="77777777" w:rsidR="00220503" w:rsidRPr="000664FE" w:rsidRDefault="00220503" w:rsidP="00623817">
            <w:pPr>
              <w:pStyle w:val="Title"/>
              <w:jc w:val="left"/>
              <w:rPr>
                <w:b w:val="0"/>
                <w:sz w:val="22"/>
                <w:szCs w:val="22"/>
              </w:rPr>
            </w:pPr>
          </w:p>
        </w:tc>
        <w:tc>
          <w:tcPr>
            <w:tcW w:w="1843" w:type="dxa"/>
          </w:tcPr>
          <w:p w14:paraId="1A0F60A5" w14:textId="64264466" w:rsidR="00220503" w:rsidRPr="00584846" w:rsidRDefault="00220503" w:rsidP="00623817">
            <w:pPr>
              <w:pStyle w:val="Title"/>
              <w:jc w:val="left"/>
              <w:rPr>
                <w:b w:val="0"/>
                <w:sz w:val="22"/>
                <w:szCs w:val="22"/>
              </w:rPr>
            </w:pPr>
            <w:r>
              <w:rPr>
                <w:b w:val="0"/>
                <w:sz w:val="22"/>
                <w:szCs w:val="22"/>
              </w:rPr>
              <w:t>CLLSA</w:t>
            </w:r>
          </w:p>
        </w:tc>
        <w:tc>
          <w:tcPr>
            <w:tcW w:w="7796" w:type="dxa"/>
          </w:tcPr>
          <w:p w14:paraId="5AFB483F" w14:textId="2A0343C6" w:rsidR="00220503" w:rsidRPr="00623817" w:rsidRDefault="00220503" w:rsidP="00737EFA">
            <w:pPr>
              <w:pStyle w:val="BodyText"/>
              <w:rPr>
                <w:b w:val="0"/>
                <w:szCs w:val="24"/>
              </w:rPr>
            </w:pPr>
            <w:r>
              <w:rPr>
                <w:b w:val="0"/>
                <w:szCs w:val="24"/>
              </w:rPr>
              <w:t>Yes</w:t>
            </w:r>
          </w:p>
        </w:tc>
        <w:tc>
          <w:tcPr>
            <w:tcW w:w="2584" w:type="dxa"/>
          </w:tcPr>
          <w:p w14:paraId="750F7C77" w14:textId="07A4BE86" w:rsidR="00220503" w:rsidRPr="000664FE" w:rsidRDefault="00220503" w:rsidP="00623817">
            <w:pPr>
              <w:pStyle w:val="Title"/>
              <w:jc w:val="left"/>
              <w:rPr>
                <w:b w:val="0"/>
                <w:sz w:val="22"/>
                <w:szCs w:val="22"/>
              </w:rPr>
            </w:pPr>
            <w:r>
              <w:rPr>
                <w:b w:val="0"/>
                <w:sz w:val="22"/>
                <w:szCs w:val="22"/>
              </w:rPr>
              <w:t>Comment noted. No change to the scope required.</w:t>
            </w:r>
          </w:p>
        </w:tc>
      </w:tr>
      <w:tr w:rsidR="00220503" w:rsidRPr="000664FE" w14:paraId="40C00283" w14:textId="77777777" w:rsidTr="009C5F05">
        <w:tc>
          <w:tcPr>
            <w:tcW w:w="1951" w:type="dxa"/>
            <w:vMerge/>
          </w:tcPr>
          <w:p w14:paraId="6CB5A53D" w14:textId="77777777" w:rsidR="00220503" w:rsidRPr="000664FE" w:rsidRDefault="00220503" w:rsidP="00623817">
            <w:pPr>
              <w:pStyle w:val="Title"/>
              <w:jc w:val="left"/>
              <w:rPr>
                <w:b w:val="0"/>
                <w:sz w:val="22"/>
                <w:szCs w:val="22"/>
              </w:rPr>
            </w:pPr>
          </w:p>
        </w:tc>
        <w:tc>
          <w:tcPr>
            <w:tcW w:w="1843" w:type="dxa"/>
          </w:tcPr>
          <w:p w14:paraId="0F90F7EB" w14:textId="6B31EAB0" w:rsidR="00220503" w:rsidRDefault="00220503" w:rsidP="00623817">
            <w:pPr>
              <w:pStyle w:val="Title"/>
              <w:jc w:val="left"/>
              <w:rPr>
                <w:b w:val="0"/>
                <w:sz w:val="22"/>
                <w:szCs w:val="22"/>
              </w:rPr>
            </w:pPr>
            <w:r w:rsidRPr="00220503">
              <w:rPr>
                <w:b w:val="0"/>
                <w:sz w:val="22"/>
                <w:szCs w:val="22"/>
              </w:rPr>
              <w:t xml:space="preserve">UK CLL FORUM, BSH, </w:t>
            </w:r>
            <w:proofErr w:type="spellStart"/>
            <w:r w:rsidRPr="00220503">
              <w:rPr>
                <w:b w:val="0"/>
                <w:sz w:val="22"/>
                <w:szCs w:val="22"/>
              </w:rPr>
              <w:t>RCPath</w:t>
            </w:r>
            <w:proofErr w:type="spellEnd"/>
          </w:p>
        </w:tc>
        <w:tc>
          <w:tcPr>
            <w:tcW w:w="7796" w:type="dxa"/>
          </w:tcPr>
          <w:p w14:paraId="62D9180C" w14:textId="77777777" w:rsidR="00220503" w:rsidRDefault="00220503" w:rsidP="00220503">
            <w:pPr>
              <w:pStyle w:val="CommentText"/>
            </w:pPr>
            <w:r w:rsidRPr="0038156D">
              <w:t xml:space="preserve">We do support a broad approval for </w:t>
            </w:r>
            <w:proofErr w:type="spellStart"/>
            <w:r w:rsidRPr="0038156D">
              <w:t>Venetoclax</w:t>
            </w:r>
            <w:proofErr w:type="spellEnd"/>
            <w:r w:rsidRPr="0038156D">
              <w:t xml:space="preserve"> with </w:t>
            </w:r>
            <w:proofErr w:type="spellStart"/>
            <w:r w:rsidRPr="0038156D">
              <w:t>Obinutuzumab</w:t>
            </w:r>
            <w:proofErr w:type="spellEnd"/>
            <w:r w:rsidRPr="0038156D">
              <w:t xml:space="preserve"> in the untreated population.</w:t>
            </w:r>
            <w:r w:rsidRPr="0031757A">
              <w:rPr>
                <w:i/>
              </w:rPr>
              <w:t xml:space="preserve"> </w:t>
            </w:r>
            <w:r>
              <w:rPr>
                <w:i/>
              </w:rPr>
              <w:t xml:space="preserve"> </w:t>
            </w:r>
            <w:r>
              <w:t>The CLL14 trial looked at all patients in the untreated population who have a CIRS score ≥6 as this was appropriate for the comparator but we favour a broad appraisal of the entire cohort. Subsequent subgroup analyses have indicated particular benefit for those patients who have an unmutated IGHV, for whom chemo-immunotherapy (FCR, BR or Chlorambucil based) fails to induce lasting remissions and this subgroup would likely particularly benefit from this regimen.</w:t>
            </w:r>
          </w:p>
          <w:p w14:paraId="3D7C6312" w14:textId="77777777" w:rsidR="00220503" w:rsidRPr="0038156D" w:rsidRDefault="00220503" w:rsidP="00220503">
            <w:pPr>
              <w:pStyle w:val="Default"/>
              <w:rPr>
                <w:color w:val="auto"/>
                <w:sz w:val="20"/>
                <w:szCs w:val="20"/>
              </w:rPr>
            </w:pPr>
            <w:r w:rsidRPr="0038156D">
              <w:rPr>
                <w:color w:val="auto"/>
                <w:sz w:val="20"/>
                <w:szCs w:val="20"/>
              </w:rPr>
              <w:t xml:space="preserve">FCR is effective in the IGHV mutated group of CLL patients, but is unsuitable for those with reduced marrow reserve, reduced renal function or other comorbidities – patients do significantly worse with a fludarabine based regimen if they have 2 or more co-morbidities (Goede V et al. </w:t>
            </w:r>
            <w:proofErr w:type="spellStart"/>
            <w:r w:rsidRPr="0038156D">
              <w:rPr>
                <w:color w:val="auto"/>
                <w:sz w:val="20"/>
                <w:szCs w:val="20"/>
              </w:rPr>
              <w:t>Haematologica</w:t>
            </w:r>
            <w:proofErr w:type="spellEnd"/>
            <w:r w:rsidRPr="0038156D">
              <w:rPr>
                <w:color w:val="auto"/>
                <w:sz w:val="20"/>
                <w:szCs w:val="20"/>
              </w:rPr>
              <w:t xml:space="preserve"> 2014;99:1095-1100). The average CLL patient aged between 55 and 64 has 2.9 co-</w:t>
            </w:r>
            <w:proofErr w:type="gramStart"/>
            <w:r w:rsidRPr="0038156D">
              <w:rPr>
                <w:color w:val="auto"/>
                <w:sz w:val="20"/>
                <w:szCs w:val="20"/>
              </w:rPr>
              <w:t>morbidities  (</w:t>
            </w:r>
            <w:proofErr w:type="spellStart"/>
            <w:proofErr w:type="gramEnd"/>
            <w:r w:rsidRPr="0038156D">
              <w:rPr>
                <w:color w:val="auto"/>
                <w:sz w:val="20"/>
                <w:szCs w:val="20"/>
              </w:rPr>
              <w:t>Yancik</w:t>
            </w:r>
            <w:proofErr w:type="spellEnd"/>
            <w:r w:rsidRPr="0038156D">
              <w:rPr>
                <w:color w:val="auto"/>
                <w:sz w:val="20"/>
                <w:szCs w:val="20"/>
              </w:rPr>
              <w:t xml:space="preserve"> R. Cancer 1997; 80: 1273—1283) rising to 4.2 for those over 75. There is also </w:t>
            </w:r>
            <w:proofErr w:type="gramStart"/>
            <w:r w:rsidRPr="0038156D">
              <w:rPr>
                <w:color w:val="auto"/>
                <w:sz w:val="20"/>
                <w:szCs w:val="20"/>
              </w:rPr>
              <w:t>need</w:t>
            </w:r>
            <w:proofErr w:type="gramEnd"/>
            <w:r w:rsidRPr="0038156D">
              <w:rPr>
                <w:color w:val="auto"/>
                <w:sz w:val="20"/>
                <w:szCs w:val="20"/>
              </w:rPr>
              <w:t xml:space="preserve"> to improve on FCR in frontline treatment of IGH unmutated CLL</w:t>
            </w:r>
          </w:p>
          <w:p w14:paraId="67F173CA" w14:textId="77777777" w:rsidR="00220503" w:rsidRPr="0038156D" w:rsidRDefault="00220503" w:rsidP="00220503">
            <w:pPr>
              <w:pStyle w:val="Default"/>
              <w:rPr>
                <w:color w:val="auto"/>
                <w:sz w:val="20"/>
                <w:szCs w:val="20"/>
              </w:rPr>
            </w:pPr>
            <w:proofErr w:type="gramStart"/>
            <w:r w:rsidRPr="0038156D">
              <w:rPr>
                <w:color w:val="auto"/>
                <w:sz w:val="20"/>
                <w:szCs w:val="20"/>
              </w:rPr>
              <w:t>Therefore</w:t>
            </w:r>
            <w:proofErr w:type="gramEnd"/>
            <w:r w:rsidRPr="0038156D">
              <w:rPr>
                <w:color w:val="auto"/>
                <w:sz w:val="20"/>
                <w:szCs w:val="20"/>
              </w:rPr>
              <w:t xml:space="preserve"> clinicians should have flexibility where possible when choosing the “best” tailored therapy for an individual patient and be able to discuss options with patients and involve them in the decision making process.</w:t>
            </w:r>
          </w:p>
          <w:p w14:paraId="4783B56F" w14:textId="77777777" w:rsidR="00220503" w:rsidRDefault="00220503" w:rsidP="00737EFA">
            <w:pPr>
              <w:pStyle w:val="BodyText"/>
              <w:rPr>
                <w:b w:val="0"/>
                <w:szCs w:val="24"/>
              </w:rPr>
            </w:pPr>
          </w:p>
        </w:tc>
        <w:tc>
          <w:tcPr>
            <w:tcW w:w="2584" w:type="dxa"/>
          </w:tcPr>
          <w:p w14:paraId="22D42C9B" w14:textId="32F40EF9" w:rsidR="00220503" w:rsidRDefault="00612A7E" w:rsidP="00623817">
            <w:pPr>
              <w:pStyle w:val="Title"/>
              <w:jc w:val="left"/>
              <w:rPr>
                <w:b w:val="0"/>
                <w:sz w:val="22"/>
                <w:szCs w:val="22"/>
              </w:rPr>
            </w:pPr>
            <w:r>
              <w:rPr>
                <w:b w:val="0"/>
                <w:sz w:val="22"/>
                <w:szCs w:val="22"/>
              </w:rPr>
              <w:t>Comment noted. The population has been kept broad to ensure that it captures the whole possible population that may be included in the</w:t>
            </w:r>
            <w:r w:rsidRPr="00640988">
              <w:rPr>
                <w:b w:val="0"/>
                <w:sz w:val="22"/>
                <w:szCs w:val="22"/>
              </w:rPr>
              <w:t xml:space="preserve"> </w:t>
            </w:r>
            <w:r>
              <w:rPr>
                <w:b w:val="0"/>
                <w:sz w:val="22"/>
                <w:szCs w:val="22"/>
              </w:rPr>
              <w:t>wording of the marketing authorisation from the European Medicines Agency.</w:t>
            </w:r>
          </w:p>
        </w:tc>
      </w:tr>
      <w:tr w:rsidR="00C37990" w:rsidRPr="000664FE" w14:paraId="3D7802AB" w14:textId="77777777" w:rsidTr="009C5F05">
        <w:tc>
          <w:tcPr>
            <w:tcW w:w="1951" w:type="dxa"/>
            <w:vMerge w:val="restart"/>
            <w:tcBorders>
              <w:top w:val="single" w:sz="12" w:space="0" w:color="auto"/>
            </w:tcBorders>
          </w:tcPr>
          <w:p w14:paraId="2C3F55E5" w14:textId="77777777" w:rsidR="00C37990" w:rsidRPr="000664FE" w:rsidRDefault="00C37990" w:rsidP="00623817">
            <w:pPr>
              <w:pStyle w:val="Title"/>
              <w:jc w:val="left"/>
              <w:rPr>
                <w:b w:val="0"/>
                <w:sz w:val="22"/>
                <w:szCs w:val="22"/>
              </w:rPr>
            </w:pPr>
            <w:r w:rsidRPr="000664FE">
              <w:rPr>
                <w:b w:val="0"/>
                <w:sz w:val="22"/>
                <w:szCs w:val="22"/>
              </w:rPr>
              <w:t>Comparators</w:t>
            </w:r>
          </w:p>
        </w:tc>
        <w:tc>
          <w:tcPr>
            <w:tcW w:w="1843" w:type="dxa"/>
            <w:tcBorders>
              <w:top w:val="single" w:sz="12" w:space="0" w:color="auto"/>
            </w:tcBorders>
          </w:tcPr>
          <w:p w14:paraId="14CEED3D" w14:textId="69803EA3" w:rsidR="00C37990" w:rsidRPr="00584846" w:rsidRDefault="00C37990" w:rsidP="00623817">
            <w:pPr>
              <w:pStyle w:val="Title"/>
              <w:jc w:val="left"/>
              <w:rPr>
                <w:b w:val="0"/>
                <w:sz w:val="22"/>
                <w:szCs w:val="22"/>
              </w:rPr>
            </w:pPr>
            <w:r>
              <w:rPr>
                <w:b w:val="0"/>
                <w:sz w:val="22"/>
                <w:szCs w:val="22"/>
              </w:rPr>
              <w:t>AbbVie</w:t>
            </w:r>
          </w:p>
        </w:tc>
        <w:tc>
          <w:tcPr>
            <w:tcW w:w="7796" w:type="dxa"/>
            <w:tcBorders>
              <w:top w:val="single" w:sz="12" w:space="0" w:color="auto"/>
            </w:tcBorders>
          </w:tcPr>
          <w:p w14:paraId="77EFD31F" w14:textId="77777777" w:rsidR="00C37990" w:rsidRPr="004875EC" w:rsidRDefault="00C37990" w:rsidP="0029503F">
            <w:pPr>
              <w:spacing w:before="60" w:after="60"/>
              <w:rPr>
                <w:color w:val="0D0D0D"/>
                <w:u w:val="single"/>
              </w:rPr>
            </w:pPr>
            <w:r w:rsidRPr="004875EC">
              <w:rPr>
                <w:color w:val="0D0D0D"/>
                <w:u w:val="single"/>
                <w:lang w:val="en"/>
              </w:rPr>
              <w:t>Without a del(17p) or TP53 mutation:</w:t>
            </w:r>
          </w:p>
          <w:p w14:paraId="46833948" w14:textId="77777777" w:rsidR="00C37990" w:rsidRDefault="00C37990" w:rsidP="0029503F">
            <w:pPr>
              <w:spacing w:before="60" w:after="60"/>
            </w:pPr>
            <w:r w:rsidRPr="004875EC">
              <w:rPr>
                <w:color w:val="0D0D0D"/>
              </w:rPr>
              <w:t xml:space="preserve">AbbVie agree that </w:t>
            </w:r>
            <w:proofErr w:type="spellStart"/>
            <w:r w:rsidRPr="004875EC">
              <w:rPr>
                <w:b/>
                <w:color w:val="0D0D0D"/>
                <w:lang w:val="en-US"/>
              </w:rPr>
              <w:t>obinutuzumab</w:t>
            </w:r>
            <w:proofErr w:type="spellEnd"/>
            <w:r w:rsidRPr="004875EC">
              <w:rPr>
                <w:b/>
                <w:color w:val="0D0D0D"/>
                <w:lang w:val="en-US"/>
              </w:rPr>
              <w:t xml:space="preserve"> with chlorambucil</w:t>
            </w:r>
            <w:r w:rsidRPr="004875EC">
              <w:rPr>
                <w:color w:val="0D0D0D"/>
              </w:rPr>
              <w:t xml:space="preserve"> can be considered a comparator to </w:t>
            </w:r>
            <w:proofErr w:type="spellStart"/>
            <w:r w:rsidRPr="004875EC">
              <w:rPr>
                <w:color w:val="0D0D0D"/>
              </w:rPr>
              <w:t>venetoclax</w:t>
            </w:r>
            <w:proofErr w:type="spellEnd"/>
            <w:r w:rsidRPr="004875EC">
              <w:rPr>
                <w:color w:val="0D0D0D"/>
              </w:rPr>
              <w:t xml:space="preserve"> with </w:t>
            </w:r>
            <w:proofErr w:type="spellStart"/>
            <w:r w:rsidRPr="004875EC">
              <w:rPr>
                <w:color w:val="0D0D0D"/>
              </w:rPr>
              <w:t>obinutuzumab</w:t>
            </w:r>
            <w:proofErr w:type="spellEnd"/>
            <w:r w:rsidRPr="004875EC">
              <w:rPr>
                <w:color w:val="0D0D0D"/>
              </w:rPr>
              <w:t>. However, the following combinations are not comparators</w:t>
            </w:r>
            <w:r>
              <w:t>:</w:t>
            </w:r>
          </w:p>
          <w:p w14:paraId="33396416" w14:textId="77777777" w:rsidR="00C37990" w:rsidRDefault="00C37990" w:rsidP="0029503F">
            <w:pPr>
              <w:numPr>
                <w:ilvl w:val="0"/>
                <w:numId w:val="21"/>
              </w:numPr>
              <w:spacing w:before="60" w:after="60"/>
            </w:pPr>
            <w:r w:rsidRPr="00DE2475">
              <w:rPr>
                <w:b/>
              </w:rPr>
              <w:t>FCR</w:t>
            </w:r>
            <w:r>
              <w:t xml:space="preserve">: The CLL14 trial population </w:t>
            </w:r>
            <w:hyperlink r:id="rId9" w:history="1">
              <w:r>
                <w:rPr>
                  <w:rStyle w:val="Hyperlink"/>
                </w:rPr>
                <w:t>https://www.nejm.org/doi/full/10.1056/NEJMoa1815281</w:t>
              </w:r>
            </w:hyperlink>
            <w:r>
              <w:t xml:space="preserve"> excludes patients who would normally be eligible for FCR and therefore the evidence submission to NICE would be for FCR ineligible patients.</w:t>
            </w:r>
          </w:p>
          <w:p w14:paraId="3BC16D2B" w14:textId="77777777" w:rsidR="00C37990" w:rsidRDefault="00C37990" w:rsidP="0029503F">
            <w:pPr>
              <w:numPr>
                <w:ilvl w:val="0"/>
                <w:numId w:val="21"/>
              </w:numPr>
              <w:spacing w:before="60" w:after="60"/>
            </w:pPr>
            <w:r>
              <w:rPr>
                <w:b/>
              </w:rPr>
              <w:lastRenderedPageBreak/>
              <w:t>BR</w:t>
            </w:r>
            <w:r w:rsidRPr="00DE2475">
              <w:t>:</w:t>
            </w:r>
            <w:r>
              <w:t xml:space="preserve"> According to the BSH guidelines on CLL (2018) </w:t>
            </w:r>
            <w:hyperlink r:id="rId10" w:history="1">
              <w:r>
                <w:rPr>
                  <w:rStyle w:val="Hyperlink"/>
                </w:rPr>
                <w:t>https://onlinelibrary.wiley.com/doi/full/10.1111/bjh.15460</w:t>
              </w:r>
            </w:hyperlink>
            <w:r>
              <w:t xml:space="preserve"> BR is recommended as an alternative for fit patients in whom FCR is contra-indicated due to specific comorbid conditions. BR is not a comparator as the evidence submission is for unfit patients only. </w:t>
            </w:r>
          </w:p>
          <w:p w14:paraId="0685E7E9" w14:textId="77777777" w:rsidR="00C37990" w:rsidRPr="0009689E" w:rsidRDefault="00C37990" w:rsidP="0029503F">
            <w:pPr>
              <w:numPr>
                <w:ilvl w:val="0"/>
                <w:numId w:val="21"/>
              </w:numPr>
              <w:spacing w:before="60" w:after="60"/>
            </w:pPr>
            <w:r w:rsidRPr="0009689E">
              <w:rPr>
                <w:b/>
              </w:rPr>
              <w:t>Chlorambucil with rituximab</w:t>
            </w:r>
            <w:r w:rsidRPr="0009689E">
              <w:t>: According to the BSH guidelines on CLL (2018) “</w:t>
            </w:r>
            <w:r w:rsidRPr="0009689E">
              <w:rPr>
                <w:i/>
                <w:lang w:eastAsia="en-GB"/>
              </w:rPr>
              <w:t>Chlorambucil in combination with rituximab is not routinely recommended (GRADE IB)</w:t>
            </w:r>
            <w:r w:rsidRPr="0009689E">
              <w:rPr>
                <w:lang w:eastAsia="en-GB"/>
              </w:rPr>
              <w:t>”</w:t>
            </w:r>
            <w:r>
              <w:rPr>
                <w:lang w:eastAsia="en-GB"/>
              </w:rPr>
              <w:t xml:space="preserve"> and can therefore not be considered a comparator</w:t>
            </w:r>
          </w:p>
          <w:p w14:paraId="5A1E8E97" w14:textId="77777777" w:rsidR="00C37990" w:rsidRPr="006E2ACF" w:rsidRDefault="00C37990" w:rsidP="0029503F">
            <w:pPr>
              <w:numPr>
                <w:ilvl w:val="0"/>
                <w:numId w:val="21"/>
              </w:numPr>
              <w:spacing w:before="60" w:after="60"/>
            </w:pPr>
            <w:r w:rsidRPr="0009689E">
              <w:rPr>
                <w:b/>
                <w:lang w:val="en-US"/>
              </w:rPr>
              <w:t>Ofatumumab with chlorambucil</w:t>
            </w:r>
            <w:r>
              <w:rPr>
                <w:lang w:val="en-US"/>
              </w:rPr>
              <w:t xml:space="preserve">: According to NICE, </w:t>
            </w:r>
            <w:hyperlink r:id="rId11" w:history="1">
              <w:r>
                <w:rPr>
                  <w:rStyle w:val="Hyperlink"/>
                </w:rPr>
                <w:t>https://www.nice.org.uk/guidance/ta344</w:t>
              </w:r>
            </w:hyperlink>
            <w:r>
              <w:rPr>
                <w:lang w:val="en-US"/>
              </w:rPr>
              <w:t xml:space="preserve"> </w:t>
            </w:r>
            <w:r w:rsidRPr="0009689E">
              <w:rPr>
                <w:lang w:val="en-US"/>
              </w:rPr>
              <w:t>the guidance for TA344 has been withdrawn because Novartis has discontinued ofatumumab</w:t>
            </w:r>
            <w:r>
              <w:rPr>
                <w:lang w:val="en-US"/>
              </w:rPr>
              <w:t>. Therefore, ofatumumab with chlorambucil is not a comparator for this appraisal.</w:t>
            </w:r>
          </w:p>
          <w:p w14:paraId="6151127E" w14:textId="77777777" w:rsidR="00C37990" w:rsidRDefault="00C37990" w:rsidP="0029503F">
            <w:pPr>
              <w:spacing w:before="60" w:after="60"/>
            </w:pPr>
          </w:p>
          <w:p w14:paraId="5D360002" w14:textId="77777777" w:rsidR="00C37990" w:rsidRPr="00947E6F" w:rsidRDefault="00C37990" w:rsidP="0029503F">
            <w:pPr>
              <w:spacing w:before="60" w:after="60"/>
              <w:rPr>
                <w:u w:val="single"/>
              </w:rPr>
            </w:pPr>
            <w:r w:rsidRPr="00947E6F">
              <w:rPr>
                <w:u w:val="single"/>
                <w:lang w:val="en"/>
              </w:rPr>
              <w:t>With a del(17p) or TP53 mutation:</w:t>
            </w:r>
          </w:p>
          <w:p w14:paraId="7BAB2404" w14:textId="77777777" w:rsidR="00C37990" w:rsidRPr="00A20724" w:rsidRDefault="00C37990" w:rsidP="0029503F">
            <w:pPr>
              <w:spacing w:before="60" w:after="60"/>
            </w:pPr>
            <w:r w:rsidRPr="00A20724">
              <w:t xml:space="preserve">AbbVie agree that </w:t>
            </w:r>
            <w:r w:rsidRPr="00A20724">
              <w:rPr>
                <w:b/>
                <w:lang w:val="en-US"/>
              </w:rPr>
              <w:t>ibrutinib</w:t>
            </w:r>
            <w:r w:rsidRPr="00A20724">
              <w:t xml:space="preserve"> can be considered a comparator to </w:t>
            </w:r>
            <w:proofErr w:type="spellStart"/>
            <w:r w:rsidRPr="00A20724">
              <w:t>venetoclax</w:t>
            </w:r>
            <w:proofErr w:type="spellEnd"/>
            <w:r w:rsidRPr="00A20724">
              <w:t xml:space="preserve"> with </w:t>
            </w:r>
            <w:proofErr w:type="spellStart"/>
            <w:r w:rsidRPr="00A20724">
              <w:t>obinutuzumab</w:t>
            </w:r>
            <w:proofErr w:type="spellEnd"/>
            <w:r w:rsidRPr="00A20724">
              <w:t>. However, the following combination is not a comparator</w:t>
            </w:r>
            <w:r>
              <w:t>:</w:t>
            </w:r>
          </w:p>
          <w:p w14:paraId="27228DDE" w14:textId="4574D978" w:rsidR="00C37990" w:rsidRPr="0029503F" w:rsidRDefault="00C37990" w:rsidP="00623817">
            <w:pPr>
              <w:numPr>
                <w:ilvl w:val="0"/>
                <w:numId w:val="21"/>
              </w:numPr>
              <w:autoSpaceDE w:val="0"/>
              <w:autoSpaceDN w:val="0"/>
              <w:adjustRightInd w:val="0"/>
              <w:spacing w:before="60" w:after="60"/>
            </w:pPr>
            <w:proofErr w:type="spellStart"/>
            <w:r w:rsidRPr="00A20724">
              <w:rPr>
                <w:b/>
              </w:rPr>
              <w:t>Idelalisib</w:t>
            </w:r>
            <w:proofErr w:type="spellEnd"/>
            <w:r w:rsidRPr="00A20724">
              <w:rPr>
                <w:b/>
              </w:rPr>
              <w:t xml:space="preserve"> with rituximab</w:t>
            </w:r>
            <w:r w:rsidRPr="00A20724">
              <w:t xml:space="preserve">: The clinical consensus is that ibrutinib has superseded </w:t>
            </w:r>
            <w:proofErr w:type="spellStart"/>
            <w:r w:rsidRPr="00A20724">
              <w:t>idelalisib</w:t>
            </w:r>
            <w:proofErr w:type="spellEnd"/>
            <w:r w:rsidRPr="00A20724">
              <w:t xml:space="preserve"> with rituximab as the BCRI of choice. Page 6, section 3.2 of TA561</w:t>
            </w:r>
            <w:hyperlink r:id="rId12" w:history="1">
              <w:r w:rsidRPr="00087ACC">
                <w:rPr>
                  <w:rStyle w:val="Hyperlink"/>
                </w:rPr>
                <w:t>https://www.nice.org.uk/guidance/ta561</w:t>
              </w:r>
            </w:hyperlink>
            <w:r w:rsidRPr="00A20724">
              <w:t xml:space="preserve">  [Feb 2019] states that </w:t>
            </w:r>
            <w:r w:rsidRPr="00A20724">
              <w:rPr>
                <w:i/>
              </w:rPr>
              <w:t>“…</w:t>
            </w:r>
            <w:r w:rsidRPr="00DB5D60">
              <w:rPr>
                <w:i/>
                <w:color w:val="0D0D0D"/>
              </w:rPr>
              <w:t>m</w:t>
            </w:r>
            <w:r w:rsidRPr="00DB5D60">
              <w:rPr>
                <w:i/>
                <w:color w:val="0D0D0D"/>
                <w:lang w:eastAsia="en-GB"/>
              </w:rPr>
              <w:t xml:space="preserve">ost people have ibrutinib rather than </w:t>
            </w:r>
            <w:proofErr w:type="spellStart"/>
            <w:r w:rsidRPr="00DB5D60">
              <w:rPr>
                <w:i/>
                <w:color w:val="0D0D0D"/>
                <w:lang w:eastAsia="en-GB"/>
              </w:rPr>
              <w:t>idelalisib</w:t>
            </w:r>
            <w:proofErr w:type="spellEnd"/>
            <w:r w:rsidRPr="00DB5D60">
              <w:rPr>
                <w:i/>
                <w:color w:val="0D0D0D"/>
                <w:lang w:eastAsia="en-GB"/>
              </w:rPr>
              <w:t xml:space="preserve"> plus rituximab, because </w:t>
            </w:r>
            <w:proofErr w:type="spellStart"/>
            <w:r w:rsidRPr="00DB5D60">
              <w:rPr>
                <w:i/>
                <w:color w:val="0D0D0D"/>
                <w:lang w:eastAsia="en-GB"/>
              </w:rPr>
              <w:t>idelalisib</w:t>
            </w:r>
            <w:proofErr w:type="spellEnd"/>
            <w:r w:rsidRPr="00DB5D60">
              <w:rPr>
                <w:i/>
                <w:color w:val="0D0D0D"/>
                <w:lang w:eastAsia="en-GB"/>
              </w:rPr>
              <w:t xml:space="preserve"> plus rituximab has an intensive dosing regimen and is associated with increased risk of infection</w:t>
            </w:r>
            <w:r w:rsidRPr="00DB5D60">
              <w:rPr>
                <w:color w:val="0D0D0D"/>
                <w:lang w:eastAsia="en-GB"/>
              </w:rPr>
              <w:t xml:space="preserve">” Furthermore the </w:t>
            </w:r>
            <w:r w:rsidRPr="00DB5D60">
              <w:rPr>
                <w:color w:val="0D0D0D"/>
              </w:rPr>
              <w:t>BSH guidelines on CLL (2018) states that “…</w:t>
            </w:r>
            <w:r w:rsidRPr="00DB5D60">
              <w:rPr>
                <w:i/>
                <w:color w:val="0D0D0D"/>
                <w:lang w:eastAsia="en-GB"/>
              </w:rPr>
              <w:t xml:space="preserve">ongoing pharmacovigilance revealed a higher risk of infection and death with </w:t>
            </w:r>
            <w:proofErr w:type="spellStart"/>
            <w:r w:rsidRPr="00DB5D60">
              <w:rPr>
                <w:i/>
                <w:color w:val="0D0D0D"/>
                <w:lang w:eastAsia="en-GB"/>
              </w:rPr>
              <w:t>idelalisib</w:t>
            </w:r>
            <w:proofErr w:type="spellEnd"/>
            <w:r w:rsidRPr="00DB5D60">
              <w:rPr>
                <w:i/>
                <w:color w:val="0D0D0D"/>
                <w:lang w:eastAsia="en-GB"/>
              </w:rPr>
              <w:t xml:space="preserve"> therapy than previously noted (Lampson et al, 2016), leading the European Medicine Agency (EMA) to review its license for </w:t>
            </w:r>
            <w:proofErr w:type="spellStart"/>
            <w:r w:rsidRPr="00DB5D60">
              <w:rPr>
                <w:i/>
                <w:color w:val="0D0D0D"/>
                <w:lang w:eastAsia="en-GB"/>
              </w:rPr>
              <w:t>idelalisib</w:t>
            </w:r>
            <w:proofErr w:type="spellEnd"/>
            <w:r w:rsidRPr="00DB5D60">
              <w:rPr>
                <w:i/>
                <w:color w:val="0D0D0D"/>
                <w:lang w:eastAsia="en-GB"/>
              </w:rPr>
              <w:t xml:space="preserve">, and to recommend </w:t>
            </w:r>
            <w:proofErr w:type="spellStart"/>
            <w:r w:rsidRPr="00DB5D60">
              <w:rPr>
                <w:i/>
                <w:color w:val="0D0D0D"/>
                <w:lang w:eastAsia="en-GB"/>
              </w:rPr>
              <w:t>idelalisib</w:t>
            </w:r>
            <w:proofErr w:type="spellEnd"/>
            <w:r w:rsidRPr="00DB5D60">
              <w:rPr>
                <w:i/>
                <w:color w:val="0D0D0D"/>
                <w:lang w:eastAsia="en-GB"/>
              </w:rPr>
              <w:t xml:space="preserve"> for “first-line treatment of CLL in the presence of 17p </w:t>
            </w:r>
            <w:r w:rsidRPr="00A20724">
              <w:rPr>
                <w:i/>
                <w:lang w:eastAsia="en-GB"/>
              </w:rPr>
              <w:t xml:space="preserve">deletion or TP53 mutation in patients who are not eligible for any </w:t>
            </w:r>
            <w:r w:rsidRPr="00A20724">
              <w:rPr>
                <w:i/>
                <w:lang w:eastAsia="en-GB"/>
              </w:rPr>
              <w:lastRenderedPageBreak/>
              <w:t>other therapies</w:t>
            </w:r>
            <w:r w:rsidRPr="00A20724">
              <w:rPr>
                <w:lang w:eastAsia="en-GB"/>
              </w:rPr>
              <w:t>”</w:t>
            </w:r>
            <w:r>
              <w:rPr>
                <w:lang w:eastAsia="en-GB"/>
              </w:rPr>
              <w:t xml:space="preserve"> Therefore </w:t>
            </w:r>
            <w:proofErr w:type="spellStart"/>
            <w:r>
              <w:rPr>
                <w:lang w:eastAsia="en-GB"/>
              </w:rPr>
              <w:t>idelalisib</w:t>
            </w:r>
            <w:proofErr w:type="spellEnd"/>
            <w:r>
              <w:rPr>
                <w:lang w:eastAsia="en-GB"/>
              </w:rPr>
              <w:t xml:space="preserve"> with rituximab is not a comparator for this appraisal.</w:t>
            </w:r>
          </w:p>
        </w:tc>
        <w:tc>
          <w:tcPr>
            <w:tcW w:w="2584" w:type="dxa"/>
            <w:tcBorders>
              <w:top w:val="single" w:sz="12" w:space="0" w:color="auto"/>
            </w:tcBorders>
          </w:tcPr>
          <w:p w14:paraId="148B29C6" w14:textId="545191A2" w:rsidR="00C37990" w:rsidRDefault="00C37990" w:rsidP="004E61BC">
            <w:pPr>
              <w:pStyle w:val="Title"/>
              <w:jc w:val="left"/>
              <w:rPr>
                <w:b w:val="0"/>
                <w:sz w:val="22"/>
                <w:szCs w:val="22"/>
              </w:rPr>
            </w:pPr>
            <w:r>
              <w:rPr>
                <w:b w:val="0"/>
                <w:sz w:val="22"/>
                <w:szCs w:val="22"/>
              </w:rPr>
              <w:lastRenderedPageBreak/>
              <w:t>Comment noted. The remit and therefore the comparators in the scope have been kept broad to ensure they capture the whole possible population that may be included in the</w:t>
            </w:r>
            <w:r w:rsidRPr="00640988">
              <w:rPr>
                <w:b w:val="0"/>
                <w:sz w:val="22"/>
                <w:szCs w:val="22"/>
              </w:rPr>
              <w:t xml:space="preserve"> </w:t>
            </w:r>
            <w:r>
              <w:rPr>
                <w:b w:val="0"/>
                <w:sz w:val="22"/>
                <w:szCs w:val="22"/>
              </w:rPr>
              <w:t xml:space="preserve">wording of the </w:t>
            </w:r>
            <w:r>
              <w:rPr>
                <w:b w:val="0"/>
                <w:sz w:val="22"/>
                <w:szCs w:val="22"/>
              </w:rPr>
              <w:lastRenderedPageBreak/>
              <w:t xml:space="preserve">marketing authorisation from the European Medicines Agency. The company can </w:t>
            </w:r>
            <w:r w:rsidRPr="002A0BD0">
              <w:rPr>
                <w:b w:val="0"/>
                <w:sz w:val="22"/>
                <w:szCs w:val="22"/>
              </w:rPr>
              <w:t>outline how it intends to approach the decision problem when invited to prepare the STA evidence submission</w:t>
            </w:r>
            <w:r>
              <w:rPr>
                <w:b w:val="0"/>
                <w:sz w:val="22"/>
                <w:szCs w:val="22"/>
              </w:rPr>
              <w:t>. See section 3.2.2 of NICE’s ‘</w:t>
            </w:r>
            <w:r w:rsidRPr="007D682D">
              <w:rPr>
                <w:b w:val="0"/>
                <w:sz w:val="22"/>
                <w:szCs w:val="22"/>
              </w:rPr>
              <w:t>Guide to the processes of technology appraisal</w:t>
            </w:r>
            <w:r>
              <w:rPr>
                <w:b w:val="0"/>
                <w:sz w:val="22"/>
                <w:szCs w:val="22"/>
              </w:rPr>
              <w:t xml:space="preserve">’ available at </w:t>
            </w:r>
            <w:hyperlink r:id="rId13" w:history="1">
              <w:r w:rsidRPr="00493694">
                <w:rPr>
                  <w:rStyle w:val="Hyperlink"/>
                  <w:b w:val="0"/>
                  <w:sz w:val="22"/>
                  <w:szCs w:val="22"/>
                </w:rPr>
                <w:t>https://www.nice.org.uk/process/pmg19/chapter/the-appraisal-process</w:t>
              </w:r>
            </w:hyperlink>
          </w:p>
          <w:p w14:paraId="73A9358B" w14:textId="5136F69B" w:rsidR="00C37990" w:rsidRPr="000664FE" w:rsidRDefault="00C37990" w:rsidP="00623817">
            <w:pPr>
              <w:pStyle w:val="Title"/>
              <w:jc w:val="left"/>
              <w:rPr>
                <w:b w:val="0"/>
                <w:sz w:val="22"/>
                <w:szCs w:val="22"/>
              </w:rPr>
            </w:pPr>
            <w:r>
              <w:rPr>
                <w:b w:val="0"/>
                <w:sz w:val="22"/>
                <w:szCs w:val="22"/>
              </w:rPr>
              <w:t>The comparators section has been updated to reflect that ofatumumab has been discontinued in the UK.</w:t>
            </w:r>
          </w:p>
        </w:tc>
      </w:tr>
      <w:tr w:rsidR="00C37990" w:rsidRPr="000664FE" w14:paraId="594BF4DA" w14:textId="77777777" w:rsidTr="009C5F05">
        <w:tc>
          <w:tcPr>
            <w:tcW w:w="1951" w:type="dxa"/>
            <w:vMerge/>
          </w:tcPr>
          <w:p w14:paraId="400B26A0" w14:textId="77777777" w:rsidR="00C37990" w:rsidRPr="000664FE" w:rsidRDefault="00C37990" w:rsidP="00623817">
            <w:pPr>
              <w:pStyle w:val="Title"/>
              <w:jc w:val="left"/>
              <w:rPr>
                <w:b w:val="0"/>
                <w:sz w:val="22"/>
                <w:szCs w:val="22"/>
              </w:rPr>
            </w:pPr>
          </w:p>
        </w:tc>
        <w:tc>
          <w:tcPr>
            <w:tcW w:w="1843" w:type="dxa"/>
          </w:tcPr>
          <w:p w14:paraId="06D58D10" w14:textId="17ABAFF0" w:rsidR="00C37990" w:rsidRPr="00584846" w:rsidRDefault="00C37990" w:rsidP="00623817">
            <w:pPr>
              <w:pStyle w:val="Title"/>
              <w:jc w:val="left"/>
              <w:rPr>
                <w:b w:val="0"/>
                <w:sz w:val="22"/>
                <w:szCs w:val="22"/>
              </w:rPr>
            </w:pPr>
            <w:r>
              <w:rPr>
                <w:b w:val="0"/>
                <w:sz w:val="22"/>
                <w:szCs w:val="22"/>
              </w:rPr>
              <w:t>Janssen-</w:t>
            </w:r>
            <w:proofErr w:type="spellStart"/>
            <w:r>
              <w:rPr>
                <w:b w:val="0"/>
                <w:sz w:val="22"/>
                <w:szCs w:val="22"/>
              </w:rPr>
              <w:t>Cilag</w:t>
            </w:r>
            <w:proofErr w:type="spellEnd"/>
          </w:p>
        </w:tc>
        <w:tc>
          <w:tcPr>
            <w:tcW w:w="7796" w:type="dxa"/>
          </w:tcPr>
          <w:p w14:paraId="5CD29801" w14:textId="07ED52E3" w:rsidR="00C37990" w:rsidRDefault="00C37990" w:rsidP="00B67034">
            <w:bookmarkStart w:id="0" w:name="Text36"/>
            <w:r>
              <w:t xml:space="preserve">The comparators listed in the draft scope accurately reflect the standard treatments currently used in the NHS for the untreated </w:t>
            </w:r>
            <w:r w:rsidRPr="00673301">
              <w:t>chronic lymphocytic leukaemia</w:t>
            </w:r>
            <w:r>
              <w:t xml:space="preserve"> (CLL) population </w:t>
            </w:r>
            <w:proofErr w:type="gramStart"/>
            <w:r>
              <w:t>with the exception of</w:t>
            </w:r>
            <w:proofErr w:type="gramEnd"/>
            <w:r>
              <w:t xml:space="preserve"> the combination of </w:t>
            </w:r>
            <w:r w:rsidRPr="00370BEC">
              <w:rPr>
                <w:lang w:val="en-US"/>
              </w:rPr>
              <w:t>chlorambucil</w:t>
            </w:r>
            <w:r>
              <w:rPr>
                <w:lang w:val="en-US"/>
              </w:rPr>
              <w:t xml:space="preserve"> </w:t>
            </w:r>
            <w:r w:rsidRPr="00370BEC">
              <w:rPr>
                <w:lang w:val="en-US"/>
              </w:rPr>
              <w:t>with</w:t>
            </w:r>
            <w:r>
              <w:rPr>
                <w:lang w:val="en-US"/>
              </w:rPr>
              <w:t xml:space="preserve"> o</w:t>
            </w:r>
            <w:r w:rsidRPr="00370BEC">
              <w:rPr>
                <w:lang w:val="en-US"/>
              </w:rPr>
              <w:t>fatumumab</w:t>
            </w:r>
            <w:r>
              <w:t>, as ofatumumab no longer holds a market authorisation in the European Union.</w:t>
            </w:r>
            <w:r>
              <w:rPr>
                <w:rStyle w:val="FootnoteReference"/>
              </w:rPr>
              <w:footnoteReference w:id="1"/>
            </w:r>
            <w:bookmarkEnd w:id="0"/>
          </w:p>
          <w:p w14:paraId="36918D8E" w14:textId="77777777" w:rsidR="00C37990" w:rsidRDefault="00C37990" w:rsidP="00B67034"/>
          <w:p w14:paraId="4991567C" w14:textId="161E4851" w:rsidR="00C37990" w:rsidRPr="00623817" w:rsidRDefault="00C37990" w:rsidP="00B67034">
            <w:r w:rsidRPr="00EB0610">
              <w:rPr>
                <w:rStyle w:val="FootnoteReference"/>
                <w:sz w:val="20"/>
                <w:szCs w:val="20"/>
              </w:rPr>
              <w:footnoteRef/>
            </w:r>
            <w:r w:rsidRPr="00EB0610">
              <w:rPr>
                <w:sz w:val="20"/>
                <w:szCs w:val="20"/>
              </w:rPr>
              <w:t xml:space="preserve"> https://www.ema.europa.eu/en/medicines/human/EPAR/arzerra</w:t>
            </w:r>
          </w:p>
        </w:tc>
        <w:tc>
          <w:tcPr>
            <w:tcW w:w="2584" w:type="dxa"/>
          </w:tcPr>
          <w:p w14:paraId="67AFAB4F" w14:textId="0B469325" w:rsidR="00C37990" w:rsidRPr="000664FE" w:rsidRDefault="00C37990" w:rsidP="00623817">
            <w:pPr>
              <w:pStyle w:val="Title"/>
              <w:jc w:val="left"/>
              <w:rPr>
                <w:b w:val="0"/>
                <w:sz w:val="22"/>
                <w:szCs w:val="22"/>
              </w:rPr>
            </w:pPr>
            <w:r>
              <w:rPr>
                <w:b w:val="0"/>
                <w:sz w:val="22"/>
                <w:szCs w:val="22"/>
              </w:rPr>
              <w:t>Thank you for your comment. The comparators section has been updated to reflect that ofatumumab has been discontinued in the UK.</w:t>
            </w:r>
          </w:p>
        </w:tc>
      </w:tr>
      <w:tr w:rsidR="00C37990" w:rsidRPr="000664FE" w14:paraId="25B456EA" w14:textId="77777777" w:rsidTr="009C5F05">
        <w:tc>
          <w:tcPr>
            <w:tcW w:w="1951" w:type="dxa"/>
            <w:vMerge/>
          </w:tcPr>
          <w:p w14:paraId="51FD3266" w14:textId="77777777" w:rsidR="00C37990" w:rsidRPr="000664FE" w:rsidRDefault="00C37990" w:rsidP="00623817">
            <w:pPr>
              <w:pStyle w:val="Title"/>
              <w:jc w:val="left"/>
              <w:rPr>
                <w:b w:val="0"/>
                <w:sz w:val="22"/>
                <w:szCs w:val="22"/>
              </w:rPr>
            </w:pPr>
          </w:p>
        </w:tc>
        <w:tc>
          <w:tcPr>
            <w:tcW w:w="1843" w:type="dxa"/>
          </w:tcPr>
          <w:p w14:paraId="79835FC6" w14:textId="687B24C3" w:rsidR="00C37990" w:rsidRPr="00584846" w:rsidRDefault="00C37990" w:rsidP="00623817">
            <w:pPr>
              <w:pStyle w:val="Title"/>
              <w:jc w:val="left"/>
              <w:rPr>
                <w:b w:val="0"/>
                <w:sz w:val="22"/>
                <w:szCs w:val="22"/>
              </w:rPr>
            </w:pPr>
            <w:r>
              <w:rPr>
                <w:b w:val="0"/>
                <w:sz w:val="22"/>
                <w:szCs w:val="22"/>
              </w:rPr>
              <w:t>Leukaemia Care</w:t>
            </w:r>
          </w:p>
        </w:tc>
        <w:tc>
          <w:tcPr>
            <w:tcW w:w="7796" w:type="dxa"/>
          </w:tcPr>
          <w:p w14:paraId="573E3C7B" w14:textId="77777777" w:rsidR="00C37990" w:rsidRDefault="00C37990" w:rsidP="004614E3">
            <w:pPr>
              <w:pStyle w:val="BodyText2"/>
              <w:keepLines/>
              <w:spacing w:before="120" w:line="240" w:lineRule="auto"/>
            </w:pPr>
            <w:r>
              <w:t xml:space="preserve">Fludarabine, cyclophosphamide and rituximab (FCR), and </w:t>
            </w:r>
            <w:r>
              <w:rPr>
                <w:lang w:val="en-US"/>
              </w:rPr>
              <w:t>b</w:t>
            </w:r>
            <w:proofErr w:type="spellStart"/>
            <w:r>
              <w:t>endamustine</w:t>
            </w:r>
            <w:proofErr w:type="spellEnd"/>
            <w:r>
              <w:t xml:space="preserve"> with or without rituximab (BR) are not suitable comparators as these are treatments unsuitable for unfit patient, such as those with comorbidities.</w:t>
            </w:r>
          </w:p>
          <w:p w14:paraId="09A32D41" w14:textId="77777777" w:rsidR="00C37990" w:rsidRPr="00F86D3B" w:rsidRDefault="00C37990" w:rsidP="004614E3">
            <w:pPr>
              <w:pStyle w:val="BodyText2"/>
              <w:keepLines/>
              <w:spacing w:before="120" w:line="240" w:lineRule="auto"/>
            </w:pPr>
            <w:r>
              <w:t xml:space="preserve">Ofatumumab with rituximab is not a suitable comparator as is no longer in clinical use in UK. </w:t>
            </w:r>
            <w:r w:rsidRPr="00D5088E">
              <w:t>Novartis</w:t>
            </w:r>
            <w:r>
              <w:t xml:space="preserve"> </w:t>
            </w:r>
            <w:r w:rsidRPr="00D5088E">
              <w:t>withdr</w:t>
            </w:r>
            <w:r>
              <w:t>ew</w:t>
            </w:r>
            <w:r w:rsidRPr="00D5088E">
              <w:t xml:space="preserve"> ofatumumab for CLL from markets outside the US due to low numbers of patients using the treatment.</w:t>
            </w:r>
            <w:r>
              <w:t xml:space="preserve"> (Ref: </w:t>
            </w:r>
            <w:r w:rsidRPr="00D5088E">
              <w:t>https://www.sps.nhs.uk/medicines/ofatumumab</w:t>
            </w:r>
            <w:r>
              <w:t>)</w:t>
            </w:r>
          </w:p>
          <w:p w14:paraId="3FFE1E46" w14:textId="540BBFAC" w:rsidR="00C37990" w:rsidRPr="000664FE" w:rsidRDefault="00C37990" w:rsidP="004614E3">
            <w:pPr>
              <w:pStyle w:val="Title"/>
              <w:jc w:val="left"/>
              <w:rPr>
                <w:b w:val="0"/>
                <w:sz w:val="22"/>
                <w:szCs w:val="22"/>
              </w:rPr>
            </w:pPr>
            <w:r w:rsidRPr="004614E3">
              <w:rPr>
                <w:b w:val="0"/>
                <w:bCs w:val="0"/>
                <w:kern w:val="0"/>
                <w:sz w:val="22"/>
                <w:szCs w:val="22"/>
              </w:rPr>
              <w:t xml:space="preserve">As a significant number of CLL14 trial patients were TP53 mutated or deleted, ibrutinib should be considered a comparator as this is the treatment in routine use for this subgroup. However, </w:t>
            </w:r>
            <w:proofErr w:type="spellStart"/>
            <w:r w:rsidRPr="004614E3">
              <w:rPr>
                <w:b w:val="0"/>
                <w:bCs w:val="0"/>
                <w:kern w:val="0"/>
                <w:sz w:val="22"/>
                <w:szCs w:val="22"/>
              </w:rPr>
              <w:t>idelalisib</w:t>
            </w:r>
            <w:proofErr w:type="spellEnd"/>
            <w:r w:rsidRPr="004614E3">
              <w:rPr>
                <w:b w:val="0"/>
                <w:bCs w:val="0"/>
                <w:kern w:val="0"/>
                <w:sz w:val="22"/>
                <w:szCs w:val="22"/>
              </w:rPr>
              <w:t xml:space="preserve"> plus rituximab is not often used in UK practice currently due to immune related challenges.</w:t>
            </w:r>
          </w:p>
        </w:tc>
        <w:tc>
          <w:tcPr>
            <w:tcW w:w="2584" w:type="dxa"/>
          </w:tcPr>
          <w:p w14:paraId="12DC3A46" w14:textId="3596F6F5" w:rsidR="00C37990" w:rsidRPr="000664FE" w:rsidRDefault="00C37990" w:rsidP="00623817">
            <w:pPr>
              <w:pStyle w:val="Title"/>
              <w:jc w:val="left"/>
              <w:rPr>
                <w:b w:val="0"/>
                <w:sz w:val="22"/>
                <w:szCs w:val="22"/>
              </w:rPr>
            </w:pPr>
            <w:r>
              <w:rPr>
                <w:b w:val="0"/>
                <w:sz w:val="22"/>
                <w:szCs w:val="22"/>
              </w:rPr>
              <w:t xml:space="preserve">Comment noted. The remit and therefore the comparators in the scope have been kept broad to ensure they capture the whole possible population </w:t>
            </w:r>
            <w:bookmarkStart w:id="1" w:name="_Hlk12957336"/>
            <w:r>
              <w:rPr>
                <w:b w:val="0"/>
                <w:sz w:val="22"/>
                <w:szCs w:val="22"/>
              </w:rPr>
              <w:t>that may be included</w:t>
            </w:r>
            <w:bookmarkEnd w:id="1"/>
            <w:r>
              <w:rPr>
                <w:b w:val="0"/>
                <w:sz w:val="22"/>
                <w:szCs w:val="22"/>
              </w:rPr>
              <w:t xml:space="preserve"> in the</w:t>
            </w:r>
            <w:r w:rsidRPr="00640988">
              <w:rPr>
                <w:b w:val="0"/>
                <w:sz w:val="22"/>
                <w:szCs w:val="22"/>
              </w:rPr>
              <w:t xml:space="preserve"> </w:t>
            </w:r>
            <w:r>
              <w:rPr>
                <w:b w:val="0"/>
                <w:sz w:val="22"/>
                <w:szCs w:val="22"/>
              </w:rPr>
              <w:t>wording of the marketing authorisation from the European Medicines Agency. The comparators section has been updated to reflect that ofatumumab has been discontinued in the UK.</w:t>
            </w:r>
          </w:p>
        </w:tc>
      </w:tr>
      <w:tr w:rsidR="00C37990" w:rsidRPr="000664FE" w14:paraId="4BAAE7BF" w14:textId="77777777" w:rsidTr="009C5F05">
        <w:tc>
          <w:tcPr>
            <w:tcW w:w="1951" w:type="dxa"/>
            <w:vMerge/>
          </w:tcPr>
          <w:p w14:paraId="0D96B1C2" w14:textId="77777777" w:rsidR="00C37990" w:rsidRPr="000664FE" w:rsidRDefault="00C37990" w:rsidP="00623817">
            <w:pPr>
              <w:pStyle w:val="Title"/>
              <w:jc w:val="left"/>
              <w:rPr>
                <w:b w:val="0"/>
                <w:sz w:val="22"/>
                <w:szCs w:val="22"/>
              </w:rPr>
            </w:pPr>
          </w:p>
        </w:tc>
        <w:tc>
          <w:tcPr>
            <w:tcW w:w="1843" w:type="dxa"/>
          </w:tcPr>
          <w:p w14:paraId="692E17E5" w14:textId="58247C48" w:rsidR="00C37990" w:rsidRPr="00584846" w:rsidRDefault="00C37990" w:rsidP="00623817">
            <w:pPr>
              <w:pStyle w:val="Title"/>
              <w:jc w:val="left"/>
              <w:rPr>
                <w:b w:val="0"/>
                <w:sz w:val="22"/>
                <w:szCs w:val="22"/>
              </w:rPr>
            </w:pPr>
            <w:r>
              <w:rPr>
                <w:b w:val="0"/>
                <w:sz w:val="22"/>
                <w:szCs w:val="22"/>
              </w:rPr>
              <w:t>CLLSA</w:t>
            </w:r>
          </w:p>
        </w:tc>
        <w:tc>
          <w:tcPr>
            <w:tcW w:w="7796" w:type="dxa"/>
          </w:tcPr>
          <w:p w14:paraId="7D5D3595" w14:textId="77777777" w:rsidR="00C37990" w:rsidRPr="009C5F05" w:rsidRDefault="00C37990" w:rsidP="009C5F05">
            <w:pPr>
              <w:pStyle w:val="Title"/>
              <w:jc w:val="left"/>
              <w:rPr>
                <w:b w:val="0"/>
                <w:sz w:val="22"/>
                <w:szCs w:val="22"/>
              </w:rPr>
            </w:pPr>
            <w:r w:rsidRPr="009C5F05">
              <w:rPr>
                <w:b w:val="0"/>
                <w:sz w:val="22"/>
                <w:szCs w:val="22"/>
              </w:rPr>
              <w:t xml:space="preserve">If all untreated patients are to be </w:t>
            </w:r>
            <w:proofErr w:type="gramStart"/>
            <w:r w:rsidRPr="009C5F05">
              <w:rPr>
                <w:b w:val="0"/>
                <w:sz w:val="22"/>
                <w:szCs w:val="22"/>
              </w:rPr>
              <w:t>considered</w:t>
            </w:r>
            <w:proofErr w:type="gramEnd"/>
            <w:r w:rsidRPr="009C5F05">
              <w:rPr>
                <w:b w:val="0"/>
                <w:sz w:val="22"/>
                <w:szCs w:val="22"/>
              </w:rPr>
              <w:t xml:space="preserve"> then the comparators are correct.  It should be noted that Chlorambucil with or without Rituximab is not generally used.</w:t>
            </w:r>
          </w:p>
          <w:p w14:paraId="2857A3C7" w14:textId="7BDD9F71" w:rsidR="00C37990" w:rsidRPr="000664FE" w:rsidRDefault="00C37990" w:rsidP="009C5F05">
            <w:pPr>
              <w:pStyle w:val="Title"/>
              <w:jc w:val="left"/>
              <w:rPr>
                <w:b w:val="0"/>
                <w:sz w:val="22"/>
                <w:szCs w:val="22"/>
              </w:rPr>
            </w:pPr>
            <w:r w:rsidRPr="009C5F05">
              <w:rPr>
                <w:b w:val="0"/>
                <w:sz w:val="22"/>
                <w:szCs w:val="22"/>
              </w:rPr>
              <w:t>Bendamustine is being less frequently used.</w:t>
            </w:r>
          </w:p>
        </w:tc>
        <w:tc>
          <w:tcPr>
            <w:tcW w:w="2584" w:type="dxa"/>
          </w:tcPr>
          <w:p w14:paraId="4532DF3C" w14:textId="0B207164" w:rsidR="00C37990" w:rsidRPr="000664FE" w:rsidRDefault="00C37990" w:rsidP="00623817">
            <w:pPr>
              <w:pStyle w:val="Title"/>
              <w:jc w:val="left"/>
              <w:rPr>
                <w:b w:val="0"/>
                <w:sz w:val="22"/>
                <w:szCs w:val="22"/>
              </w:rPr>
            </w:pPr>
            <w:r>
              <w:rPr>
                <w:b w:val="0"/>
                <w:sz w:val="22"/>
                <w:szCs w:val="22"/>
              </w:rPr>
              <w:t>Comment noted. The remit and therefore the comparators in the scope have been kept broad to ensure they capture the whole possible population that may be included in the</w:t>
            </w:r>
            <w:r w:rsidRPr="00640988">
              <w:rPr>
                <w:b w:val="0"/>
                <w:sz w:val="22"/>
                <w:szCs w:val="22"/>
              </w:rPr>
              <w:t xml:space="preserve"> </w:t>
            </w:r>
            <w:r>
              <w:rPr>
                <w:b w:val="0"/>
                <w:sz w:val="22"/>
                <w:szCs w:val="22"/>
              </w:rPr>
              <w:t>wording of the marketing authorisation from the European Medicines Agency.</w:t>
            </w:r>
          </w:p>
        </w:tc>
      </w:tr>
      <w:tr w:rsidR="00C37990" w:rsidRPr="000664FE" w14:paraId="18BA8807" w14:textId="77777777" w:rsidTr="009C5F05">
        <w:tc>
          <w:tcPr>
            <w:tcW w:w="1951" w:type="dxa"/>
            <w:vMerge/>
          </w:tcPr>
          <w:p w14:paraId="702C71D8" w14:textId="77777777" w:rsidR="00C37990" w:rsidRPr="000664FE" w:rsidRDefault="00C37990" w:rsidP="00623817">
            <w:pPr>
              <w:pStyle w:val="Title"/>
              <w:jc w:val="left"/>
              <w:rPr>
                <w:b w:val="0"/>
                <w:sz w:val="22"/>
                <w:szCs w:val="22"/>
              </w:rPr>
            </w:pPr>
          </w:p>
        </w:tc>
        <w:tc>
          <w:tcPr>
            <w:tcW w:w="1843" w:type="dxa"/>
          </w:tcPr>
          <w:p w14:paraId="741860A7" w14:textId="12D38B2D" w:rsidR="00C37990" w:rsidRDefault="00C37990" w:rsidP="00623817">
            <w:pPr>
              <w:pStyle w:val="Title"/>
              <w:jc w:val="left"/>
              <w:rPr>
                <w:b w:val="0"/>
                <w:sz w:val="22"/>
                <w:szCs w:val="22"/>
              </w:rPr>
            </w:pPr>
            <w:r w:rsidRPr="00C37990">
              <w:rPr>
                <w:b w:val="0"/>
                <w:sz w:val="22"/>
                <w:szCs w:val="22"/>
              </w:rPr>
              <w:t xml:space="preserve">UK CLL FORUM, BSH, </w:t>
            </w:r>
            <w:proofErr w:type="spellStart"/>
            <w:r w:rsidRPr="00C37990">
              <w:rPr>
                <w:b w:val="0"/>
                <w:sz w:val="22"/>
                <w:szCs w:val="22"/>
              </w:rPr>
              <w:t>RCPath</w:t>
            </w:r>
            <w:proofErr w:type="spellEnd"/>
          </w:p>
        </w:tc>
        <w:tc>
          <w:tcPr>
            <w:tcW w:w="7796" w:type="dxa"/>
          </w:tcPr>
          <w:p w14:paraId="382A083C" w14:textId="77777777" w:rsidR="00C37990" w:rsidRPr="00C37990" w:rsidRDefault="00C37990" w:rsidP="00C37990">
            <w:pPr>
              <w:pStyle w:val="Default"/>
              <w:rPr>
                <w:sz w:val="22"/>
                <w:szCs w:val="22"/>
              </w:rPr>
            </w:pPr>
            <w:r w:rsidRPr="00C37990">
              <w:rPr>
                <w:sz w:val="22"/>
                <w:szCs w:val="22"/>
              </w:rPr>
              <w:t xml:space="preserve">The comparators listed in the draft </w:t>
            </w:r>
            <w:proofErr w:type="gramStart"/>
            <w:r w:rsidRPr="00C37990">
              <w:rPr>
                <w:sz w:val="22"/>
                <w:szCs w:val="22"/>
              </w:rPr>
              <w:t>scope  for</w:t>
            </w:r>
            <w:proofErr w:type="gramEnd"/>
            <w:r w:rsidRPr="00C37990">
              <w:rPr>
                <w:sz w:val="22"/>
                <w:szCs w:val="22"/>
              </w:rPr>
              <w:t xml:space="preserve"> patients without a 17p deletion or TP53 mutation are fludarabine+ cyclophosphamide+ rituximab (FCR), bendamustine+ rituximab (BR), chlorambucil+ rituximab, </w:t>
            </w:r>
            <w:proofErr w:type="spellStart"/>
            <w:r w:rsidRPr="00C37990">
              <w:rPr>
                <w:sz w:val="22"/>
                <w:szCs w:val="22"/>
              </w:rPr>
              <w:t>obinutuzumab</w:t>
            </w:r>
            <w:proofErr w:type="spellEnd"/>
            <w:r w:rsidRPr="00C37990">
              <w:rPr>
                <w:sz w:val="22"/>
                <w:szCs w:val="22"/>
              </w:rPr>
              <w:t xml:space="preserve"> + chlorambucil and ofatumumab + chlorambucil.</w:t>
            </w:r>
          </w:p>
          <w:p w14:paraId="3F8ABA3E" w14:textId="77777777" w:rsidR="00C37990" w:rsidRPr="00C37990" w:rsidRDefault="00C37990" w:rsidP="00C37990">
            <w:pPr>
              <w:pStyle w:val="Default"/>
              <w:rPr>
                <w:sz w:val="22"/>
                <w:szCs w:val="22"/>
              </w:rPr>
            </w:pPr>
            <w:r w:rsidRPr="00C37990">
              <w:rPr>
                <w:sz w:val="22"/>
                <w:szCs w:val="22"/>
              </w:rPr>
              <w:t xml:space="preserve">This is comprehensive list of treatment options with the exception of the ofatumumab + chlorambucil combination; ofatumumab has been withdrawn from the market by Novartis in January 2018 </w:t>
            </w:r>
            <w:hyperlink r:id="rId14" w:history="1">
              <w:r w:rsidRPr="00C37990">
                <w:rPr>
                  <w:rStyle w:val="Hyperlink"/>
                  <w:sz w:val="22"/>
                  <w:szCs w:val="22"/>
                </w:rPr>
                <w:t>https://www.sps.nhs.uk/medicines/ofatumumab/</w:t>
              </w:r>
            </w:hyperlink>
            <w:r w:rsidRPr="00C37990">
              <w:rPr>
                <w:sz w:val="22"/>
                <w:szCs w:val="22"/>
              </w:rPr>
              <w:t xml:space="preserve">. </w:t>
            </w:r>
          </w:p>
          <w:p w14:paraId="4817AB33" w14:textId="77777777" w:rsidR="00C37990" w:rsidRPr="00C37990" w:rsidRDefault="00C37990" w:rsidP="00C37990">
            <w:pPr>
              <w:pStyle w:val="NormalWeb"/>
              <w:spacing w:before="0" w:beforeAutospacing="0" w:after="0" w:afterAutospacing="0"/>
              <w:rPr>
                <w:rFonts w:ascii="Arial" w:hAnsi="Arial" w:cs="Arial"/>
                <w:color w:val="222222"/>
                <w:sz w:val="22"/>
                <w:szCs w:val="22"/>
              </w:rPr>
            </w:pPr>
            <w:proofErr w:type="spellStart"/>
            <w:r w:rsidRPr="00C37990">
              <w:rPr>
                <w:rFonts w:ascii="Arial" w:hAnsi="Arial" w:cs="Arial"/>
                <w:sz w:val="22"/>
                <w:szCs w:val="22"/>
              </w:rPr>
              <w:t>Obinutuzumab</w:t>
            </w:r>
            <w:proofErr w:type="spellEnd"/>
            <w:r w:rsidRPr="00C37990">
              <w:rPr>
                <w:rFonts w:ascii="Arial" w:hAnsi="Arial" w:cs="Arial"/>
                <w:sz w:val="22"/>
                <w:szCs w:val="22"/>
              </w:rPr>
              <w:t xml:space="preserve"> in combination with chlorambucil has been appraised by NICE TA343 and published on 2nd June 2015; the decision was reviewed in September 2018. The overall survival data of the German CLL11 trial has been updated at the European haematology Association 2018 Congress, </w:t>
            </w:r>
            <w:r w:rsidRPr="00C37990">
              <w:rPr>
                <w:rFonts w:ascii="Arial" w:hAnsi="Arial" w:cs="Arial"/>
                <w:color w:val="222222"/>
                <w:sz w:val="22"/>
                <w:szCs w:val="22"/>
              </w:rPr>
              <w:t xml:space="preserve">OS was also improved with </w:t>
            </w:r>
            <w:proofErr w:type="spellStart"/>
            <w:r w:rsidRPr="00C37990">
              <w:rPr>
                <w:rFonts w:ascii="Arial" w:hAnsi="Arial" w:cs="Arial"/>
                <w:color w:val="222222"/>
                <w:sz w:val="22"/>
                <w:szCs w:val="22"/>
              </w:rPr>
              <w:t>obinutuzumab</w:t>
            </w:r>
            <w:proofErr w:type="spellEnd"/>
            <w:r w:rsidRPr="00C37990">
              <w:rPr>
                <w:rFonts w:ascii="Arial" w:hAnsi="Arial" w:cs="Arial"/>
                <w:color w:val="222222"/>
                <w:sz w:val="22"/>
                <w:szCs w:val="22"/>
              </w:rPr>
              <w:t xml:space="preserve">/chlorambucil. OS was not reached with </w:t>
            </w:r>
            <w:proofErr w:type="spellStart"/>
            <w:r w:rsidRPr="00C37990">
              <w:rPr>
                <w:rFonts w:ascii="Arial" w:hAnsi="Arial" w:cs="Arial"/>
                <w:color w:val="222222"/>
                <w:sz w:val="22"/>
                <w:szCs w:val="22"/>
              </w:rPr>
              <w:t>obinutuzumab+chlorambucil</w:t>
            </w:r>
            <w:proofErr w:type="spellEnd"/>
            <w:r w:rsidRPr="00C37990">
              <w:rPr>
                <w:rFonts w:ascii="Arial" w:hAnsi="Arial" w:cs="Arial"/>
                <w:color w:val="222222"/>
                <w:sz w:val="22"/>
                <w:szCs w:val="22"/>
              </w:rPr>
              <w:t xml:space="preserve">; it was 73.1 months with </w:t>
            </w:r>
            <w:proofErr w:type="spellStart"/>
            <w:r w:rsidRPr="00C37990">
              <w:rPr>
                <w:rFonts w:ascii="Arial" w:hAnsi="Arial" w:cs="Arial"/>
                <w:color w:val="222222"/>
                <w:sz w:val="22"/>
                <w:szCs w:val="22"/>
              </w:rPr>
              <w:t>rituximab+chlorambucil</w:t>
            </w:r>
            <w:proofErr w:type="spellEnd"/>
            <w:r w:rsidRPr="00C37990">
              <w:rPr>
                <w:rFonts w:ascii="Arial" w:hAnsi="Arial" w:cs="Arial"/>
                <w:color w:val="222222"/>
                <w:sz w:val="22"/>
                <w:szCs w:val="22"/>
              </w:rPr>
              <w:t xml:space="preserve"> (HR, 0.76; 95% CI, 0.60 - 0.97; </w:t>
            </w:r>
            <w:r w:rsidRPr="00C37990">
              <w:rPr>
                <w:rStyle w:val="Emphasis"/>
                <w:rFonts w:ascii="Arial" w:hAnsi="Arial" w:cs="Arial"/>
                <w:color w:val="222222"/>
                <w:sz w:val="22"/>
                <w:szCs w:val="22"/>
              </w:rPr>
              <w:t>P</w:t>
            </w:r>
            <w:r w:rsidRPr="00C37990">
              <w:rPr>
                <w:rFonts w:ascii="Arial" w:hAnsi="Arial" w:cs="Arial"/>
                <w:color w:val="222222"/>
                <w:sz w:val="22"/>
                <w:szCs w:val="22"/>
              </w:rPr>
              <w:t> = .0245).</w:t>
            </w:r>
          </w:p>
          <w:p w14:paraId="6640EA2A" w14:textId="4F0F92BA" w:rsidR="00C37990" w:rsidRPr="00C37990" w:rsidRDefault="00C37990" w:rsidP="00C37990">
            <w:pPr>
              <w:pStyle w:val="Title"/>
              <w:jc w:val="left"/>
              <w:rPr>
                <w:b w:val="0"/>
                <w:bCs w:val="0"/>
                <w:sz w:val="22"/>
                <w:szCs w:val="22"/>
              </w:rPr>
            </w:pPr>
            <w:r w:rsidRPr="00C37990">
              <w:rPr>
                <w:b w:val="0"/>
                <w:bCs w:val="0"/>
                <w:color w:val="222222"/>
                <w:sz w:val="22"/>
                <w:szCs w:val="22"/>
              </w:rPr>
              <w:t xml:space="preserve">Survival rates in the </w:t>
            </w:r>
            <w:proofErr w:type="spellStart"/>
            <w:r w:rsidRPr="00C37990">
              <w:rPr>
                <w:b w:val="0"/>
                <w:bCs w:val="0"/>
                <w:color w:val="222222"/>
                <w:sz w:val="22"/>
                <w:szCs w:val="22"/>
              </w:rPr>
              <w:t>obinutuzumab+chlorambucil</w:t>
            </w:r>
            <w:proofErr w:type="spellEnd"/>
            <w:r w:rsidRPr="00C37990">
              <w:rPr>
                <w:b w:val="0"/>
                <w:bCs w:val="0"/>
                <w:color w:val="222222"/>
                <w:sz w:val="22"/>
                <w:szCs w:val="22"/>
              </w:rPr>
              <w:t xml:space="preserve"> and </w:t>
            </w:r>
            <w:proofErr w:type="spellStart"/>
            <w:r w:rsidRPr="00C37990">
              <w:rPr>
                <w:b w:val="0"/>
                <w:bCs w:val="0"/>
                <w:color w:val="222222"/>
                <w:sz w:val="22"/>
                <w:szCs w:val="22"/>
              </w:rPr>
              <w:t>rituximab+chlorambucil</w:t>
            </w:r>
            <w:proofErr w:type="spellEnd"/>
            <w:r w:rsidRPr="00C37990">
              <w:rPr>
                <w:b w:val="0"/>
                <w:bCs w:val="0"/>
                <w:color w:val="222222"/>
                <w:sz w:val="22"/>
                <w:szCs w:val="22"/>
              </w:rPr>
              <w:t xml:space="preserve"> arms were 91% vs 84%</w:t>
            </w:r>
            <w:r w:rsidRPr="00C37990">
              <w:rPr>
                <w:b w:val="0"/>
                <w:bCs w:val="0"/>
                <w:i/>
                <w:color w:val="222222"/>
                <w:sz w:val="22"/>
                <w:szCs w:val="22"/>
              </w:rPr>
              <w:t xml:space="preserve"> at 2 years and 66% vs 57% at 5 years. There were </w:t>
            </w:r>
            <w:r w:rsidRPr="00C37990">
              <w:rPr>
                <w:b w:val="0"/>
                <w:bCs w:val="0"/>
                <w:i/>
                <w:color w:val="222222"/>
                <w:sz w:val="22"/>
                <w:szCs w:val="22"/>
              </w:rPr>
              <w:lastRenderedPageBreak/>
              <w:t xml:space="preserve">significantly fewer deaths overall in the </w:t>
            </w:r>
            <w:proofErr w:type="spellStart"/>
            <w:r w:rsidRPr="00C37990">
              <w:rPr>
                <w:b w:val="0"/>
                <w:bCs w:val="0"/>
                <w:i/>
                <w:color w:val="222222"/>
                <w:sz w:val="22"/>
                <w:szCs w:val="22"/>
              </w:rPr>
              <w:t>obinutuzumab</w:t>
            </w:r>
            <w:proofErr w:type="spellEnd"/>
            <w:r w:rsidRPr="00C37990">
              <w:rPr>
                <w:b w:val="0"/>
                <w:bCs w:val="0"/>
                <w:i/>
                <w:color w:val="222222"/>
                <w:sz w:val="22"/>
                <w:szCs w:val="22"/>
              </w:rPr>
              <w:t>/chlorambucil group (37% vs 45%)</w:t>
            </w:r>
          </w:p>
        </w:tc>
        <w:tc>
          <w:tcPr>
            <w:tcW w:w="2584" w:type="dxa"/>
          </w:tcPr>
          <w:p w14:paraId="63644511" w14:textId="63359D91" w:rsidR="00C37990" w:rsidRDefault="009A2F8C" w:rsidP="00623817">
            <w:pPr>
              <w:pStyle w:val="Title"/>
              <w:jc w:val="left"/>
              <w:rPr>
                <w:b w:val="0"/>
                <w:sz w:val="22"/>
                <w:szCs w:val="22"/>
              </w:rPr>
            </w:pPr>
            <w:r>
              <w:rPr>
                <w:b w:val="0"/>
                <w:sz w:val="22"/>
                <w:szCs w:val="22"/>
              </w:rPr>
              <w:lastRenderedPageBreak/>
              <w:t>Comment noted. The remit and therefore the comparators in the scope have been kept broad to ensure they capture the whole possible population that may be included in the</w:t>
            </w:r>
            <w:r w:rsidRPr="00640988">
              <w:rPr>
                <w:b w:val="0"/>
                <w:sz w:val="22"/>
                <w:szCs w:val="22"/>
              </w:rPr>
              <w:t xml:space="preserve"> </w:t>
            </w:r>
            <w:r>
              <w:rPr>
                <w:b w:val="0"/>
                <w:sz w:val="22"/>
                <w:szCs w:val="22"/>
              </w:rPr>
              <w:t>wording of the marketing authorisation from the European Medicines Agency. The comparators section has been updated to reflect that ofatumumab has been discontinued in the UK.</w:t>
            </w:r>
          </w:p>
        </w:tc>
      </w:tr>
      <w:tr w:rsidR="00C37990" w:rsidRPr="000664FE" w14:paraId="7823DBC0" w14:textId="77777777" w:rsidTr="009C5F05">
        <w:tc>
          <w:tcPr>
            <w:tcW w:w="1951" w:type="dxa"/>
            <w:vMerge w:val="restart"/>
            <w:tcBorders>
              <w:top w:val="single" w:sz="12" w:space="0" w:color="auto"/>
            </w:tcBorders>
          </w:tcPr>
          <w:p w14:paraId="12770D6D" w14:textId="77777777" w:rsidR="00C37990" w:rsidRPr="000664FE" w:rsidRDefault="00C37990" w:rsidP="00623817">
            <w:pPr>
              <w:pStyle w:val="Title"/>
              <w:jc w:val="left"/>
              <w:rPr>
                <w:b w:val="0"/>
                <w:sz w:val="22"/>
                <w:szCs w:val="22"/>
              </w:rPr>
            </w:pPr>
            <w:r w:rsidRPr="000664FE">
              <w:rPr>
                <w:b w:val="0"/>
                <w:sz w:val="22"/>
                <w:szCs w:val="22"/>
              </w:rPr>
              <w:t>Outcomes</w:t>
            </w:r>
          </w:p>
        </w:tc>
        <w:tc>
          <w:tcPr>
            <w:tcW w:w="1843" w:type="dxa"/>
            <w:tcBorders>
              <w:top w:val="single" w:sz="12" w:space="0" w:color="auto"/>
            </w:tcBorders>
          </w:tcPr>
          <w:p w14:paraId="7C4ACDD5" w14:textId="6B390E23" w:rsidR="00C37990" w:rsidRPr="00584846" w:rsidRDefault="00C37990" w:rsidP="007A7DA3">
            <w:pPr>
              <w:pStyle w:val="Title"/>
              <w:jc w:val="left"/>
              <w:rPr>
                <w:b w:val="0"/>
                <w:sz w:val="22"/>
                <w:szCs w:val="22"/>
              </w:rPr>
            </w:pPr>
            <w:r>
              <w:rPr>
                <w:b w:val="0"/>
                <w:sz w:val="22"/>
                <w:szCs w:val="22"/>
              </w:rPr>
              <w:t>Leukaemia Care</w:t>
            </w:r>
          </w:p>
        </w:tc>
        <w:tc>
          <w:tcPr>
            <w:tcW w:w="7796" w:type="dxa"/>
            <w:tcBorders>
              <w:top w:val="single" w:sz="12" w:space="0" w:color="auto"/>
            </w:tcBorders>
          </w:tcPr>
          <w:p w14:paraId="190DDD69" w14:textId="06E0560B" w:rsidR="00C37990" w:rsidRPr="007A7DA3" w:rsidRDefault="00C37990" w:rsidP="007A7DA3">
            <w:pPr>
              <w:spacing w:before="60" w:after="60"/>
              <w:rPr>
                <w:bCs/>
                <w:kern w:val="28"/>
              </w:rPr>
            </w:pPr>
            <w:r>
              <w:t xml:space="preserve">MRD status should be considered as an outcome. Having undetectable </w:t>
            </w:r>
            <w:r w:rsidRPr="008E16ED">
              <w:t xml:space="preserve">MRD in the blood or bone marrow is an important </w:t>
            </w:r>
            <w:r>
              <w:t>treatment objective</w:t>
            </w:r>
            <w:r w:rsidRPr="008E16ED">
              <w:t xml:space="preserve"> in patients with CLL</w:t>
            </w:r>
            <w:r>
              <w:t xml:space="preserve"> and</w:t>
            </w:r>
            <w:r w:rsidRPr="008E16ED">
              <w:t xml:space="preserve"> </w:t>
            </w:r>
            <w:r>
              <w:t xml:space="preserve">is </w:t>
            </w:r>
            <w:r w:rsidRPr="008E16ED">
              <w:t>associated with prolonged PFS and overall survival</w:t>
            </w:r>
            <w:r>
              <w:t>.</w:t>
            </w:r>
            <w:r w:rsidRPr="008E16ED">
              <w:t xml:space="preserve"> </w:t>
            </w:r>
            <w:r>
              <w:t xml:space="preserve">  </w:t>
            </w:r>
          </w:p>
        </w:tc>
        <w:tc>
          <w:tcPr>
            <w:tcW w:w="2584" w:type="dxa"/>
            <w:tcBorders>
              <w:top w:val="single" w:sz="12" w:space="0" w:color="auto"/>
            </w:tcBorders>
          </w:tcPr>
          <w:p w14:paraId="43F3B998" w14:textId="0BC84B44" w:rsidR="00C37990" w:rsidRPr="000664FE" w:rsidRDefault="00C37990" w:rsidP="00623817">
            <w:pPr>
              <w:pStyle w:val="Title"/>
              <w:jc w:val="left"/>
              <w:rPr>
                <w:b w:val="0"/>
                <w:sz w:val="22"/>
                <w:szCs w:val="22"/>
              </w:rPr>
            </w:pPr>
            <w:r>
              <w:rPr>
                <w:b w:val="0"/>
                <w:sz w:val="22"/>
                <w:szCs w:val="22"/>
              </w:rPr>
              <w:t xml:space="preserve">Comment noted. Other clinically relevant outcomes may be included in the company’s submission provided </w:t>
            </w:r>
            <w:proofErr w:type="gramStart"/>
            <w:r>
              <w:rPr>
                <w:b w:val="0"/>
                <w:sz w:val="22"/>
                <w:szCs w:val="22"/>
              </w:rPr>
              <w:t>sufficient</w:t>
            </w:r>
            <w:proofErr w:type="gramEnd"/>
            <w:r>
              <w:rPr>
                <w:b w:val="0"/>
                <w:sz w:val="22"/>
                <w:szCs w:val="22"/>
              </w:rPr>
              <w:t xml:space="preserve"> rationale is given to support direct health effects for patients. No changes to the scope required.</w:t>
            </w:r>
          </w:p>
        </w:tc>
      </w:tr>
      <w:tr w:rsidR="00C37990" w:rsidRPr="000664FE" w14:paraId="39E2A230" w14:textId="77777777" w:rsidTr="009C5F05">
        <w:tc>
          <w:tcPr>
            <w:tcW w:w="1951" w:type="dxa"/>
            <w:vMerge/>
          </w:tcPr>
          <w:p w14:paraId="12B2454C" w14:textId="77777777" w:rsidR="00C37990" w:rsidRPr="000664FE" w:rsidRDefault="00C37990" w:rsidP="00623817">
            <w:pPr>
              <w:pStyle w:val="Title"/>
              <w:jc w:val="left"/>
              <w:rPr>
                <w:b w:val="0"/>
                <w:sz w:val="22"/>
                <w:szCs w:val="22"/>
              </w:rPr>
            </w:pPr>
          </w:p>
        </w:tc>
        <w:tc>
          <w:tcPr>
            <w:tcW w:w="1843" w:type="dxa"/>
          </w:tcPr>
          <w:p w14:paraId="5C19217D" w14:textId="78C2C324" w:rsidR="00C37990" w:rsidRPr="00584846" w:rsidRDefault="00C37990" w:rsidP="00623817">
            <w:pPr>
              <w:pStyle w:val="Title"/>
              <w:jc w:val="left"/>
              <w:rPr>
                <w:b w:val="0"/>
                <w:sz w:val="22"/>
                <w:szCs w:val="22"/>
              </w:rPr>
            </w:pPr>
            <w:r>
              <w:rPr>
                <w:b w:val="0"/>
                <w:sz w:val="22"/>
                <w:szCs w:val="22"/>
              </w:rPr>
              <w:t>CLLSA</w:t>
            </w:r>
          </w:p>
        </w:tc>
        <w:tc>
          <w:tcPr>
            <w:tcW w:w="7796" w:type="dxa"/>
          </w:tcPr>
          <w:p w14:paraId="4B26B10B" w14:textId="48532202" w:rsidR="00C37990" w:rsidRPr="00283A43" w:rsidRDefault="00C37990" w:rsidP="00283A43">
            <w:pPr>
              <w:pStyle w:val="BodyText"/>
              <w:rPr>
                <w:b w:val="0"/>
                <w:kern w:val="28"/>
              </w:rPr>
            </w:pPr>
            <w:r w:rsidRPr="009C5F05">
              <w:rPr>
                <w:b w:val="0"/>
                <w:kern w:val="28"/>
              </w:rPr>
              <w:t>Consider assessment of minimal residual disease as a surrogate marker for effectiveness.</w:t>
            </w:r>
          </w:p>
        </w:tc>
        <w:tc>
          <w:tcPr>
            <w:tcW w:w="2584" w:type="dxa"/>
          </w:tcPr>
          <w:p w14:paraId="2662DDC5" w14:textId="2FE4EA1F" w:rsidR="00C37990" w:rsidRPr="00623817" w:rsidRDefault="00C37990" w:rsidP="00623817">
            <w:pPr>
              <w:pStyle w:val="Title"/>
              <w:jc w:val="left"/>
            </w:pPr>
            <w:r>
              <w:rPr>
                <w:b w:val="0"/>
                <w:sz w:val="22"/>
                <w:szCs w:val="22"/>
              </w:rPr>
              <w:t xml:space="preserve">Comment noted. Other clinically relevant outcomes may be included in the company’s submission provided </w:t>
            </w:r>
            <w:proofErr w:type="gramStart"/>
            <w:r>
              <w:rPr>
                <w:b w:val="0"/>
                <w:sz w:val="22"/>
                <w:szCs w:val="22"/>
              </w:rPr>
              <w:t>sufficient</w:t>
            </w:r>
            <w:proofErr w:type="gramEnd"/>
            <w:r>
              <w:rPr>
                <w:b w:val="0"/>
                <w:sz w:val="22"/>
                <w:szCs w:val="22"/>
              </w:rPr>
              <w:t xml:space="preserve"> rationale is given to support direct health effects for patients. No changes to the scope required.</w:t>
            </w:r>
          </w:p>
        </w:tc>
      </w:tr>
      <w:tr w:rsidR="00C37990" w:rsidRPr="000664FE" w14:paraId="1B54A367" w14:textId="77777777" w:rsidTr="009C5F05">
        <w:tc>
          <w:tcPr>
            <w:tcW w:w="1951" w:type="dxa"/>
            <w:vMerge/>
          </w:tcPr>
          <w:p w14:paraId="61D24FCE" w14:textId="77777777" w:rsidR="00C37990" w:rsidRPr="000664FE" w:rsidRDefault="00C37990" w:rsidP="00623817">
            <w:pPr>
              <w:pStyle w:val="Title"/>
              <w:jc w:val="left"/>
              <w:rPr>
                <w:b w:val="0"/>
                <w:sz w:val="22"/>
                <w:szCs w:val="22"/>
              </w:rPr>
            </w:pPr>
          </w:p>
        </w:tc>
        <w:tc>
          <w:tcPr>
            <w:tcW w:w="1843" w:type="dxa"/>
          </w:tcPr>
          <w:p w14:paraId="5C4C854D" w14:textId="04AC212C" w:rsidR="00C37990" w:rsidRDefault="00C37990" w:rsidP="00623817">
            <w:pPr>
              <w:pStyle w:val="Title"/>
              <w:jc w:val="left"/>
              <w:rPr>
                <w:b w:val="0"/>
                <w:sz w:val="22"/>
                <w:szCs w:val="22"/>
              </w:rPr>
            </w:pPr>
            <w:r w:rsidRPr="00C37990">
              <w:rPr>
                <w:b w:val="0"/>
                <w:sz w:val="22"/>
                <w:szCs w:val="22"/>
              </w:rPr>
              <w:t xml:space="preserve">UK CLL FORUM, BSH, </w:t>
            </w:r>
            <w:proofErr w:type="spellStart"/>
            <w:r w:rsidRPr="00C37990">
              <w:rPr>
                <w:b w:val="0"/>
                <w:sz w:val="22"/>
                <w:szCs w:val="22"/>
              </w:rPr>
              <w:t>RCPath</w:t>
            </w:r>
            <w:proofErr w:type="spellEnd"/>
          </w:p>
        </w:tc>
        <w:tc>
          <w:tcPr>
            <w:tcW w:w="7796" w:type="dxa"/>
          </w:tcPr>
          <w:p w14:paraId="2F5F3A46" w14:textId="77777777" w:rsidR="00C37990" w:rsidRPr="00C37990" w:rsidRDefault="00C37990" w:rsidP="00C37990">
            <w:pPr>
              <w:pStyle w:val="BodyText"/>
              <w:rPr>
                <w:b w:val="0"/>
                <w:kern w:val="28"/>
              </w:rPr>
            </w:pPr>
            <w:r w:rsidRPr="00C37990">
              <w:rPr>
                <w:b w:val="0"/>
                <w:kern w:val="28"/>
              </w:rPr>
              <w:t xml:space="preserve">In addition to listed outcome measures we would also recommend adding “health care </w:t>
            </w:r>
            <w:proofErr w:type="gramStart"/>
            <w:r w:rsidRPr="00C37990">
              <w:rPr>
                <w:b w:val="0"/>
                <w:kern w:val="28"/>
              </w:rPr>
              <w:t>utilisation“</w:t>
            </w:r>
            <w:proofErr w:type="gramEnd"/>
            <w:r w:rsidRPr="00C37990">
              <w:rPr>
                <w:b w:val="0"/>
                <w:kern w:val="28"/>
              </w:rPr>
              <w:t xml:space="preserve">, although not routinely collected as part of clinical trials, it is important to look as part of overall cost considerations in looking at comparators. </w:t>
            </w:r>
          </w:p>
          <w:p w14:paraId="734B69B7" w14:textId="77777777" w:rsidR="00C37990" w:rsidRPr="00C37990" w:rsidRDefault="00C37990" w:rsidP="00C37990">
            <w:pPr>
              <w:pStyle w:val="BodyText"/>
              <w:rPr>
                <w:b w:val="0"/>
                <w:kern w:val="28"/>
              </w:rPr>
            </w:pPr>
          </w:p>
          <w:p w14:paraId="7EA2B149" w14:textId="2F238CF7" w:rsidR="00C37990" w:rsidRPr="009C5F05" w:rsidRDefault="00C37990" w:rsidP="00C37990">
            <w:pPr>
              <w:pStyle w:val="BodyText"/>
              <w:rPr>
                <w:b w:val="0"/>
                <w:kern w:val="28"/>
              </w:rPr>
            </w:pPr>
            <w:r w:rsidRPr="00C37990">
              <w:rPr>
                <w:b w:val="0"/>
                <w:kern w:val="28"/>
              </w:rPr>
              <w:t xml:space="preserve">MRD status could </w:t>
            </w:r>
            <w:proofErr w:type="gramStart"/>
            <w:r w:rsidRPr="00C37990">
              <w:rPr>
                <w:b w:val="0"/>
                <w:kern w:val="28"/>
              </w:rPr>
              <w:t>be considered to be</w:t>
            </w:r>
            <w:proofErr w:type="gramEnd"/>
            <w:r w:rsidRPr="00C37990">
              <w:rPr>
                <w:b w:val="0"/>
                <w:kern w:val="28"/>
              </w:rPr>
              <w:t xml:space="preserve"> an appropriate outcome measure.</w:t>
            </w:r>
          </w:p>
        </w:tc>
        <w:tc>
          <w:tcPr>
            <w:tcW w:w="2584" w:type="dxa"/>
          </w:tcPr>
          <w:p w14:paraId="42784750" w14:textId="1DEE2677" w:rsidR="00C37990" w:rsidRDefault="009A2F8C" w:rsidP="00623817">
            <w:pPr>
              <w:pStyle w:val="Title"/>
              <w:jc w:val="left"/>
              <w:rPr>
                <w:b w:val="0"/>
                <w:sz w:val="22"/>
                <w:szCs w:val="22"/>
              </w:rPr>
            </w:pPr>
            <w:r>
              <w:rPr>
                <w:b w:val="0"/>
                <w:sz w:val="22"/>
                <w:szCs w:val="22"/>
              </w:rPr>
              <w:t xml:space="preserve">Comment noted. Other clinically relevant outcomes may be included in the company’s submission </w:t>
            </w:r>
            <w:r>
              <w:rPr>
                <w:b w:val="0"/>
                <w:sz w:val="22"/>
                <w:szCs w:val="22"/>
              </w:rPr>
              <w:lastRenderedPageBreak/>
              <w:t xml:space="preserve">provided </w:t>
            </w:r>
            <w:proofErr w:type="gramStart"/>
            <w:r>
              <w:rPr>
                <w:b w:val="0"/>
                <w:sz w:val="22"/>
                <w:szCs w:val="22"/>
              </w:rPr>
              <w:t>sufficient</w:t>
            </w:r>
            <w:proofErr w:type="gramEnd"/>
            <w:r>
              <w:rPr>
                <w:b w:val="0"/>
                <w:sz w:val="22"/>
                <w:szCs w:val="22"/>
              </w:rPr>
              <w:t xml:space="preserve"> rationale is given to support direct health effects for patients. No changes to the scope required.</w:t>
            </w:r>
          </w:p>
        </w:tc>
      </w:tr>
      <w:tr w:rsidR="00623817" w:rsidRPr="000664FE" w14:paraId="43BCE522" w14:textId="77777777" w:rsidTr="009C5F05">
        <w:tc>
          <w:tcPr>
            <w:tcW w:w="1951" w:type="dxa"/>
            <w:tcBorders>
              <w:top w:val="single" w:sz="12" w:space="0" w:color="auto"/>
            </w:tcBorders>
          </w:tcPr>
          <w:p w14:paraId="7217ADA7" w14:textId="77777777" w:rsidR="00623817" w:rsidRPr="000664FE" w:rsidRDefault="00623817" w:rsidP="00623817">
            <w:pPr>
              <w:pStyle w:val="Title"/>
              <w:jc w:val="left"/>
              <w:rPr>
                <w:b w:val="0"/>
                <w:sz w:val="22"/>
                <w:szCs w:val="22"/>
              </w:rPr>
            </w:pPr>
            <w:r w:rsidRPr="000664FE">
              <w:rPr>
                <w:b w:val="0"/>
                <w:sz w:val="22"/>
                <w:szCs w:val="22"/>
              </w:rPr>
              <w:lastRenderedPageBreak/>
              <w:t>Economic analysis</w:t>
            </w:r>
          </w:p>
        </w:tc>
        <w:tc>
          <w:tcPr>
            <w:tcW w:w="1843" w:type="dxa"/>
            <w:tcBorders>
              <w:top w:val="single" w:sz="12" w:space="0" w:color="auto"/>
            </w:tcBorders>
          </w:tcPr>
          <w:p w14:paraId="116DE532" w14:textId="07C98F9F" w:rsidR="00623817" w:rsidRPr="00584846" w:rsidRDefault="009C5F05" w:rsidP="00623817">
            <w:pPr>
              <w:pStyle w:val="Title"/>
              <w:jc w:val="left"/>
              <w:rPr>
                <w:b w:val="0"/>
                <w:sz w:val="22"/>
                <w:szCs w:val="22"/>
              </w:rPr>
            </w:pPr>
            <w:r>
              <w:rPr>
                <w:b w:val="0"/>
                <w:sz w:val="22"/>
                <w:szCs w:val="22"/>
              </w:rPr>
              <w:t>CLLSA</w:t>
            </w:r>
          </w:p>
        </w:tc>
        <w:tc>
          <w:tcPr>
            <w:tcW w:w="7796" w:type="dxa"/>
            <w:tcBorders>
              <w:top w:val="single" w:sz="12" w:space="0" w:color="auto"/>
            </w:tcBorders>
          </w:tcPr>
          <w:p w14:paraId="3FFE56A7" w14:textId="298EF68C" w:rsidR="00623817" w:rsidRPr="000664FE" w:rsidRDefault="009C5F05" w:rsidP="00623817">
            <w:pPr>
              <w:pStyle w:val="Title"/>
              <w:jc w:val="left"/>
              <w:rPr>
                <w:b w:val="0"/>
                <w:sz w:val="22"/>
                <w:szCs w:val="22"/>
              </w:rPr>
            </w:pPr>
            <w:r>
              <w:rPr>
                <w:b w:val="0"/>
                <w:sz w:val="22"/>
                <w:szCs w:val="22"/>
              </w:rPr>
              <w:t>Yes</w:t>
            </w:r>
          </w:p>
        </w:tc>
        <w:tc>
          <w:tcPr>
            <w:tcW w:w="2584" w:type="dxa"/>
            <w:tcBorders>
              <w:top w:val="single" w:sz="12" w:space="0" w:color="auto"/>
            </w:tcBorders>
          </w:tcPr>
          <w:p w14:paraId="1B4F13F2" w14:textId="4206A8EB" w:rsidR="00623817" w:rsidRPr="000664FE" w:rsidRDefault="001754BC" w:rsidP="00623817">
            <w:pPr>
              <w:pStyle w:val="Title"/>
              <w:jc w:val="left"/>
              <w:rPr>
                <w:b w:val="0"/>
                <w:sz w:val="22"/>
                <w:szCs w:val="22"/>
              </w:rPr>
            </w:pPr>
            <w:r>
              <w:rPr>
                <w:b w:val="0"/>
                <w:sz w:val="22"/>
                <w:szCs w:val="22"/>
              </w:rPr>
              <w:t xml:space="preserve">Comment noted. No </w:t>
            </w:r>
            <w:r w:rsidR="004E61BC">
              <w:rPr>
                <w:b w:val="0"/>
                <w:sz w:val="22"/>
                <w:szCs w:val="22"/>
              </w:rPr>
              <w:t>change to the scope</w:t>
            </w:r>
            <w:r>
              <w:rPr>
                <w:b w:val="0"/>
                <w:sz w:val="22"/>
                <w:szCs w:val="22"/>
              </w:rPr>
              <w:t xml:space="preserve"> required.</w:t>
            </w:r>
          </w:p>
        </w:tc>
      </w:tr>
      <w:tr w:rsidR="00C37990" w:rsidRPr="000664FE" w14:paraId="1489D832" w14:textId="77777777" w:rsidTr="009C5F05">
        <w:tc>
          <w:tcPr>
            <w:tcW w:w="1951" w:type="dxa"/>
            <w:vMerge w:val="restart"/>
            <w:tcBorders>
              <w:top w:val="single" w:sz="12" w:space="0" w:color="auto"/>
            </w:tcBorders>
          </w:tcPr>
          <w:p w14:paraId="1FCF3A5C" w14:textId="77777777" w:rsidR="00C37990" w:rsidRPr="000664FE" w:rsidRDefault="00C37990" w:rsidP="00623817">
            <w:pPr>
              <w:pStyle w:val="Title"/>
              <w:jc w:val="left"/>
              <w:rPr>
                <w:b w:val="0"/>
                <w:sz w:val="22"/>
                <w:szCs w:val="22"/>
              </w:rPr>
            </w:pPr>
            <w:r w:rsidRPr="000664FE">
              <w:rPr>
                <w:b w:val="0"/>
                <w:sz w:val="22"/>
                <w:szCs w:val="22"/>
              </w:rPr>
              <w:t>Equality and Diversity</w:t>
            </w:r>
          </w:p>
        </w:tc>
        <w:tc>
          <w:tcPr>
            <w:tcW w:w="1843" w:type="dxa"/>
            <w:tcBorders>
              <w:top w:val="single" w:sz="12" w:space="0" w:color="auto"/>
            </w:tcBorders>
          </w:tcPr>
          <w:p w14:paraId="6BFEA752" w14:textId="46E3FB67" w:rsidR="00C37990" w:rsidRPr="00584846" w:rsidRDefault="00C37990" w:rsidP="00623817">
            <w:pPr>
              <w:pStyle w:val="Title"/>
              <w:jc w:val="left"/>
              <w:rPr>
                <w:b w:val="0"/>
                <w:sz w:val="22"/>
                <w:szCs w:val="22"/>
              </w:rPr>
            </w:pPr>
            <w:r>
              <w:rPr>
                <w:b w:val="0"/>
                <w:sz w:val="22"/>
                <w:szCs w:val="22"/>
              </w:rPr>
              <w:t>CLLSA</w:t>
            </w:r>
          </w:p>
        </w:tc>
        <w:tc>
          <w:tcPr>
            <w:tcW w:w="7796" w:type="dxa"/>
            <w:tcBorders>
              <w:top w:val="single" w:sz="12" w:space="0" w:color="auto"/>
            </w:tcBorders>
          </w:tcPr>
          <w:p w14:paraId="2365F512" w14:textId="688BF568" w:rsidR="00C37990" w:rsidRPr="000664FE" w:rsidRDefault="00C37990" w:rsidP="00623817">
            <w:pPr>
              <w:pStyle w:val="Title"/>
              <w:jc w:val="left"/>
              <w:rPr>
                <w:b w:val="0"/>
                <w:sz w:val="22"/>
                <w:szCs w:val="22"/>
              </w:rPr>
            </w:pPr>
            <w:r w:rsidRPr="009C5F05">
              <w:rPr>
                <w:b w:val="0"/>
                <w:sz w:val="22"/>
                <w:szCs w:val="22"/>
              </w:rPr>
              <w:t>No issues identified at this stage</w:t>
            </w:r>
          </w:p>
        </w:tc>
        <w:tc>
          <w:tcPr>
            <w:tcW w:w="2584" w:type="dxa"/>
            <w:tcBorders>
              <w:top w:val="single" w:sz="12" w:space="0" w:color="auto"/>
            </w:tcBorders>
          </w:tcPr>
          <w:p w14:paraId="197765D2" w14:textId="1702AADA" w:rsidR="00C37990" w:rsidRPr="000664FE" w:rsidRDefault="00C37990" w:rsidP="00623817">
            <w:pPr>
              <w:pStyle w:val="Title"/>
              <w:jc w:val="left"/>
              <w:rPr>
                <w:b w:val="0"/>
                <w:sz w:val="22"/>
                <w:szCs w:val="22"/>
              </w:rPr>
            </w:pPr>
            <w:r>
              <w:rPr>
                <w:b w:val="0"/>
                <w:sz w:val="22"/>
                <w:szCs w:val="22"/>
              </w:rPr>
              <w:t>Comment noted. No change to the scope required.</w:t>
            </w:r>
          </w:p>
        </w:tc>
      </w:tr>
      <w:tr w:rsidR="00C37990" w:rsidRPr="000664FE" w14:paraId="41D077B3" w14:textId="77777777" w:rsidTr="00A802E3">
        <w:tc>
          <w:tcPr>
            <w:tcW w:w="1951" w:type="dxa"/>
            <w:vMerge/>
          </w:tcPr>
          <w:p w14:paraId="46805936" w14:textId="77777777" w:rsidR="00C37990" w:rsidRPr="000664FE" w:rsidRDefault="00C37990" w:rsidP="00623817">
            <w:pPr>
              <w:pStyle w:val="Title"/>
              <w:jc w:val="left"/>
              <w:rPr>
                <w:b w:val="0"/>
                <w:sz w:val="22"/>
                <w:szCs w:val="22"/>
              </w:rPr>
            </w:pPr>
          </w:p>
        </w:tc>
        <w:tc>
          <w:tcPr>
            <w:tcW w:w="1843" w:type="dxa"/>
            <w:tcBorders>
              <w:top w:val="single" w:sz="12" w:space="0" w:color="auto"/>
            </w:tcBorders>
          </w:tcPr>
          <w:p w14:paraId="44EB3C0B" w14:textId="5981F46E" w:rsidR="00C37990" w:rsidRDefault="00C37990" w:rsidP="00623817">
            <w:pPr>
              <w:pStyle w:val="Title"/>
              <w:jc w:val="left"/>
              <w:rPr>
                <w:b w:val="0"/>
                <w:sz w:val="22"/>
                <w:szCs w:val="22"/>
              </w:rPr>
            </w:pPr>
            <w:r w:rsidRPr="00C37990">
              <w:rPr>
                <w:b w:val="0"/>
                <w:sz w:val="22"/>
                <w:szCs w:val="22"/>
              </w:rPr>
              <w:t xml:space="preserve">UK CLL FORUM, BSH, </w:t>
            </w:r>
            <w:proofErr w:type="spellStart"/>
            <w:r w:rsidRPr="00C37990">
              <w:rPr>
                <w:b w:val="0"/>
                <w:sz w:val="22"/>
                <w:szCs w:val="22"/>
              </w:rPr>
              <w:t>RCPath</w:t>
            </w:r>
            <w:proofErr w:type="spellEnd"/>
          </w:p>
        </w:tc>
        <w:tc>
          <w:tcPr>
            <w:tcW w:w="7796" w:type="dxa"/>
            <w:tcBorders>
              <w:top w:val="single" w:sz="12" w:space="0" w:color="auto"/>
            </w:tcBorders>
          </w:tcPr>
          <w:p w14:paraId="0F6B3A28" w14:textId="3431336A" w:rsidR="00C37990" w:rsidRPr="009C5F05" w:rsidRDefault="00C37990" w:rsidP="00623817">
            <w:pPr>
              <w:pStyle w:val="Title"/>
              <w:jc w:val="left"/>
              <w:rPr>
                <w:b w:val="0"/>
                <w:sz w:val="22"/>
                <w:szCs w:val="22"/>
              </w:rPr>
            </w:pPr>
            <w:r>
              <w:rPr>
                <w:b w:val="0"/>
                <w:sz w:val="22"/>
                <w:szCs w:val="22"/>
              </w:rPr>
              <w:t>No issues</w:t>
            </w:r>
          </w:p>
        </w:tc>
        <w:tc>
          <w:tcPr>
            <w:tcW w:w="2584" w:type="dxa"/>
            <w:tcBorders>
              <w:top w:val="single" w:sz="12" w:space="0" w:color="auto"/>
            </w:tcBorders>
          </w:tcPr>
          <w:p w14:paraId="1FA2C0F0" w14:textId="7966F1A2" w:rsidR="00C37990" w:rsidRDefault="009A2F8C" w:rsidP="00623817">
            <w:pPr>
              <w:pStyle w:val="Title"/>
              <w:jc w:val="left"/>
              <w:rPr>
                <w:b w:val="0"/>
                <w:sz w:val="22"/>
                <w:szCs w:val="22"/>
              </w:rPr>
            </w:pPr>
            <w:r>
              <w:rPr>
                <w:b w:val="0"/>
                <w:sz w:val="22"/>
                <w:szCs w:val="22"/>
              </w:rPr>
              <w:t>Comment noted. No change to the scope required.</w:t>
            </w:r>
          </w:p>
        </w:tc>
      </w:tr>
      <w:tr w:rsidR="00623817" w:rsidRPr="000664FE" w14:paraId="4D4936BD" w14:textId="77777777" w:rsidTr="009C5F05">
        <w:tc>
          <w:tcPr>
            <w:tcW w:w="1951" w:type="dxa"/>
            <w:vMerge w:val="restart"/>
            <w:tcBorders>
              <w:top w:val="single" w:sz="12" w:space="0" w:color="auto"/>
            </w:tcBorders>
          </w:tcPr>
          <w:p w14:paraId="1BE13EF6" w14:textId="77777777" w:rsidR="00623817" w:rsidRPr="000664FE" w:rsidRDefault="00623817" w:rsidP="00623817">
            <w:pPr>
              <w:pStyle w:val="Title"/>
              <w:jc w:val="left"/>
              <w:rPr>
                <w:b w:val="0"/>
                <w:sz w:val="22"/>
                <w:szCs w:val="22"/>
              </w:rPr>
            </w:pPr>
            <w:r w:rsidRPr="000664FE">
              <w:rPr>
                <w:b w:val="0"/>
                <w:sz w:val="22"/>
                <w:szCs w:val="22"/>
              </w:rPr>
              <w:t xml:space="preserve">Other considerations </w:t>
            </w:r>
          </w:p>
        </w:tc>
        <w:tc>
          <w:tcPr>
            <w:tcW w:w="1843" w:type="dxa"/>
            <w:tcBorders>
              <w:top w:val="single" w:sz="12" w:space="0" w:color="auto"/>
            </w:tcBorders>
          </w:tcPr>
          <w:p w14:paraId="2B391A24" w14:textId="542D3394" w:rsidR="00623817" w:rsidRPr="00584846" w:rsidRDefault="0029503F" w:rsidP="00623817">
            <w:pPr>
              <w:pStyle w:val="Title"/>
              <w:jc w:val="left"/>
              <w:rPr>
                <w:b w:val="0"/>
                <w:sz w:val="22"/>
                <w:szCs w:val="22"/>
              </w:rPr>
            </w:pPr>
            <w:r>
              <w:rPr>
                <w:b w:val="0"/>
                <w:sz w:val="22"/>
                <w:szCs w:val="22"/>
              </w:rPr>
              <w:t>AbbVie</w:t>
            </w:r>
          </w:p>
        </w:tc>
        <w:tc>
          <w:tcPr>
            <w:tcW w:w="7796" w:type="dxa"/>
            <w:tcBorders>
              <w:top w:val="single" w:sz="12" w:space="0" w:color="auto"/>
            </w:tcBorders>
          </w:tcPr>
          <w:p w14:paraId="69C7E18C" w14:textId="77777777" w:rsidR="0029503F" w:rsidRPr="00A75B8D" w:rsidRDefault="0029503F" w:rsidP="0029503F">
            <w:pPr>
              <w:pStyle w:val="BodyText2"/>
              <w:keepLines/>
              <w:spacing w:before="60" w:after="60" w:line="240" w:lineRule="auto"/>
              <w:rPr>
                <w:i/>
              </w:rPr>
            </w:pPr>
            <w:r>
              <w:t>This should be amended to: “</w:t>
            </w:r>
            <w:r w:rsidRPr="00A75B8D">
              <w:rPr>
                <w:i/>
              </w:rPr>
              <w:t>If the evidence allows the following subgroups will be considered:</w:t>
            </w:r>
          </w:p>
          <w:p w14:paraId="3424AB8D" w14:textId="77777777" w:rsidR="0029503F" w:rsidRPr="00A75B8D" w:rsidRDefault="0029503F" w:rsidP="0029503F">
            <w:pPr>
              <w:keepLines/>
              <w:numPr>
                <w:ilvl w:val="0"/>
                <w:numId w:val="22"/>
              </w:numPr>
              <w:spacing w:before="60" w:after="60"/>
              <w:rPr>
                <w:i/>
              </w:rPr>
            </w:pPr>
            <w:r w:rsidRPr="00A75B8D">
              <w:rPr>
                <w:i/>
              </w:rPr>
              <w:t>people with untreated CLL with</w:t>
            </w:r>
            <w:r w:rsidRPr="00A75B8D">
              <w:rPr>
                <w:b/>
                <w:i/>
                <w:strike/>
              </w:rPr>
              <w:t>out</w:t>
            </w:r>
            <w:r w:rsidRPr="00A75B8D">
              <w:rPr>
                <w:i/>
              </w:rPr>
              <w:t xml:space="preserve"> del(17p) or TP53 mutation</w:t>
            </w:r>
            <w:r>
              <w:rPr>
                <w:i/>
              </w:rPr>
              <w:t>”</w:t>
            </w:r>
          </w:p>
          <w:p w14:paraId="48ACA873" w14:textId="7DD60514" w:rsidR="00623817" w:rsidRPr="000664FE" w:rsidRDefault="0029503F" w:rsidP="0029503F">
            <w:pPr>
              <w:pStyle w:val="Title"/>
              <w:jc w:val="left"/>
              <w:rPr>
                <w:b w:val="0"/>
                <w:sz w:val="22"/>
                <w:szCs w:val="22"/>
              </w:rPr>
            </w:pPr>
            <w:r w:rsidRPr="0029503F">
              <w:rPr>
                <w:b w:val="0"/>
                <w:bCs w:val="0"/>
                <w:kern w:val="0"/>
                <w:sz w:val="22"/>
                <w:szCs w:val="22"/>
              </w:rPr>
              <w:t>People with del/(17p) or TP53 mutation are the sub-population of interest due to the higher risk profile.</w:t>
            </w:r>
          </w:p>
        </w:tc>
        <w:tc>
          <w:tcPr>
            <w:tcW w:w="2584" w:type="dxa"/>
            <w:tcBorders>
              <w:top w:val="single" w:sz="12" w:space="0" w:color="auto"/>
            </w:tcBorders>
          </w:tcPr>
          <w:p w14:paraId="22C727A9" w14:textId="0ED1BF6C" w:rsidR="00623817" w:rsidRPr="000664FE" w:rsidRDefault="000352DF" w:rsidP="00623817">
            <w:pPr>
              <w:pStyle w:val="Title"/>
              <w:jc w:val="left"/>
              <w:rPr>
                <w:b w:val="0"/>
                <w:sz w:val="22"/>
                <w:szCs w:val="22"/>
              </w:rPr>
            </w:pPr>
            <w:r>
              <w:rPr>
                <w:b w:val="0"/>
                <w:sz w:val="22"/>
                <w:szCs w:val="22"/>
              </w:rPr>
              <w:t>Comment noted. The scope has been updated.</w:t>
            </w:r>
          </w:p>
        </w:tc>
      </w:tr>
      <w:tr w:rsidR="00623817" w:rsidRPr="000664FE" w14:paraId="1147E160" w14:textId="77777777" w:rsidTr="009C5F05">
        <w:tc>
          <w:tcPr>
            <w:tcW w:w="1951" w:type="dxa"/>
            <w:vMerge/>
            <w:tcBorders>
              <w:top w:val="single" w:sz="12" w:space="0" w:color="auto"/>
            </w:tcBorders>
          </w:tcPr>
          <w:p w14:paraId="0CC5E148" w14:textId="77777777" w:rsidR="00623817" w:rsidRPr="000664FE" w:rsidRDefault="00623817" w:rsidP="00623817">
            <w:pPr>
              <w:pStyle w:val="Title"/>
              <w:jc w:val="left"/>
              <w:rPr>
                <w:b w:val="0"/>
                <w:sz w:val="22"/>
                <w:szCs w:val="22"/>
              </w:rPr>
            </w:pPr>
          </w:p>
        </w:tc>
        <w:tc>
          <w:tcPr>
            <w:tcW w:w="1843" w:type="dxa"/>
          </w:tcPr>
          <w:p w14:paraId="1E603ADC" w14:textId="69E214AE" w:rsidR="00623817" w:rsidRPr="00584846" w:rsidRDefault="003218C1" w:rsidP="00623817">
            <w:pPr>
              <w:pStyle w:val="Title"/>
              <w:jc w:val="left"/>
              <w:rPr>
                <w:b w:val="0"/>
                <w:sz w:val="22"/>
                <w:szCs w:val="22"/>
              </w:rPr>
            </w:pPr>
            <w:r>
              <w:rPr>
                <w:b w:val="0"/>
                <w:sz w:val="22"/>
                <w:szCs w:val="22"/>
              </w:rPr>
              <w:t>Janssen-</w:t>
            </w:r>
            <w:proofErr w:type="spellStart"/>
            <w:r>
              <w:rPr>
                <w:b w:val="0"/>
                <w:sz w:val="22"/>
                <w:szCs w:val="22"/>
              </w:rPr>
              <w:t>Cilag</w:t>
            </w:r>
            <w:proofErr w:type="spellEnd"/>
          </w:p>
        </w:tc>
        <w:tc>
          <w:tcPr>
            <w:tcW w:w="7796" w:type="dxa"/>
          </w:tcPr>
          <w:p w14:paraId="2140480E" w14:textId="77777777" w:rsidR="003218C1" w:rsidRDefault="003218C1" w:rsidP="003218C1">
            <w:pPr>
              <w:spacing w:before="60" w:after="60"/>
            </w:pPr>
            <w:r>
              <w:t xml:space="preserve">In addition to the two subgroups listed in the draft scope (“people with untreated CLL </w:t>
            </w:r>
            <w:bookmarkStart w:id="2" w:name="_Hlk11672714"/>
            <w:r w:rsidRPr="005313BB">
              <w:t>without del</w:t>
            </w:r>
            <w:r>
              <w:t>(</w:t>
            </w:r>
            <w:r w:rsidRPr="005313BB">
              <w:t>17p</w:t>
            </w:r>
            <w:r>
              <w:t>)</w:t>
            </w:r>
            <w:r w:rsidRPr="005313BB">
              <w:t xml:space="preserve"> </w:t>
            </w:r>
            <w:r>
              <w:t>or</w:t>
            </w:r>
            <w:r w:rsidRPr="005313BB">
              <w:t xml:space="preserve"> TP53 mutation</w:t>
            </w:r>
            <w:r>
              <w:t xml:space="preserve">”; </w:t>
            </w:r>
            <w:bookmarkEnd w:id="2"/>
            <w:r>
              <w:t>“</w:t>
            </w:r>
            <w:r w:rsidRPr="000670AB">
              <w:t xml:space="preserve">people </w:t>
            </w:r>
            <w:r>
              <w:t xml:space="preserve">with untreated CLL </w:t>
            </w:r>
            <w:r w:rsidRPr="000670AB">
              <w:t>for whom fludarabine-based therapy is unsuitable</w:t>
            </w:r>
            <w:r>
              <w:t xml:space="preserve">)”, the following subgroup should be considered: “people with untreated CLL for whom bendamustine-based therapy is unsuitable”. </w:t>
            </w:r>
          </w:p>
          <w:p w14:paraId="3A1909B1" w14:textId="77777777" w:rsidR="003218C1" w:rsidRDefault="003218C1" w:rsidP="003218C1">
            <w:pPr>
              <w:spacing w:before="60" w:after="60"/>
            </w:pPr>
            <w:r>
              <w:t xml:space="preserve">There are two reasons for this: </w:t>
            </w:r>
          </w:p>
          <w:p w14:paraId="6D95A583" w14:textId="77777777" w:rsidR="003218C1" w:rsidRDefault="003218C1" w:rsidP="003218C1">
            <w:pPr>
              <w:numPr>
                <w:ilvl w:val="0"/>
                <w:numId w:val="24"/>
              </w:numPr>
              <w:spacing w:before="60" w:after="60"/>
            </w:pPr>
            <w:r>
              <w:lastRenderedPageBreak/>
              <w:t>to accurately reflect the full list of comparators in the draft scope and more specifically chlorambucil with or without rituximab/</w:t>
            </w:r>
            <w:proofErr w:type="spellStart"/>
            <w:r>
              <w:t>obinutuzumab</w:t>
            </w:r>
            <w:proofErr w:type="spellEnd"/>
            <w:r>
              <w:t>;</w:t>
            </w:r>
          </w:p>
          <w:p w14:paraId="6CBECA22" w14:textId="20FB871B" w:rsidR="00623817" w:rsidRPr="00623817" w:rsidRDefault="003218C1" w:rsidP="003218C1">
            <w:pPr>
              <w:spacing w:after="240"/>
            </w:pPr>
            <w:r>
              <w:t xml:space="preserve">to be aligned with NICE TA343 that states that chlorambucil with </w:t>
            </w:r>
            <w:proofErr w:type="spellStart"/>
            <w:r>
              <w:t>obinutuzumab</w:t>
            </w:r>
            <w:proofErr w:type="spellEnd"/>
            <w:r>
              <w:t xml:space="preserve"> is recommended for untreated CLL patients if “bendamustine-based therapy is not suitable”.</w:t>
            </w:r>
          </w:p>
        </w:tc>
        <w:tc>
          <w:tcPr>
            <w:tcW w:w="2584" w:type="dxa"/>
          </w:tcPr>
          <w:p w14:paraId="6E5D6DBD" w14:textId="623E8ADD" w:rsidR="00623817" w:rsidRPr="000664FE" w:rsidRDefault="000352DF" w:rsidP="00623817">
            <w:pPr>
              <w:pStyle w:val="Title"/>
              <w:jc w:val="left"/>
              <w:rPr>
                <w:b w:val="0"/>
                <w:sz w:val="22"/>
                <w:szCs w:val="22"/>
              </w:rPr>
            </w:pPr>
            <w:r>
              <w:rPr>
                <w:b w:val="0"/>
                <w:sz w:val="22"/>
                <w:szCs w:val="22"/>
              </w:rPr>
              <w:lastRenderedPageBreak/>
              <w:t>Comment noted. The scope has been updated.</w:t>
            </w:r>
          </w:p>
        </w:tc>
      </w:tr>
      <w:tr w:rsidR="00C37990" w:rsidRPr="000664FE" w14:paraId="6D19AF40" w14:textId="77777777" w:rsidTr="009C5F05">
        <w:tc>
          <w:tcPr>
            <w:tcW w:w="1951" w:type="dxa"/>
            <w:vMerge w:val="restart"/>
            <w:tcBorders>
              <w:top w:val="single" w:sz="12" w:space="0" w:color="auto"/>
            </w:tcBorders>
          </w:tcPr>
          <w:p w14:paraId="58A13800" w14:textId="77777777" w:rsidR="00C37990" w:rsidRPr="000664FE" w:rsidRDefault="00C37990" w:rsidP="00623817">
            <w:pPr>
              <w:pStyle w:val="Title"/>
              <w:jc w:val="left"/>
              <w:rPr>
                <w:b w:val="0"/>
                <w:sz w:val="22"/>
                <w:szCs w:val="22"/>
              </w:rPr>
            </w:pPr>
            <w:r w:rsidRPr="000664FE">
              <w:rPr>
                <w:b w:val="0"/>
                <w:sz w:val="22"/>
                <w:szCs w:val="22"/>
              </w:rPr>
              <w:t>Innovation</w:t>
            </w:r>
          </w:p>
        </w:tc>
        <w:tc>
          <w:tcPr>
            <w:tcW w:w="1843" w:type="dxa"/>
            <w:tcBorders>
              <w:top w:val="single" w:sz="12" w:space="0" w:color="auto"/>
            </w:tcBorders>
          </w:tcPr>
          <w:p w14:paraId="3BEE38A8" w14:textId="3D45F763" w:rsidR="00C37990" w:rsidRPr="00584846" w:rsidRDefault="00C37990" w:rsidP="009C5F05">
            <w:pPr>
              <w:pStyle w:val="Title"/>
              <w:jc w:val="left"/>
              <w:rPr>
                <w:b w:val="0"/>
                <w:sz w:val="22"/>
                <w:szCs w:val="22"/>
              </w:rPr>
            </w:pPr>
            <w:r>
              <w:rPr>
                <w:b w:val="0"/>
                <w:sz w:val="22"/>
                <w:szCs w:val="22"/>
              </w:rPr>
              <w:t>AbbVie</w:t>
            </w:r>
          </w:p>
        </w:tc>
        <w:tc>
          <w:tcPr>
            <w:tcW w:w="7796" w:type="dxa"/>
            <w:tcBorders>
              <w:top w:val="single" w:sz="12" w:space="0" w:color="auto"/>
            </w:tcBorders>
          </w:tcPr>
          <w:p w14:paraId="4030767E" w14:textId="77777777" w:rsidR="00C37990" w:rsidRPr="000868D8" w:rsidRDefault="00C37990" w:rsidP="0029503F">
            <w:pPr>
              <w:spacing w:before="60" w:after="60"/>
            </w:pPr>
            <w:r w:rsidRPr="000868D8">
              <w:t xml:space="preserve">There are limited options for untreated CLL. </w:t>
            </w:r>
          </w:p>
          <w:p w14:paraId="1E3E9E56" w14:textId="77777777" w:rsidR="00C37990" w:rsidRDefault="00C37990" w:rsidP="0029503F">
            <w:pPr>
              <w:spacing w:before="60" w:after="60"/>
            </w:pPr>
          </w:p>
          <w:p w14:paraId="634D058F" w14:textId="77777777" w:rsidR="00C37990" w:rsidRPr="000868D8" w:rsidRDefault="00C37990" w:rsidP="0029503F">
            <w:pPr>
              <w:spacing w:before="60" w:after="60"/>
            </w:pPr>
            <w:r w:rsidRPr="000868D8">
              <w:t xml:space="preserve">Chlorambucil based chemo-immunotherapy has been the </w:t>
            </w:r>
            <w:proofErr w:type="gramStart"/>
            <w:r w:rsidRPr="000868D8">
              <w:t>back bone</w:t>
            </w:r>
            <w:proofErr w:type="gramEnd"/>
            <w:r w:rsidRPr="000868D8">
              <w:t xml:space="preserve"> of untreated CLL w</w:t>
            </w:r>
            <w:proofErr w:type="spellStart"/>
            <w:r w:rsidRPr="000868D8">
              <w:rPr>
                <w:lang w:val="en"/>
              </w:rPr>
              <w:t>ithout</w:t>
            </w:r>
            <w:proofErr w:type="spellEnd"/>
            <w:r w:rsidRPr="000868D8">
              <w:rPr>
                <w:lang w:val="en"/>
              </w:rPr>
              <w:t xml:space="preserve"> a del(17p) or TP53 mutation</w:t>
            </w:r>
            <w:r>
              <w:rPr>
                <w:lang w:val="en"/>
              </w:rPr>
              <w:t xml:space="preserve"> in patients who are unfit for FCR. However, there is an unmet need for a broader range of therapeutic options with a different mechanism of action that are effective and can provide deep responses.</w:t>
            </w:r>
          </w:p>
          <w:p w14:paraId="1CDB2142" w14:textId="77777777" w:rsidR="00C37990" w:rsidRDefault="00C37990" w:rsidP="0029503F">
            <w:pPr>
              <w:spacing w:before="60" w:after="60"/>
            </w:pPr>
          </w:p>
          <w:p w14:paraId="1D97A071" w14:textId="77777777" w:rsidR="00C37990" w:rsidRDefault="00C37990" w:rsidP="0029503F">
            <w:pPr>
              <w:spacing w:before="60" w:after="60"/>
              <w:rPr>
                <w:lang w:val="en"/>
              </w:rPr>
            </w:pPr>
            <w:r>
              <w:t>The advent of B Cell receptor inhibitors (</w:t>
            </w:r>
            <w:proofErr w:type="spellStart"/>
            <w:r>
              <w:t>BCRi</w:t>
            </w:r>
            <w:proofErr w:type="spellEnd"/>
            <w:r>
              <w:t xml:space="preserve">) such as ibrutinib has reduced the reliance on toxic chemo- based regimens in </w:t>
            </w:r>
            <w:r w:rsidRPr="000868D8">
              <w:t>untreated CLL w</w:t>
            </w:r>
            <w:proofErr w:type="spellStart"/>
            <w:r w:rsidRPr="000868D8">
              <w:rPr>
                <w:lang w:val="en"/>
              </w:rPr>
              <w:t>ith</w:t>
            </w:r>
            <w:proofErr w:type="spellEnd"/>
            <w:r w:rsidRPr="000868D8">
              <w:rPr>
                <w:lang w:val="en"/>
              </w:rPr>
              <w:t xml:space="preserve"> a del(17p) or TP53 mutation</w:t>
            </w:r>
            <w:r>
              <w:rPr>
                <w:lang w:val="en"/>
              </w:rPr>
              <w:t>. However, there is a high unmet need in patients with cardiac risk factors who cannot tolerate ibrutinib. Furthermore, there is a high unmet need for treatments with alternative mechanisms of action</w:t>
            </w:r>
          </w:p>
          <w:p w14:paraId="5CF2E31E" w14:textId="77777777" w:rsidR="00C37990" w:rsidRDefault="00C37990" w:rsidP="0029503F">
            <w:pPr>
              <w:spacing w:before="60" w:after="60"/>
              <w:rPr>
                <w:lang w:val="en"/>
              </w:rPr>
            </w:pPr>
          </w:p>
          <w:p w14:paraId="6CFFEE75" w14:textId="77777777" w:rsidR="00C37990" w:rsidRDefault="00C37990" w:rsidP="0029503F">
            <w:pPr>
              <w:spacing w:before="60" w:after="60"/>
              <w:rPr>
                <w:lang w:eastAsia="en-GB"/>
              </w:rPr>
            </w:pPr>
            <w:proofErr w:type="spellStart"/>
            <w:r>
              <w:rPr>
                <w:lang w:eastAsia="en-GB"/>
              </w:rPr>
              <w:t>Venetoclax</w:t>
            </w:r>
            <w:proofErr w:type="spellEnd"/>
            <w:r w:rsidRPr="00927237">
              <w:rPr>
                <w:lang w:eastAsia="en-GB"/>
              </w:rPr>
              <w:t xml:space="preserve"> is a first-in-class, oral, selective inhibitor of BCL-2, with a </w:t>
            </w:r>
            <w:r>
              <w:rPr>
                <w:lang w:eastAsia="en-GB"/>
              </w:rPr>
              <w:t xml:space="preserve">unique </w:t>
            </w:r>
            <w:r w:rsidRPr="00927237">
              <w:rPr>
                <w:lang w:eastAsia="en-GB"/>
              </w:rPr>
              <w:t xml:space="preserve">targeted mechanism of action that </w:t>
            </w:r>
            <w:r>
              <w:rPr>
                <w:lang w:eastAsia="en-GB"/>
              </w:rPr>
              <w:t>distinguishes it</w:t>
            </w:r>
            <w:r w:rsidRPr="00927237">
              <w:rPr>
                <w:lang w:eastAsia="en-GB"/>
              </w:rPr>
              <w:t xml:space="preserve"> from other available therapies</w:t>
            </w:r>
            <w:r>
              <w:rPr>
                <w:lang w:eastAsia="en-GB"/>
              </w:rPr>
              <w:t>.</w:t>
            </w:r>
          </w:p>
          <w:p w14:paraId="316BE24F" w14:textId="77777777" w:rsidR="00C37990" w:rsidRDefault="00C37990" w:rsidP="0029503F">
            <w:pPr>
              <w:spacing w:before="60" w:after="60"/>
            </w:pPr>
          </w:p>
          <w:p w14:paraId="12D5C871" w14:textId="77777777" w:rsidR="00C37990" w:rsidRDefault="00C37990" w:rsidP="0029503F">
            <w:pPr>
              <w:spacing w:before="60" w:after="60"/>
            </w:pPr>
            <w:r>
              <w:t xml:space="preserve">As demonstrated in the CLL14 trial, </w:t>
            </w:r>
            <w:proofErr w:type="spellStart"/>
            <w:r>
              <w:t>venetoclax</w:t>
            </w:r>
            <w:proofErr w:type="spellEnd"/>
            <w:r>
              <w:t xml:space="preserve"> in combination with </w:t>
            </w:r>
            <w:proofErr w:type="spellStart"/>
            <w:r>
              <w:t>obinutuzumab</w:t>
            </w:r>
            <w:proofErr w:type="spellEnd"/>
            <w:r>
              <w:t xml:space="preserve"> has the potential to further improve the range of treatment options and provides substantial health-related benefits in the form of:</w:t>
            </w:r>
          </w:p>
          <w:p w14:paraId="2E77656D" w14:textId="77777777" w:rsidR="00C37990" w:rsidRDefault="00C37990" w:rsidP="0029503F">
            <w:pPr>
              <w:numPr>
                <w:ilvl w:val="0"/>
                <w:numId w:val="23"/>
              </w:numPr>
              <w:spacing w:before="60" w:after="60"/>
            </w:pPr>
            <w:r w:rsidRPr="00FE0026">
              <w:rPr>
                <w:b/>
              </w:rPr>
              <w:lastRenderedPageBreak/>
              <w:t>Fixed treatment duration chemo-free therapy</w:t>
            </w:r>
            <w:r>
              <w:t>, enabling significant proportions of patients prolonged time without therapy, reducing the overall significant cost burden of therapy, especially when contrasted to daily, treatment-to-progression alternative therapies such as BCRIs</w:t>
            </w:r>
          </w:p>
          <w:p w14:paraId="357AE04A" w14:textId="77777777" w:rsidR="00C37990" w:rsidRPr="004552BD" w:rsidRDefault="00C37990" w:rsidP="0029503F">
            <w:pPr>
              <w:numPr>
                <w:ilvl w:val="0"/>
                <w:numId w:val="23"/>
              </w:numPr>
              <w:spacing w:before="60" w:after="60"/>
            </w:pPr>
            <w:r>
              <w:rPr>
                <w:b/>
              </w:rPr>
              <w:t xml:space="preserve">Avoids the need for chemo-immunotherapy, </w:t>
            </w:r>
            <w:r w:rsidRPr="004552BD">
              <w:t>which creates mutations/clonal evolution</w:t>
            </w:r>
          </w:p>
          <w:p w14:paraId="45FB3A9E" w14:textId="77777777" w:rsidR="00C37990" w:rsidRDefault="00C37990" w:rsidP="0029503F">
            <w:pPr>
              <w:numPr>
                <w:ilvl w:val="0"/>
                <w:numId w:val="23"/>
              </w:numPr>
              <w:spacing w:before="60" w:after="60"/>
            </w:pPr>
            <w:r>
              <w:rPr>
                <w:b/>
              </w:rPr>
              <w:t>Manageable side effect profile</w:t>
            </w:r>
          </w:p>
          <w:p w14:paraId="3D006B02" w14:textId="732CF6C2" w:rsidR="00C37990" w:rsidRPr="0029503F" w:rsidRDefault="00C37990" w:rsidP="00857B3D">
            <w:pPr>
              <w:numPr>
                <w:ilvl w:val="0"/>
                <w:numId w:val="23"/>
              </w:numPr>
              <w:spacing w:before="60" w:after="60"/>
            </w:pPr>
            <w:r w:rsidRPr="00FE0026">
              <w:rPr>
                <w:b/>
              </w:rPr>
              <w:t>Significant rates of</w:t>
            </w:r>
            <w:r>
              <w:rPr>
                <w:b/>
              </w:rPr>
              <w:t xml:space="preserve"> undetectable Minimal Residual Disease</w:t>
            </w:r>
            <w:r w:rsidRPr="00FE0026">
              <w:rPr>
                <w:b/>
              </w:rPr>
              <w:t xml:space="preserve"> </w:t>
            </w:r>
            <w:r>
              <w:rPr>
                <w:b/>
              </w:rPr>
              <w:t>(</w:t>
            </w:r>
            <w:r w:rsidRPr="00FE0026">
              <w:rPr>
                <w:b/>
              </w:rPr>
              <w:t>MRD</w:t>
            </w:r>
            <w:r>
              <w:rPr>
                <w:b/>
              </w:rPr>
              <w:t>)</w:t>
            </w:r>
            <w:r w:rsidRPr="00FE0026">
              <w:rPr>
                <w:b/>
              </w:rPr>
              <w:t xml:space="preserve"> </w:t>
            </w:r>
            <w:r>
              <w:t>being achieved from a targeted, chemo-free therapy combination, indicating deep responses to treatment</w:t>
            </w:r>
          </w:p>
        </w:tc>
        <w:tc>
          <w:tcPr>
            <w:tcW w:w="2584" w:type="dxa"/>
            <w:tcBorders>
              <w:top w:val="single" w:sz="12" w:space="0" w:color="auto"/>
            </w:tcBorders>
          </w:tcPr>
          <w:p w14:paraId="54160DBB" w14:textId="23F9EF2A" w:rsidR="00C37990" w:rsidRPr="000664FE" w:rsidRDefault="00C37990" w:rsidP="00623817">
            <w:pPr>
              <w:pStyle w:val="Title"/>
              <w:jc w:val="left"/>
              <w:rPr>
                <w:b w:val="0"/>
                <w:sz w:val="22"/>
                <w:szCs w:val="22"/>
              </w:rPr>
            </w:pPr>
            <w:r>
              <w:rPr>
                <w:b w:val="0"/>
                <w:sz w:val="22"/>
                <w:szCs w:val="22"/>
              </w:rPr>
              <w:lastRenderedPageBreak/>
              <w:t xml:space="preserve">Comments on innovation noted. The committee will consider the innovative nature of the technology </w:t>
            </w:r>
            <w:proofErr w:type="gramStart"/>
            <w:r>
              <w:rPr>
                <w:b w:val="0"/>
                <w:sz w:val="22"/>
                <w:szCs w:val="22"/>
              </w:rPr>
              <w:t>during the course of</w:t>
            </w:r>
            <w:proofErr w:type="gramEnd"/>
            <w:r>
              <w:rPr>
                <w:b w:val="0"/>
                <w:sz w:val="22"/>
                <w:szCs w:val="22"/>
              </w:rPr>
              <w:t xml:space="preserve"> the appraisal.</w:t>
            </w:r>
          </w:p>
        </w:tc>
      </w:tr>
      <w:tr w:rsidR="00C37990" w:rsidRPr="000664FE" w14:paraId="25489464" w14:textId="77777777" w:rsidTr="009C5F05">
        <w:tc>
          <w:tcPr>
            <w:tcW w:w="1951" w:type="dxa"/>
            <w:vMerge/>
          </w:tcPr>
          <w:p w14:paraId="0D650ECF" w14:textId="77777777" w:rsidR="00C37990" w:rsidRPr="000664FE" w:rsidRDefault="00C37990" w:rsidP="00623817">
            <w:pPr>
              <w:pStyle w:val="Title"/>
              <w:jc w:val="left"/>
              <w:rPr>
                <w:b w:val="0"/>
                <w:sz w:val="22"/>
                <w:szCs w:val="22"/>
              </w:rPr>
            </w:pPr>
          </w:p>
        </w:tc>
        <w:tc>
          <w:tcPr>
            <w:tcW w:w="1843" w:type="dxa"/>
          </w:tcPr>
          <w:p w14:paraId="78F5C5AE" w14:textId="4590C99D" w:rsidR="00C37990" w:rsidRPr="00584846" w:rsidRDefault="00C37990" w:rsidP="00623817">
            <w:pPr>
              <w:pStyle w:val="Title"/>
              <w:jc w:val="left"/>
              <w:rPr>
                <w:b w:val="0"/>
                <w:sz w:val="22"/>
                <w:szCs w:val="22"/>
              </w:rPr>
            </w:pPr>
            <w:r>
              <w:rPr>
                <w:b w:val="0"/>
                <w:sz w:val="22"/>
                <w:szCs w:val="22"/>
              </w:rPr>
              <w:t>Leukaemia Care</w:t>
            </w:r>
          </w:p>
        </w:tc>
        <w:tc>
          <w:tcPr>
            <w:tcW w:w="7796" w:type="dxa"/>
          </w:tcPr>
          <w:p w14:paraId="5E9355D7" w14:textId="77777777" w:rsidR="00C37990" w:rsidRDefault="00C37990" w:rsidP="004614E3">
            <w:pPr>
              <w:spacing w:before="60" w:after="60"/>
            </w:pPr>
            <w:r>
              <w:t xml:space="preserve">Yes, this is a first or a step change for CLL treatment front-line for patients who are ineligible for chemotherapy. The unique aspects of this treatment </w:t>
            </w:r>
            <w:proofErr w:type="gramStart"/>
            <w:r>
              <w:t>is</w:t>
            </w:r>
            <w:proofErr w:type="gramEnd"/>
            <w:r>
              <w:t xml:space="preserve"> that it is a targeted, non-chemotherapy, combination treatment of a fixed duration, achieving high levels of MRD negativity/undetectable in a population which historically have been hard to treat.  </w:t>
            </w:r>
          </w:p>
          <w:p w14:paraId="5550EFB9" w14:textId="77777777" w:rsidR="00C37990" w:rsidRDefault="00C37990" w:rsidP="004614E3">
            <w:pPr>
              <w:spacing w:before="60" w:after="60"/>
            </w:pPr>
          </w:p>
          <w:p w14:paraId="07ADA40B" w14:textId="4365D767" w:rsidR="00C37990" w:rsidRPr="004614E3" w:rsidRDefault="00C37990" w:rsidP="004614E3">
            <w:pPr>
              <w:spacing w:before="60" w:after="60"/>
            </w:pPr>
            <w:r>
              <w:t>It also offers an alternative to a continuous therapy for those with a TP53 deletion or mutation, and therefore potentially a break from treatment side effects, which patients see as particularly important in terms of quality of life.</w:t>
            </w:r>
          </w:p>
        </w:tc>
        <w:tc>
          <w:tcPr>
            <w:tcW w:w="2584" w:type="dxa"/>
          </w:tcPr>
          <w:p w14:paraId="2B7AE8FA" w14:textId="0C04E5FC" w:rsidR="00C37990" w:rsidRPr="000664FE" w:rsidRDefault="00C37990" w:rsidP="00623817">
            <w:pPr>
              <w:pStyle w:val="Title"/>
              <w:jc w:val="left"/>
              <w:rPr>
                <w:b w:val="0"/>
                <w:sz w:val="22"/>
                <w:szCs w:val="22"/>
              </w:rPr>
            </w:pPr>
            <w:r>
              <w:rPr>
                <w:b w:val="0"/>
                <w:sz w:val="22"/>
                <w:szCs w:val="22"/>
              </w:rPr>
              <w:t xml:space="preserve">Comments on innovation noted. The committee will consider the innovative nature of the technology </w:t>
            </w:r>
            <w:proofErr w:type="gramStart"/>
            <w:r>
              <w:rPr>
                <w:b w:val="0"/>
                <w:sz w:val="22"/>
                <w:szCs w:val="22"/>
              </w:rPr>
              <w:t>during the course of</w:t>
            </w:r>
            <w:proofErr w:type="gramEnd"/>
            <w:r>
              <w:rPr>
                <w:b w:val="0"/>
                <w:sz w:val="22"/>
                <w:szCs w:val="22"/>
              </w:rPr>
              <w:t xml:space="preserve"> the appraisal.</w:t>
            </w:r>
          </w:p>
        </w:tc>
      </w:tr>
      <w:tr w:rsidR="00C37990" w:rsidRPr="000664FE" w14:paraId="2181FFBC" w14:textId="77777777" w:rsidTr="009C5F05">
        <w:tc>
          <w:tcPr>
            <w:tcW w:w="1951" w:type="dxa"/>
            <w:vMerge/>
          </w:tcPr>
          <w:p w14:paraId="5475B02F" w14:textId="77777777" w:rsidR="00C37990" w:rsidRPr="000664FE" w:rsidRDefault="00C37990" w:rsidP="00623817">
            <w:pPr>
              <w:pStyle w:val="Title"/>
              <w:jc w:val="left"/>
              <w:rPr>
                <w:b w:val="0"/>
                <w:sz w:val="22"/>
                <w:szCs w:val="22"/>
              </w:rPr>
            </w:pPr>
          </w:p>
        </w:tc>
        <w:tc>
          <w:tcPr>
            <w:tcW w:w="1843" w:type="dxa"/>
          </w:tcPr>
          <w:p w14:paraId="41F4EADE" w14:textId="166BF809" w:rsidR="00C37990" w:rsidRPr="00584846" w:rsidRDefault="00C37990" w:rsidP="00623817">
            <w:pPr>
              <w:pStyle w:val="Title"/>
              <w:jc w:val="left"/>
              <w:rPr>
                <w:b w:val="0"/>
                <w:sz w:val="22"/>
                <w:szCs w:val="22"/>
              </w:rPr>
            </w:pPr>
            <w:r>
              <w:rPr>
                <w:b w:val="0"/>
                <w:sz w:val="22"/>
                <w:szCs w:val="22"/>
              </w:rPr>
              <w:t>CLLSA</w:t>
            </w:r>
          </w:p>
        </w:tc>
        <w:tc>
          <w:tcPr>
            <w:tcW w:w="7796" w:type="dxa"/>
          </w:tcPr>
          <w:p w14:paraId="2B35D417" w14:textId="77777777" w:rsidR="00C37990" w:rsidRPr="009C5F05" w:rsidRDefault="00C37990" w:rsidP="009C5F05">
            <w:pPr>
              <w:pStyle w:val="Title"/>
              <w:jc w:val="left"/>
              <w:rPr>
                <w:b w:val="0"/>
                <w:sz w:val="22"/>
                <w:szCs w:val="22"/>
              </w:rPr>
            </w:pPr>
            <w:r w:rsidRPr="009C5F05">
              <w:rPr>
                <w:b w:val="0"/>
                <w:sz w:val="22"/>
                <w:szCs w:val="22"/>
              </w:rPr>
              <w:t xml:space="preserve">Yes.  </w:t>
            </w:r>
          </w:p>
          <w:p w14:paraId="6BE320C9" w14:textId="4B164CAC" w:rsidR="00C37990" w:rsidRPr="000664FE" w:rsidRDefault="00C37990" w:rsidP="009C5F05">
            <w:pPr>
              <w:pStyle w:val="Title"/>
              <w:jc w:val="left"/>
              <w:rPr>
                <w:b w:val="0"/>
                <w:sz w:val="22"/>
                <w:szCs w:val="22"/>
              </w:rPr>
            </w:pPr>
            <w:r w:rsidRPr="009C5F05">
              <w:rPr>
                <w:b w:val="0"/>
                <w:sz w:val="22"/>
                <w:szCs w:val="22"/>
              </w:rPr>
              <w:t>This is a uniquely novel treatment which provides unmatched, very deep response rates with a fixed duration of treatment.</w:t>
            </w:r>
          </w:p>
        </w:tc>
        <w:tc>
          <w:tcPr>
            <w:tcW w:w="2584" w:type="dxa"/>
          </w:tcPr>
          <w:p w14:paraId="036DAC92" w14:textId="0267D4F7" w:rsidR="00C37990" w:rsidRPr="000664FE" w:rsidRDefault="00C37990" w:rsidP="00623817">
            <w:pPr>
              <w:pStyle w:val="Title"/>
              <w:jc w:val="left"/>
              <w:rPr>
                <w:b w:val="0"/>
                <w:sz w:val="22"/>
                <w:szCs w:val="22"/>
              </w:rPr>
            </w:pPr>
            <w:r>
              <w:rPr>
                <w:b w:val="0"/>
                <w:sz w:val="22"/>
                <w:szCs w:val="22"/>
              </w:rPr>
              <w:t xml:space="preserve">Comments on innovation noted. The committee will consider the innovative nature of the technology </w:t>
            </w:r>
            <w:proofErr w:type="gramStart"/>
            <w:r>
              <w:rPr>
                <w:b w:val="0"/>
                <w:sz w:val="22"/>
                <w:szCs w:val="22"/>
              </w:rPr>
              <w:t>during the course of</w:t>
            </w:r>
            <w:proofErr w:type="gramEnd"/>
            <w:r>
              <w:rPr>
                <w:b w:val="0"/>
                <w:sz w:val="22"/>
                <w:szCs w:val="22"/>
              </w:rPr>
              <w:t xml:space="preserve"> the appraisal.</w:t>
            </w:r>
          </w:p>
        </w:tc>
      </w:tr>
      <w:tr w:rsidR="00C37990" w:rsidRPr="000664FE" w14:paraId="60BBD99A" w14:textId="77777777" w:rsidTr="009C5F05">
        <w:tc>
          <w:tcPr>
            <w:tcW w:w="1951" w:type="dxa"/>
            <w:vMerge/>
          </w:tcPr>
          <w:p w14:paraId="762AF1B7" w14:textId="77777777" w:rsidR="00C37990" w:rsidRPr="000664FE" w:rsidRDefault="00C37990" w:rsidP="00623817">
            <w:pPr>
              <w:pStyle w:val="Title"/>
              <w:jc w:val="left"/>
              <w:rPr>
                <w:b w:val="0"/>
                <w:sz w:val="22"/>
                <w:szCs w:val="22"/>
              </w:rPr>
            </w:pPr>
          </w:p>
        </w:tc>
        <w:tc>
          <w:tcPr>
            <w:tcW w:w="1843" w:type="dxa"/>
          </w:tcPr>
          <w:p w14:paraId="6887DE2F" w14:textId="3EA66380" w:rsidR="00C37990" w:rsidRDefault="00C37990" w:rsidP="00623817">
            <w:pPr>
              <w:pStyle w:val="Title"/>
              <w:jc w:val="left"/>
              <w:rPr>
                <w:b w:val="0"/>
                <w:sz w:val="22"/>
                <w:szCs w:val="22"/>
              </w:rPr>
            </w:pPr>
            <w:r w:rsidRPr="00C37990">
              <w:rPr>
                <w:b w:val="0"/>
                <w:sz w:val="22"/>
                <w:szCs w:val="22"/>
              </w:rPr>
              <w:t xml:space="preserve">UK CLL FORUM, BSH, </w:t>
            </w:r>
            <w:proofErr w:type="spellStart"/>
            <w:r w:rsidRPr="00C37990">
              <w:rPr>
                <w:b w:val="0"/>
                <w:sz w:val="22"/>
                <w:szCs w:val="22"/>
              </w:rPr>
              <w:t>RCPath</w:t>
            </w:r>
            <w:proofErr w:type="spellEnd"/>
          </w:p>
        </w:tc>
        <w:tc>
          <w:tcPr>
            <w:tcW w:w="7796" w:type="dxa"/>
          </w:tcPr>
          <w:p w14:paraId="26C5DBE0" w14:textId="022A8D58" w:rsidR="00C37990" w:rsidRPr="00C37990" w:rsidRDefault="00C37990" w:rsidP="00C37990">
            <w:pPr>
              <w:pStyle w:val="Title"/>
              <w:jc w:val="left"/>
              <w:rPr>
                <w:b w:val="0"/>
                <w:sz w:val="22"/>
                <w:szCs w:val="22"/>
              </w:rPr>
            </w:pPr>
            <w:r w:rsidRPr="00C37990">
              <w:rPr>
                <w:b w:val="0"/>
                <w:sz w:val="22"/>
                <w:szCs w:val="22"/>
              </w:rPr>
              <w:t xml:space="preserve">Yes, </w:t>
            </w:r>
            <w:proofErr w:type="spellStart"/>
            <w:r w:rsidRPr="00C37990">
              <w:rPr>
                <w:b w:val="0"/>
                <w:sz w:val="22"/>
                <w:szCs w:val="22"/>
              </w:rPr>
              <w:t>Venetoclax</w:t>
            </w:r>
            <w:proofErr w:type="spellEnd"/>
            <w:r w:rsidRPr="00C37990">
              <w:rPr>
                <w:b w:val="0"/>
                <w:sz w:val="22"/>
                <w:szCs w:val="22"/>
              </w:rPr>
              <w:t xml:space="preserve"> is easy to administer (after the escalation phase) has a good side effect profile: has not been associated with increased infection rates and prophylactic antibiotic treatment is not considered necessary.</w:t>
            </w:r>
          </w:p>
          <w:p w14:paraId="0F90DA86" w14:textId="77777777" w:rsidR="00C37990" w:rsidRPr="00C37990" w:rsidRDefault="00C37990" w:rsidP="00C37990">
            <w:pPr>
              <w:pStyle w:val="Title"/>
              <w:jc w:val="left"/>
              <w:rPr>
                <w:b w:val="0"/>
                <w:sz w:val="22"/>
                <w:szCs w:val="22"/>
              </w:rPr>
            </w:pPr>
            <w:proofErr w:type="spellStart"/>
            <w:r w:rsidRPr="00C37990">
              <w:rPr>
                <w:b w:val="0"/>
                <w:sz w:val="22"/>
                <w:szCs w:val="22"/>
              </w:rPr>
              <w:t>Venetoclax</w:t>
            </w:r>
            <w:proofErr w:type="spellEnd"/>
            <w:r w:rsidRPr="00C37990">
              <w:rPr>
                <w:b w:val="0"/>
                <w:sz w:val="22"/>
                <w:szCs w:val="22"/>
              </w:rPr>
              <w:t xml:space="preserve"> and </w:t>
            </w:r>
            <w:proofErr w:type="spellStart"/>
            <w:r w:rsidRPr="00C37990">
              <w:rPr>
                <w:b w:val="0"/>
                <w:sz w:val="22"/>
                <w:szCs w:val="22"/>
              </w:rPr>
              <w:t>venetoclax</w:t>
            </w:r>
            <w:proofErr w:type="spellEnd"/>
            <w:r w:rsidRPr="00C37990">
              <w:rPr>
                <w:b w:val="0"/>
                <w:sz w:val="22"/>
                <w:szCs w:val="22"/>
              </w:rPr>
              <w:t xml:space="preserve"> combination therapy </w:t>
            </w:r>
            <w:proofErr w:type="gramStart"/>
            <w:r w:rsidRPr="00C37990">
              <w:rPr>
                <w:b w:val="0"/>
                <w:sz w:val="22"/>
                <w:szCs w:val="22"/>
              </w:rPr>
              <w:t>are able to</w:t>
            </w:r>
            <w:proofErr w:type="gramEnd"/>
            <w:r w:rsidRPr="00C37990">
              <w:rPr>
                <w:b w:val="0"/>
                <w:sz w:val="22"/>
                <w:szCs w:val="22"/>
              </w:rPr>
              <w:t xml:space="preserve"> induce MRD (Minimal Residual Disease) negative responses. In the context of patients receiving chemoimmunotherapy, it is now clear that MRD-negativity is a predictor of both PFS and OS in both frontline and relapsed refractory settings (Kwok M et al. Blood 2016; 128: 2770–2773 and </w:t>
            </w:r>
            <w:proofErr w:type="spellStart"/>
            <w:r w:rsidRPr="00C37990">
              <w:rPr>
                <w:b w:val="0"/>
                <w:sz w:val="22"/>
                <w:szCs w:val="22"/>
              </w:rPr>
              <w:t>Dimier</w:t>
            </w:r>
            <w:proofErr w:type="spellEnd"/>
            <w:r w:rsidRPr="00C37990">
              <w:rPr>
                <w:b w:val="0"/>
                <w:sz w:val="22"/>
                <w:szCs w:val="22"/>
              </w:rPr>
              <w:t xml:space="preserve"> et al Blood. 2018 Mar 1;131(9):955-962), it is expected that non-chemoimmunotherapy treatment inducing MRD negativity will have the same effect on overall survival.</w:t>
            </w:r>
          </w:p>
          <w:p w14:paraId="431C0F5C" w14:textId="77777777" w:rsidR="00C37990" w:rsidRPr="00C37990" w:rsidRDefault="00C37990" w:rsidP="00C37990">
            <w:pPr>
              <w:pStyle w:val="Title"/>
              <w:jc w:val="left"/>
              <w:rPr>
                <w:b w:val="0"/>
                <w:sz w:val="22"/>
                <w:szCs w:val="22"/>
              </w:rPr>
            </w:pPr>
            <w:proofErr w:type="spellStart"/>
            <w:r w:rsidRPr="00C37990">
              <w:rPr>
                <w:b w:val="0"/>
                <w:sz w:val="22"/>
                <w:szCs w:val="22"/>
              </w:rPr>
              <w:t>Venetoclax</w:t>
            </w:r>
            <w:proofErr w:type="spellEnd"/>
            <w:r w:rsidRPr="00C37990">
              <w:rPr>
                <w:b w:val="0"/>
                <w:sz w:val="22"/>
                <w:szCs w:val="22"/>
              </w:rPr>
              <w:t xml:space="preserve"> combination therapy is a very well tolerated treatment, patients enjoy good quality of life.</w:t>
            </w:r>
          </w:p>
          <w:p w14:paraId="3F638FB6" w14:textId="26861D9B" w:rsidR="00C37990" w:rsidRPr="009C5F05" w:rsidRDefault="00C37990" w:rsidP="00C37990">
            <w:pPr>
              <w:pStyle w:val="Title"/>
              <w:jc w:val="left"/>
              <w:rPr>
                <w:b w:val="0"/>
                <w:sz w:val="22"/>
                <w:szCs w:val="22"/>
              </w:rPr>
            </w:pPr>
            <w:r w:rsidRPr="00C37990">
              <w:rPr>
                <w:b w:val="0"/>
                <w:sz w:val="22"/>
                <w:szCs w:val="22"/>
              </w:rPr>
              <w:t>During QALY calculation the serious side effects of immunosuppression and myelotoxicity of FCR and BR should be considered</w:t>
            </w:r>
          </w:p>
        </w:tc>
        <w:tc>
          <w:tcPr>
            <w:tcW w:w="2584" w:type="dxa"/>
          </w:tcPr>
          <w:p w14:paraId="698CFC67" w14:textId="376BBC0E" w:rsidR="00C37990" w:rsidRDefault="007421FF" w:rsidP="00623817">
            <w:pPr>
              <w:pStyle w:val="Title"/>
              <w:jc w:val="left"/>
              <w:rPr>
                <w:b w:val="0"/>
                <w:sz w:val="22"/>
                <w:szCs w:val="22"/>
              </w:rPr>
            </w:pPr>
            <w:r>
              <w:rPr>
                <w:b w:val="0"/>
                <w:sz w:val="22"/>
                <w:szCs w:val="22"/>
              </w:rPr>
              <w:t xml:space="preserve">Comments on innovation noted. The committee will consider the innovative nature of the technology </w:t>
            </w:r>
            <w:proofErr w:type="gramStart"/>
            <w:r>
              <w:rPr>
                <w:b w:val="0"/>
                <w:sz w:val="22"/>
                <w:szCs w:val="22"/>
              </w:rPr>
              <w:t>during the course of</w:t>
            </w:r>
            <w:proofErr w:type="gramEnd"/>
            <w:r>
              <w:rPr>
                <w:b w:val="0"/>
                <w:sz w:val="22"/>
                <w:szCs w:val="22"/>
              </w:rPr>
              <w:t xml:space="preserve"> the appraisal.</w:t>
            </w:r>
          </w:p>
        </w:tc>
      </w:tr>
      <w:tr w:rsidR="00C37990" w:rsidRPr="000664FE" w14:paraId="54428F0A" w14:textId="77777777" w:rsidTr="009C5F05">
        <w:tc>
          <w:tcPr>
            <w:tcW w:w="1951" w:type="dxa"/>
            <w:vMerge w:val="restart"/>
            <w:tcBorders>
              <w:top w:val="single" w:sz="12" w:space="0" w:color="auto"/>
            </w:tcBorders>
          </w:tcPr>
          <w:p w14:paraId="4DAF261B" w14:textId="77777777" w:rsidR="00C37990" w:rsidRPr="000664FE" w:rsidRDefault="00C37990" w:rsidP="00623817">
            <w:pPr>
              <w:pStyle w:val="Title"/>
              <w:jc w:val="left"/>
              <w:rPr>
                <w:b w:val="0"/>
                <w:sz w:val="22"/>
                <w:szCs w:val="22"/>
              </w:rPr>
            </w:pPr>
            <w:r w:rsidRPr="000664FE">
              <w:rPr>
                <w:b w:val="0"/>
                <w:sz w:val="22"/>
                <w:szCs w:val="22"/>
              </w:rPr>
              <w:t>Questions for consultation</w:t>
            </w:r>
          </w:p>
        </w:tc>
        <w:tc>
          <w:tcPr>
            <w:tcW w:w="1843" w:type="dxa"/>
            <w:tcBorders>
              <w:top w:val="single" w:sz="12" w:space="0" w:color="auto"/>
            </w:tcBorders>
          </w:tcPr>
          <w:p w14:paraId="5355AE2D" w14:textId="7A9C5476" w:rsidR="00C37990" w:rsidRPr="00584846" w:rsidRDefault="00C37990" w:rsidP="00623817">
            <w:pPr>
              <w:pStyle w:val="Title"/>
              <w:jc w:val="left"/>
              <w:rPr>
                <w:b w:val="0"/>
                <w:sz w:val="22"/>
                <w:szCs w:val="22"/>
              </w:rPr>
            </w:pPr>
            <w:r>
              <w:rPr>
                <w:b w:val="0"/>
                <w:sz w:val="22"/>
                <w:szCs w:val="22"/>
              </w:rPr>
              <w:t>AbbVie</w:t>
            </w:r>
          </w:p>
        </w:tc>
        <w:tc>
          <w:tcPr>
            <w:tcW w:w="7796" w:type="dxa"/>
            <w:tcBorders>
              <w:top w:val="single" w:sz="12" w:space="0" w:color="auto"/>
            </w:tcBorders>
          </w:tcPr>
          <w:p w14:paraId="5A611D90" w14:textId="77777777" w:rsidR="00C37990" w:rsidRDefault="00C37990" w:rsidP="0029503F">
            <w:pPr>
              <w:spacing w:before="60" w:after="60"/>
            </w:pPr>
            <w:r>
              <w:t xml:space="preserve">The anticipated position of </w:t>
            </w:r>
            <w:proofErr w:type="spellStart"/>
            <w:r>
              <w:t>venetoclax</w:t>
            </w:r>
            <w:proofErr w:type="spellEnd"/>
            <w:r>
              <w:t xml:space="preserve"> with </w:t>
            </w:r>
            <w:proofErr w:type="spellStart"/>
            <w:r>
              <w:t>obinutuzumab</w:t>
            </w:r>
            <w:proofErr w:type="spellEnd"/>
            <w:r>
              <w:t xml:space="preserve"> is frontline for untreated CLL in patients:</w:t>
            </w:r>
          </w:p>
          <w:p w14:paraId="5AB81053" w14:textId="77777777" w:rsidR="00C37990" w:rsidRDefault="00C37990" w:rsidP="0029503F">
            <w:pPr>
              <w:numPr>
                <w:ilvl w:val="0"/>
                <w:numId w:val="22"/>
              </w:numPr>
              <w:spacing w:before="60" w:after="60"/>
              <w:rPr>
                <w:lang w:val="en"/>
              </w:rPr>
            </w:pPr>
            <w:r>
              <w:rPr>
                <w:lang w:val="en"/>
              </w:rPr>
              <w:t>W</w:t>
            </w:r>
            <w:r w:rsidRPr="000868D8">
              <w:rPr>
                <w:lang w:val="en"/>
              </w:rPr>
              <w:t>ithout a del(17p) or TP53 mutation</w:t>
            </w:r>
            <w:r>
              <w:rPr>
                <w:lang w:val="en"/>
              </w:rPr>
              <w:t xml:space="preserve"> and who are unfit for FCR </w:t>
            </w:r>
          </w:p>
          <w:p w14:paraId="1907E26C" w14:textId="701A8A74" w:rsidR="00C37990" w:rsidRPr="0029503F" w:rsidRDefault="00C37990" w:rsidP="00737EFA">
            <w:pPr>
              <w:numPr>
                <w:ilvl w:val="0"/>
                <w:numId w:val="22"/>
              </w:numPr>
              <w:spacing w:before="60" w:after="60"/>
            </w:pPr>
            <w:r>
              <w:rPr>
                <w:lang w:val="en"/>
              </w:rPr>
              <w:t>W</w:t>
            </w:r>
            <w:r w:rsidRPr="000868D8">
              <w:rPr>
                <w:lang w:val="en"/>
              </w:rPr>
              <w:t>ith a del(17p) or TP53</w:t>
            </w:r>
            <w:r>
              <w:rPr>
                <w:lang w:val="en"/>
              </w:rPr>
              <w:t xml:space="preserve"> mutation</w:t>
            </w:r>
          </w:p>
        </w:tc>
        <w:tc>
          <w:tcPr>
            <w:tcW w:w="2584" w:type="dxa"/>
            <w:tcBorders>
              <w:top w:val="single" w:sz="12" w:space="0" w:color="auto"/>
            </w:tcBorders>
          </w:tcPr>
          <w:p w14:paraId="5E85F631" w14:textId="1F0FD813" w:rsidR="00C37990" w:rsidRPr="000664FE" w:rsidRDefault="00C37990" w:rsidP="00623817">
            <w:pPr>
              <w:pStyle w:val="Title"/>
              <w:jc w:val="left"/>
              <w:rPr>
                <w:b w:val="0"/>
                <w:sz w:val="22"/>
                <w:szCs w:val="22"/>
              </w:rPr>
            </w:pPr>
            <w:r>
              <w:rPr>
                <w:b w:val="0"/>
                <w:sz w:val="22"/>
                <w:szCs w:val="22"/>
              </w:rPr>
              <w:t>Comment noted. No change to the scope required.</w:t>
            </w:r>
          </w:p>
        </w:tc>
      </w:tr>
      <w:tr w:rsidR="00C37990" w:rsidRPr="000664FE" w14:paraId="42BD48A8" w14:textId="77777777" w:rsidTr="009C5F05">
        <w:tc>
          <w:tcPr>
            <w:tcW w:w="1951" w:type="dxa"/>
            <w:vMerge/>
          </w:tcPr>
          <w:p w14:paraId="1876594A" w14:textId="77777777" w:rsidR="00C37990" w:rsidRPr="000664FE" w:rsidRDefault="00C37990" w:rsidP="00623817">
            <w:pPr>
              <w:pStyle w:val="Title"/>
              <w:jc w:val="left"/>
              <w:rPr>
                <w:sz w:val="22"/>
                <w:szCs w:val="22"/>
              </w:rPr>
            </w:pPr>
          </w:p>
        </w:tc>
        <w:tc>
          <w:tcPr>
            <w:tcW w:w="1843" w:type="dxa"/>
          </w:tcPr>
          <w:p w14:paraId="0F4C1984" w14:textId="73BABB00" w:rsidR="00C37990" w:rsidRPr="00584846" w:rsidRDefault="00C37990" w:rsidP="00623817">
            <w:pPr>
              <w:pStyle w:val="Title"/>
              <w:jc w:val="left"/>
              <w:rPr>
                <w:b w:val="0"/>
                <w:sz w:val="22"/>
                <w:szCs w:val="22"/>
              </w:rPr>
            </w:pPr>
            <w:r>
              <w:rPr>
                <w:b w:val="0"/>
                <w:sz w:val="22"/>
                <w:szCs w:val="22"/>
              </w:rPr>
              <w:t>Janssen-</w:t>
            </w:r>
            <w:proofErr w:type="spellStart"/>
            <w:r>
              <w:rPr>
                <w:b w:val="0"/>
                <w:sz w:val="22"/>
                <w:szCs w:val="22"/>
              </w:rPr>
              <w:t>Cilag</w:t>
            </w:r>
            <w:proofErr w:type="spellEnd"/>
          </w:p>
        </w:tc>
        <w:tc>
          <w:tcPr>
            <w:tcW w:w="7796" w:type="dxa"/>
          </w:tcPr>
          <w:p w14:paraId="5DA4D187" w14:textId="77777777" w:rsidR="00C37990" w:rsidRDefault="00C37990" w:rsidP="003218C1">
            <w:pPr>
              <w:rPr>
                <w:color w:val="000000"/>
                <w:szCs w:val="24"/>
              </w:rPr>
            </w:pPr>
            <w:bookmarkStart w:id="3" w:name="_Hlk11673928"/>
            <w:r>
              <w:t xml:space="preserve">Q: </w:t>
            </w:r>
            <w:r>
              <w:rPr>
                <w:color w:val="000000"/>
                <w:szCs w:val="24"/>
              </w:rPr>
              <w:t xml:space="preserve">Which treatments </w:t>
            </w:r>
            <w:proofErr w:type="gramStart"/>
            <w:r>
              <w:rPr>
                <w:color w:val="000000"/>
                <w:szCs w:val="24"/>
              </w:rPr>
              <w:t>are considered to be</w:t>
            </w:r>
            <w:proofErr w:type="gramEnd"/>
            <w:r>
              <w:rPr>
                <w:color w:val="000000"/>
                <w:szCs w:val="24"/>
              </w:rPr>
              <w:t xml:space="preserve"> established clinical practice in the NHS for untreated chronic lymphocytic leukaemia</w:t>
            </w:r>
            <w:r w:rsidRPr="004C1536">
              <w:rPr>
                <w:color w:val="000000"/>
                <w:szCs w:val="24"/>
              </w:rPr>
              <w:t>?</w:t>
            </w:r>
          </w:p>
          <w:p w14:paraId="170722DA" w14:textId="77777777" w:rsidR="00C37990" w:rsidRDefault="00C37990" w:rsidP="003218C1">
            <w:pPr>
              <w:rPr>
                <w:color w:val="000000"/>
                <w:szCs w:val="24"/>
              </w:rPr>
            </w:pPr>
          </w:p>
          <w:p w14:paraId="07D0D3E0" w14:textId="77777777" w:rsidR="00C37990" w:rsidRDefault="00C37990" w:rsidP="003218C1">
            <w:r>
              <w:rPr>
                <w:color w:val="000000"/>
                <w:szCs w:val="24"/>
              </w:rPr>
              <w:t xml:space="preserve">Comment: As per comment above, all treatments listed in the draft scope “comparator” section are relevant </w:t>
            </w:r>
            <w:proofErr w:type="gramStart"/>
            <w:r>
              <w:rPr>
                <w:color w:val="000000"/>
                <w:szCs w:val="24"/>
              </w:rPr>
              <w:t>with the exception of</w:t>
            </w:r>
            <w:proofErr w:type="gramEnd"/>
            <w:r>
              <w:rPr>
                <w:color w:val="000000"/>
                <w:szCs w:val="24"/>
              </w:rPr>
              <w:t xml:space="preserve"> </w:t>
            </w:r>
            <w:r w:rsidRPr="00370BEC">
              <w:rPr>
                <w:lang w:val="en-US"/>
              </w:rPr>
              <w:t>chlorambucil</w:t>
            </w:r>
            <w:r>
              <w:rPr>
                <w:lang w:val="en-US"/>
              </w:rPr>
              <w:t xml:space="preserve"> </w:t>
            </w:r>
            <w:r w:rsidRPr="00370BEC">
              <w:rPr>
                <w:lang w:val="en-US"/>
              </w:rPr>
              <w:t>with</w:t>
            </w:r>
            <w:r>
              <w:rPr>
                <w:lang w:val="en-US"/>
              </w:rPr>
              <w:t xml:space="preserve"> o</w:t>
            </w:r>
            <w:r w:rsidRPr="00370BEC">
              <w:rPr>
                <w:lang w:val="en-US"/>
              </w:rPr>
              <w:t>fatumumab</w:t>
            </w:r>
            <w:r>
              <w:t xml:space="preserve">. </w:t>
            </w:r>
          </w:p>
          <w:p w14:paraId="715CE135" w14:textId="77777777" w:rsidR="00C37990" w:rsidRDefault="00C37990" w:rsidP="003218C1"/>
          <w:p w14:paraId="1338AE3C" w14:textId="47E2AB44" w:rsidR="00C37990" w:rsidRDefault="00C37990" w:rsidP="003218C1">
            <w:pPr>
              <w:rPr>
                <w:color w:val="000000"/>
                <w:szCs w:val="24"/>
              </w:rPr>
            </w:pPr>
            <w:r>
              <w:t xml:space="preserve">Given that </w:t>
            </w:r>
            <w:r>
              <w:rPr>
                <w:color w:val="000000"/>
                <w:szCs w:val="24"/>
              </w:rPr>
              <w:t>treatment algorithms from recently published national and European/international guidelines</w:t>
            </w:r>
            <w:r>
              <w:rPr>
                <w:color w:val="000000"/>
                <w:szCs w:val="24"/>
                <w:vertAlign w:val="superscript"/>
              </w:rPr>
              <w:t>2,3,4</w:t>
            </w:r>
            <w:r>
              <w:rPr>
                <w:color w:val="000000"/>
                <w:szCs w:val="24"/>
              </w:rPr>
              <w:t xml:space="preserve"> take into account patients’ fitness level to define treatment options in the untreated CLL population, stratification of </w:t>
            </w:r>
            <w:r>
              <w:rPr>
                <w:color w:val="000000"/>
                <w:szCs w:val="24"/>
              </w:rPr>
              <w:lastRenderedPageBreak/>
              <w:t>the draft scope treatment options based on this criteria would clarify the range of comparators for each potential subgroup of the population with no del17p/TP53 mutation:</w:t>
            </w:r>
          </w:p>
          <w:p w14:paraId="0080F091" w14:textId="77777777" w:rsidR="00C37990" w:rsidRDefault="00C37990" w:rsidP="003218C1">
            <w:pPr>
              <w:numPr>
                <w:ilvl w:val="0"/>
                <w:numId w:val="25"/>
              </w:numPr>
              <w:spacing w:before="60" w:after="60"/>
            </w:pPr>
            <w:r>
              <w:t xml:space="preserve">Fit = </w:t>
            </w:r>
            <w:r w:rsidRPr="00CE1C86">
              <w:rPr>
                <w:szCs w:val="24"/>
              </w:rPr>
              <w:t>rituximab with fludarabine and cyclophosphamide (FCR)</w:t>
            </w:r>
          </w:p>
          <w:p w14:paraId="6D99AA10" w14:textId="77777777" w:rsidR="00C37990" w:rsidRDefault="00C37990" w:rsidP="003218C1">
            <w:pPr>
              <w:numPr>
                <w:ilvl w:val="0"/>
                <w:numId w:val="25"/>
              </w:numPr>
              <w:spacing w:before="60" w:after="60"/>
            </w:pPr>
            <w:r>
              <w:t xml:space="preserve">Fit with comorbidities [patients ineligible for FCR] = </w:t>
            </w:r>
            <w:r w:rsidRPr="00CE1C86">
              <w:rPr>
                <w:szCs w:val="24"/>
              </w:rPr>
              <w:t>bendamustine</w:t>
            </w:r>
            <w:r>
              <w:t xml:space="preserve"> with or without rituximab (BR)</w:t>
            </w:r>
          </w:p>
          <w:p w14:paraId="28D3BCE8" w14:textId="77777777" w:rsidR="00C37990" w:rsidRDefault="00C37990" w:rsidP="003218C1">
            <w:pPr>
              <w:pStyle w:val="Title"/>
              <w:jc w:val="left"/>
              <w:rPr>
                <w:b w:val="0"/>
                <w:bCs w:val="0"/>
                <w:color w:val="000000"/>
                <w:kern w:val="0"/>
                <w:sz w:val="22"/>
                <w:szCs w:val="24"/>
              </w:rPr>
            </w:pPr>
            <w:r w:rsidRPr="003218C1">
              <w:rPr>
                <w:b w:val="0"/>
                <w:bCs w:val="0"/>
                <w:color w:val="000000"/>
                <w:kern w:val="0"/>
                <w:sz w:val="22"/>
                <w:szCs w:val="24"/>
              </w:rPr>
              <w:t>Unfit with comorbidities [patients ineligible for BR] = chlorambucil with or without rituximab/</w:t>
            </w:r>
            <w:proofErr w:type="spellStart"/>
            <w:r w:rsidRPr="003218C1">
              <w:rPr>
                <w:b w:val="0"/>
                <w:bCs w:val="0"/>
                <w:color w:val="000000"/>
                <w:kern w:val="0"/>
                <w:sz w:val="22"/>
                <w:szCs w:val="24"/>
              </w:rPr>
              <w:t>obinutuzumab</w:t>
            </w:r>
            <w:bookmarkEnd w:id="3"/>
            <w:proofErr w:type="spellEnd"/>
          </w:p>
          <w:p w14:paraId="5DDB7330" w14:textId="7BE2813D" w:rsidR="00C37990" w:rsidRPr="00EB0610" w:rsidRDefault="00C37990" w:rsidP="00EB0610">
            <w:pPr>
              <w:pStyle w:val="Heading1"/>
              <w:spacing w:after="0"/>
              <w:rPr>
                <w:b w:val="0"/>
                <w:bCs w:val="0"/>
                <w:color w:val="000000"/>
                <w:kern w:val="0"/>
                <w:sz w:val="20"/>
                <w:szCs w:val="22"/>
              </w:rPr>
            </w:pPr>
            <w:r w:rsidRPr="00EB0610">
              <w:rPr>
                <w:b w:val="0"/>
                <w:bCs w:val="0"/>
                <w:color w:val="000000"/>
                <w:kern w:val="0"/>
                <w:sz w:val="20"/>
                <w:szCs w:val="22"/>
              </w:rPr>
              <w:t>2 https://onlinelibrary.wiley.com/doi/epdf/10.1111/bjh.15460</w:t>
            </w:r>
          </w:p>
          <w:p w14:paraId="46DEE3BC" w14:textId="323DCCFA" w:rsidR="00C37990" w:rsidRPr="00EB0610" w:rsidRDefault="00C37990" w:rsidP="00EB0610">
            <w:pPr>
              <w:pStyle w:val="Heading1"/>
              <w:spacing w:after="0"/>
              <w:rPr>
                <w:b w:val="0"/>
                <w:bCs w:val="0"/>
                <w:color w:val="000000"/>
                <w:kern w:val="0"/>
                <w:sz w:val="20"/>
                <w:szCs w:val="22"/>
              </w:rPr>
            </w:pPr>
            <w:r w:rsidRPr="00EB0610">
              <w:rPr>
                <w:b w:val="0"/>
                <w:bCs w:val="0"/>
                <w:color w:val="000000"/>
                <w:kern w:val="0"/>
                <w:sz w:val="20"/>
                <w:szCs w:val="22"/>
              </w:rPr>
              <w:t>3 https://www.esmo.org/Guidelines/Haematological-Malignancies/Chronic-Lymphocytic-Leukaemia/eUpdate-Treatment-Recommendations</w:t>
            </w:r>
          </w:p>
          <w:p w14:paraId="757BA82E" w14:textId="3C1652D6" w:rsidR="00C37990" w:rsidRPr="00EB0610" w:rsidRDefault="00C37990" w:rsidP="00EB0610">
            <w:pPr>
              <w:pStyle w:val="Heading1"/>
              <w:spacing w:after="0"/>
            </w:pPr>
            <w:r w:rsidRPr="00EB0610">
              <w:rPr>
                <w:b w:val="0"/>
                <w:bCs w:val="0"/>
                <w:color w:val="000000"/>
                <w:kern w:val="0"/>
                <w:sz w:val="20"/>
                <w:szCs w:val="22"/>
              </w:rPr>
              <w:t>4 NCCN Guidelines – CLL/SLL - V5.2019 (May 23, 2019)</w:t>
            </w:r>
          </w:p>
        </w:tc>
        <w:tc>
          <w:tcPr>
            <w:tcW w:w="2584" w:type="dxa"/>
          </w:tcPr>
          <w:p w14:paraId="23EFD4A3" w14:textId="0D53D0F2" w:rsidR="00C37990" w:rsidRPr="000664FE" w:rsidRDefault="00C37990" w:rsidP="00623817">
            <w:pPr>
              <w:pStyle w:val="Title"/>
              <w:jc w:val="left"/>
              <w:rPr>
                <w:b w:val="0"/>
                <w:sz w:val="22"/>
                <w:szCs w:val="22"/>
              </w:rPr>
            </w:pPr>
            <w:r>
              <w:rPr>
                <w:b w:val="0"/>
                <w:sz w:val="22"/>
                <w:szCs w:val="22"/>
              </w:rPr>
              <w:lastRenderedPageBreak/>
              <w:t>Comments noted. The remit and therefore the comparators in the scope have been kept broad to ensure they capture the whole possible population that may be included in the</w:t>
            </w:r>
            <w:r w:rsidRPr="00640988">
              <w:rPr>
                <w:b w:val="0"/>
                <w:sz w:val="22"/>
                <w:szCs w:val="22"/>
              </w:rPr>
              <w:t xml:space="preserve"> </w:t>
            </w:r>
            <w:r>
              <w:rPr>
                <w:b w:val="0"/>
                <w:sz w:val="22"/>
                <w:szCs w:val="22"/>
              </w:rPr>
              <w:t xml:space="preserve">wording of the </w:t>
            </w:r>
            <w:r>
              <w:rPr>
                <w:b w:val="0"/>
                <w:sz w:val="22"/>
                <w:szCs w:val="22"/>
              </w:rPr>
              <w:lastRenderedPageBreak/>
              <w:t>marketing authorisation from the European Medicines Agency. No change to the scope required.</w:t>
            </w:r>
          </w:p>
        </w:tc>
        <w:bookmarkStart w:id="4" w:name="_GoBack"/>
        <w:bookmarkEnd w:id="4"/>
      </w:tr>
      <w:tr w:rsidR="00C37990" w:rsidRPr="000664FE" w14:paraId="2916876A" w14:textId="77777777" w:rsidTr="009C5F05">
        <w:tc>
          <w:tcPr>
            <w:tcW w:w="1951" w:type="dxa"/>
            <w:vMerge/>
          </w:tcPr>
          <w:p w14:paraId="3233305C" w14:textId="77777777" w:rsidR="00C37990" w:rsidRPr="000664FE" w:rsidRDefault="00C37990" w:rsidP="00623817">
            <w:pPr>
              <w:pStyle w:val="Title"/>
              <w:jc w:val="left"/>
              <w:rPr>
                <w:sz w:val="22"/>
                <w:szCs w:val="22"/>
              </w:rPr>
            </w:pPr>
          </w:p>
        </w:tc>
        <w:tc>
          <w:tcPr>
            <w:tcW w:w="1843" w:type="dxa"/>
          </w:tcPr>
          <w:p w14:paraId="70D30E9D" w14:textId="459CAF04" w:rsidR="00C37990" w:rsidRDefault="00C37990" w:rsidP="00623817">
            <w:pPr>
              <w:pStyle w:val="Title"/>
              <w:jc w:val="left"/>
              <w:rPr>
                <w:b w:val="0"/>
                <w:sz w:val="22"/>
                <w:szCs w:val="22"/>
              </w:rPr>
            </w:pPr>
            <w:r w:rsidRPr="00C37990">
              <w:rPr>
                <w:b w:val="0"/>
                <w:sz w:val="22"/>
                <w:szCs w:val="22"/>
              </w:rPr>
              <w:t xml:space="preserve">UK CLL FORUM, BSH, </w:t>
            </w:r>
            <w:proofErr w:type="spellStart"/>
            <w:r w:rsidRPr="00C37990">
              <w:rPr>
                <w:b w:val="0"/>
                <w:sz w:val="22"/>
                <w:szCs w:val="22"/>
              </w:rPr>
              <w:t>RCPath</w:t>
            </w:r>
            <w:proofErr w:type="spellEnd"/>
          </w:p>
        </w:tc>
        <w:tc>
          <w:tcPr>
            <w:tcW w:w="7796" w:type="dxa"/>
          </w:tcPr>
          <w:p w14:paraId="3C7B4E2D" w14:textId="77777777" w:rsidR="00C37990" w:rsidRDefault="00C37990" w:rsidP="00C37990">
            <w:r>
              <w:t>It will be important to obtain updated results of MRD negativity and overall survival data on CLL14 as they mature.</w:t>
            </w:r>
          </w:p>
          <w:p w14:paraId="6BE48B07" w14:textId="6172DE3A" w:rsidR="00C37990" w:rsidRDefault="00C37990" w:rsidP="00C37990">
            <w:r>
              <w:t xml:space="preserve">Another much anticipated study which is expected to be completed in February 2021 </w:t>
            </w:r>
            <w:proofErr w:type="gramStart"/>
            <w:r>
              <w:t>is  the</w:t>
            </w:r>
            <w:proofErr w:type="gramEnd"/>
            <w:r>
              <w:t xml:space="preserve"> Janssen - sponsored  GLOW study, an  open-label, phase 3 study of the combination of ibrutinib plus </w:t>
            </w:r>
            <w:proofErr w:type="spellStart"/>
            <w:r>
              <w:t>venetoclax</w:t>
            </w:r>
            <w:proofErr w:type="spellEnd"/>
            <w:r>
              <w:t xml:space="preserve"> versus chlorambucil plus </w:t>
            </w:r>
            <w:proofErr w:type="spellStart"/>
            <w:r>
              <w:t>obinutuzumab</w:t>
            </w:r>
            <w:proofErr w:type="spellEnd"/>
            <w:r>
              <w:t xml:space="preserve"> for the first-line treatment of subjects with CLL/SLL https://clinicaltrials.gov/ct2/show/NCT03462719. Ibrutinib </w:t>
            </w:r>
            <w:proofErr w:type="spellStart"/>
            <w:r>
              <w:t>Venetoclax</w:t>
            </w:r>
            <w:proofErr w:type="spellEnd"/>
            <w:r>
              <w:t xml:space="preserve"> combination in GLOW is given for 15 months.</w:t>
            </w:r>
          </w:p>
        </w:tc>
        <w:tc>
          <w:tcPr>
            <w:tcW w:w="2584" w:type="dxa"/>
          </w:tcPr>
          <w:p w14:paraId="39B67E42" w14:textId="78139168" w:rsidR="00C37990" w:rsidRDefault="007421FF" w:rsidP="00623817">
            <w:pPr>
              <w:pStyle w:val="Title"/>
              <w:jc w:val="left"/>
              <w:rPr>
                <w:b w:val="0"/>
                <w:sz w:val="22"/>
                <w:szCs w:val="22"/>
              </w:rPr>
            </w:pPr>
            <w:r>
              <w:rPr>
                <w:b w:val="0"/>
                <w:sz w:val="22"/>
                <w:szCs w:val="22"/>
              </w:rPr>
              <w:t xml:space="preserve">Comment noted. </w:t>
            </w:r>
            <w:r w:rsidR="00F2483B">
              <w:rPr>
                <w:b w:val="0"/>
                <w:sz w:val="22"/>
                <w:szCs w:val="22"/>
              </w:rPr>
              <w:t>During the development of the appraisal</w:t>
            </w:r>
            <w:r w:rsidR="0038410B">
              <w:rPr>
                <w:b w:val="0"/>
                <w:sz w:val="22"/>
                <w:szCs w:val="22"/>
              </w:rPr>
              <w:t>,</w:t>
            </w:r>
            <w:r w:rsidR="00F2483B">
              <w:rPr>
                <w:b w:val="0"/>
                <w:sz w:val="22"/>
                <w:szCs w:val="22"/>
              </w:rPr>
              <w:t xml:space="preserve"> the company will provide data as part of its submission and this will be considered at the appraisal committee meeting. </w:t>
            </w:r>
          </w:p>
        </w:tc>
      </w:tr>
    </w:tbl>
    <w:p w14:paraId="3798F3CE" w14:textId="77777777" w:rsidR="00EC0E27" w:rsidRPr="006C542D" w:rsidRDefault="00EC0E27" w:rsidP="00EC0E27">
      <w:pPr>
        <w:keepNext/>
        <w:spacing w:before="240" w:after="120"/>
        <w:rPr>
          <w:b/>
        </w:rPr>
      </w:pPr>
      <w:r w:rsidRPr="006C542D">
        <w:rPr>
          <w:b/>
        </w:rPr>
        <w:t>The following consultees/commentators indicated that they had no comments on the draft remit and/or the draft scope</w:t>
      </w:r>
    </w:p>
    <w:p w14:paraId="01CDF8B6" w14:textId="77777777" w:rsidR="00EC0E27" w:rsidRDefault="00EC0E27" w:rsidP="00EC0E27"/>
    <w:p w14:paraId="69D38CE0" w14:textId="5EC06025" w:rsidR="00EC0E27" w:rsidRPr="009C5F05" w:rsidRDefault="009C5F05" w:rsidP="00EC0E27">
      <w:pPr>
        <w:pStyle w:val="Heading1"/>
        <w:rPr>
          <w:b w:val="0"/>
          <w:bCs w:val="0"/>
          <w:sz w:val="22"/>
          <w:szCs w:val="22"/>
        </w:rPr>
      </w:pPr>
      <w:r w:rsidRPr="009C5F05">
        <w:rPr>
          <w:b w:val="0"/>
          <w:bCs w:val="0"/>
          <w:sz w:val="22"/>
          <w:szCs w:val="22"/>
        </w:rPr>
        <w:t>Lymphoma Action</w:t>
      </w:r>
    </w:p>
    <w:p w14:paraId="153545CF" w14:textId="53380C5F" w:rsidR="009C5F05" w:rsidRDefault="009C5F05" w:rsidP="0091472A">
      <w:pPr>
        <w:pStyle w:val="Paragraphnonumbers"/>
        <w:spacing w:after="0"/>
      </w:pPr>
      <w:r w:rsidRPr="009C5F05">
        <w:t>Sanofi</w:t>
      </w:r>
    </w:p>
    <w:p w14:paraId="283F6A09" w14:textId="66E7E7B5" w:rsidR="0091472A" w:rsidRPr="009C5F05" w:rsidRDefault="0091472A" w:rsidP="0091472A">
      <w:pPr>
        <w:pStyle w:val="Paragraphnonumbers"/>
        <w:spacing w:after="0"/>
      </w:pPr>
      <w:r>
        <w:t>Roche</w:t>
      </w:r>
    </w:p>
    <w:p w14:paraId="3985469B" w14:textId="77777777" w:rsidR="009C5F05" w:rsidRPr="009C5F05" w:rsidRDefault="009C5F05" w:rsidP="009C5F05">
      <w:pPr>
        <w:pStyle w:val="Paragraphnonumbers"/>
      </w:pPr>
    </w:p>
    <w:sectPr w:rsidR="009C5F05" w:rsidRPr="009C5F05" w:rsidSect="00C24D6E">
      <w:headerReference w:type="default" r:id="rId15"/>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84F3C" w14:textId="77777777" w:rsidR="00220503" w:rsidRDefault="00220503" w:rsidP="00446BEE">
      <w:r>
        <w:separator/>
      </w:r>
    </w:p>
  </w:endnote>
  <w:endnote w:type="continuationSeparator" w:id="0">
    <w:p w14:paraId="473A6C44" w14:textId="77777777" w:rsidR="00220503" w:rsidRDefault="0022050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AA67" w14:textId="798F07FF" w:rsidR="00220503" w:rsidRPr="008F619A" w:rsidRDefault="00220503" w:rsidP="000F2EC0">
    <w:pPr>
      <w:pStyle w:val="Footer"/>
    </w:pPr>
    <w:r>
      <w:t>National Institute for Health and Care Excellence</w:t>
    </w:r>
    <w:r>
      <w:tab/>
    </w:r>
    <w:r>
      <w:tab/>
    </w:r>
    <w:r>
      <w:tab/>
    </w:r>
    <w:r>
      <w:tab/>
    </w:r>
    <w:r>
      <w:tab/>
    </w:r>
    <w:r>
      <w:tab/>
    </w:r>
    <w:r>
      <w:tab/>
    </w:r>
    <w:r>
      <w:tab/>
    </w:r>
    <w:r>
      <w:tab/>
    </w:r>
    <w:r>
      <w:tab/>
    </w:r>
    <w:proofErr w:type="spellStart"/>
    <w:r w:rsidRPr="003F26FC">
      <w:t>Venetoclax</w:t>
    </w:r>
    <w:proofErr w:type="spellEnd"/>
    <w:r w:rsidRPr="003F26FC">
      <w:t xml:space="preserve"> with </w:t>
    </w:r>
    <w:proofErr w:type="spellStart"/>
    <w:r w:rsidRPr="003F26FC">
      <w:t>obinutuzumab</w:t>
    </w:r>
    <w:proofErr w:type="spellEnd"/>
    <w:r w:rsidRPr="003F26FC">
      <w:t xml:space="preserve"> for untreated chronic lymphocytic leukaemia</w:t>
    </w:r>
    <w:r>
      <w:t xml:space="preserve">                                                                                                     </w:t>
    </w:r>
    <w:r w:rsidRPr="000F2EC0">
      <w:rPr>
        <w:szCs w:val="20"/>
      </w:rPr>
      <w:t xml:space="preserve">Page </w:t>
    </w:r>
    <w:r w:rsidRPr="000F2EC0">
      <w:rPr>
        <w:szCs w:val="20"/>
      </w:rPr>
      <w:fldChar w:fldCharType="begin"/>
    </w:r>
    <w:r w:rsidRPr="000F2EC0">
      <w:rPr>
        <w:szCs w:val="20"/>
      </w:rPr>
      <w:instrText xml:space="preserve"> PAGE </w:instrText>
    </w:r>
    <w:r w:rsidRPr="000F2EC0">
      <w:rPr>
        <w:szCs w:val="20"/>
      </w:rPr>
      <w:fldChar w:fldCharType="separate"/>
    </w:r>
    <w:r w:rsidRPr="000F2EC0">
      <w:rPr>
        <w:szCs w:val="20"/>
      </w:rPr>
      <w:t>1</w:t>
    </w:r>
    <w:r w:rsidRPr="000F2EC0">
      <w:rPr>
        <w:szCs w:val="20"/>
      </w:rPr>
      <w:fldChar w:fldCharType="end"/>
    </w:r>
    <w:r w:rsidRPr="000F2EC0">
      <w:rPr>
        <w:szCs w:val="20"/>
      </w:rPr>
      <w:t xml:space="preserve"> of </w:t>
    </w:r>
    <w:r w:rsidRPr="000F2EC0">
      <w:rPr>
        <w:noProof/>
        <w:szCs w:val="20"/>
      </w:rPr>
      <w:fldChar w:fldCharType="begin"/>
    </w:r>
    <w:r w:rsidRPr="000F2EC0">
      <w:rPr>
        <w:noProof/>
        <w:szCs w:val="20"/>
      </w:rPr>
      <w:instrText xml:space="preserve"> NUMPAGES </w:instrText>
    </w:r>
    <w:r w:rsidRPr="000F2EC0">
      <w:rPr>
        <w:noProof/>
        <w:szCs w:val="20"/>
      </w:rPr>
      <w:fldChar w:fldCharType="separate"/>
    </w:r>
    <w:r w:rsidRPr="000F2EC0">
      <w:rPr>
        <w:noProof/>
        <w:szCs w:val="20"/>
      </w:rPr>
      <w:t>11</w:t>
    </w:r>
    <w:r w:rsidRPr="000F2EC0">
      <w:rPr>
        <w:noProof/>
        <w:szCs w:val="20"/>
      </w:rPr>
      <w:fldChar w:fldCharType="end"/>
    </w:r>
    <w:r w:rsidRPr="000F2EC0">
      <w:rPr>
        <w:sz w:val="18"/>
        <w:szCs w:val="20"/>
      </w:rPr>
      <w:t xml:space="preserve">    </w:t>
    </w:r>
  </w:p>
  <w:p w14:paraId="0DBC7B2A" w14:textId="027018E6" w:rsidR="00220503" w:rsidRPr="00415BF6" w:rsidRDefault="00220503" w:rsidP="00415BF6">
    <w:pPr>
      <w:pStyle w:val="Footer"/>
    </w:pPr>
    <w:r>
      <w:t>Issue date: 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375DD" w14:textId="77777777" w:rsidR="00220503" w:rsidRDefault="00220503" w:rsidP="00446BEE">
      <w:r>
        <w:separator/>
      </w:r>
    </w:p>
  </w:footnote>
  <w:footnote w:type="continuationSeparator" w:id="0">
    <w:p w14:paraId="2CA29882" w14:textId="77777777" w:rsidR="00220503" w:rsidRDefault="00220503" w:rsidP="00446BEE">
      <w:r>
        <w:continuationSeparator/>
      </w:r>
    </w:p>
  </w:footnote>
  <w:footnote w:id="1">
    <w:p w14:paraId="21940AC7" w14:textId="77777777" w:rsidR="00C37990" w:rsidRDefault="00C37990" w:rsidP="003218C1">
      <w:pPr>
        <w:pStyle w:val="FootnoteText"/>
      </w:pPr>
      <w:r>
        <w:rPr>
          <w:rStyle w:val="FootnoteReference"/>
        </w:rPr>
        <w:footnoteRef/>
      </w:r>
      <w:r>
        <w:t xml:space="preserve"> </w:t>
      </w:r>
      <w:r w:rsidRPr="00187DA9">
        <w:t>https://www.ema.europa.eu/en/medicines/human/EPAR/arzerra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B6F2" w14:textId="77777777" w:rsidR="00220503" w:rsidRDefault="00220503" w:rsidP="00C24D6E">
    <w:pPr>
      <w:pStyle w:val="Header"/>
      <w:jc w:val="right"/>
    </w:pPr>
    <w:r>
      <w:t>Summary form</w:t>
    </w:r>
  </w:p>
  <w:p w14:paraId="19170A4E" w14:textId="77777777" w:rsidR="00220503" w:rsidRDefault="00220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D3C45"/>
    <w:multiLevelType w:val="hybridMultilevel"/>
    <w:tmpl w:val="A07E8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07764B"/>
    <w:multiLevelType w:val="hybridMultilevel"/>
    <w:tmpl w:val="D436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2A071E"/>
    <w:multiLevelType w:val="hybridMultilevel"/>
    <w:tmpl w:val="8D68342E"/>
    <w:lvl w:ilvl="0" w:tplc="436E3ED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1198C"/>
    <w:multiLevelType w:val="hybridMultilevel"/>
    <w:tmpl w:val="577CB29A"/>
    <w:lvl w:ilvl="0" w:tplc="80D86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DF5060"/>
    <w:multiLevelType w:val="hybridMultilevel"/>
    <w:tmpl w:val="7E086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8"/>
  </w:num>
  <w:num w:numId="22">
    <w:abstractNumId w:val="16"/>
  </w:num>
  <w:num w:numId="23">
    <w:abstractNumId w:val="12"/>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6E"/>
    <w:rsid w:val="000053F8"/>
    <w:rsid w:val="00024D0A"/>
    <w:rsid w:val="000352DF"/>
    <w:rsid w:val="000472DC"/>
    <w:rsid w:val="000664FE"/>
    <w:rsid w:val="00070065"/>
    <w:rsid w:val="000A4FEE"/>
    <w:rsid w:val="000B5939"/>
    <w:rsid w:val="000D33C8"/>
    <w:rsid w:val="000E1408"/>
    <w:rsid w:val="000F2EC0"/>
    <w:rsid w:val="00104948"/>
    <w:rsid w:val="00111CCE"/>
    <w:rsid w:val="001134E7"/>
    <w:rsid w:val="001371B0"/>
    <w:rsid w:val="00167519"/>
    <w:rsid w:val="0017149E"/>
    <w:rsid w:val="0017169E"/>
    <w:rsid w:val="001754BC"/>
    <w:rsid w:val="00181A4A"/>
    <w:rsid w:val="001B0EE9"/>
    <w:rsid w:val="001B65B3"/>
    <w:rsid w:val="002029A6"/>
    <w:rsid w:val="00220503"/>
    <w:rsid w:val="00237E7A"/>
    <w:rsid w:val="002408EA"/>
    <w:rsid w:val="002819D7"/>
    <w:rsid w:val="00283A43"/>
    <w:rsid w:val="0029503F"/>
    <w:rsid w:val="00296963"/>
    <w:rsid w:val="002A0059"/>
    <w:rsid w:val="002A29ED"/>
    <w:rsid w:val="002B310D"/>
    <w:rsid w:val="002C1A7E"/>
    <w:rsid w:val="002D3376"/>
    <w:rsid w:val="00311ED0"/>
    <w:rsid w:val="003218C1"/>
    <w:rsid w:val="003648C5"/>
    <w:rsid w:val="003722FA"/>
    <w:rsid w:val="003724F8"/>
    <w:rsid w:val="003728BB"/>
    <w:rsid w:val="0038410B"/>
    <w:rsid w:val="00384FBE"/>
    <w:rsid w:val="003C7AAF"/>
    <w:rsid w:val="003D1FAC"/>
    <w:rsid w:val="003F26FC"/>
    <w:rsid w:val="004075B6"/>
    <w:rsid w:val="00415BF6"/>
    <w:rsid w:val="00420952"/>
    <w:rsid w:val="0043112B"/>
    <w:rsid w:val="00433EFF"/>
    <w:rsid w:val="00443081"/>
    <w:rsid w:val="00446BEE"/>
    <w:rsid w:val="004614E3"/>
    <w:rsid w:val="00480603"/>
    <w:rsid w:val="00495D67"/>
    <w:rsid w:val="004B129E"/>
    <w:rsid w:val="004E61BC"/>
    <w:rsid w:val="004F417A"/>
    <w:rsid w:val="005025A1"/>
    <w:rsid w:val="00584846"/>
    <w:rsid w:val="0059288D"/>
    <w:rsid w:val="005D5069"/>
    <w:rsid w:val="00612A7E"/>
    <w:rsid w:val="006223A4"/>
    <w:rsid w:val="00623817"/>
    <w:rsid w:val="00656021"/>
    <w:rsid w:val="006921E1"/>
    <w:rsid w:val="006F4B25"/>
    <w:rsid w:val="006F6496"/>
    <w:rsid w:val="00736348"/>
    <w:rsid w:val="00737EFA"/>
    <w:rsid w:val="007421FF"/>
    <w:rsid w:val="00760908"/>
    <w:rsid w:val="0078333E"/>
    <w:rsid w:val="007A7DA3"/>
    <w:rsid w:val="007F238D"/>
    <w:rsid w:val="008047C8"/>
    <w:rsid w:val="00825534"/>
    <w:rsid w:val="00857B3D"/>
    <w:rsid w:val="00861B92"/>
    <w:rsid w:val="008814FB"/>
    <w:rsid w:val="008C40C1"/>
    <w:rsid w:val="008F5E30"/>
    <w:rsid w:val="008F619A"/>
    <w:rsid w:val="0091472A"/>
    <w:rsid w:val="00914D7F"/>
    <w:rsid w:val="009569F7"/>
    <w:rsid w:val="00975A55"/>
    <w:rsid w:val="00995799"/>
    <w:rsid w:val="009A2F8C"/>
    <w:rsid w:val="009C5F05"/>
    <w:rsid w:val="009E680B"/>
    <w:rsid w:val="009F7A80"/>
    <w:rsid w:val="00A15A1F"/>
    <w:rsid w:val="00A257BA"/>
    <w:rsid w:val="00A3325A"/>
    <w:rsid w:val="00A43013"/>
    <w:rsid w:val="00A9583D"/>
    <w:rsid w:val="00AD219B"/>
    <w:rsid w:val="00AF108A"/>
    <w:rsid w:val="00B02E55"/>
    <w:rsid w:val="00B036C1"/>
    <w:rsid w:val="00B143A3"/>
    <w:rsid w:val="00B5431F"/>
    <w:rsid w:val="00B67034"/>
    <w:rsid w:val="00B97DC5"/>
    <w:rsid w:val="00BC6A78"/>
    <w:rsid w:val="00BF7FE0"/>
    <w:rsid w:val="00C24D6E"/>
    <w:rsid w:val="00C34798"/>
    <w:rsid w:val="00C37990"/>
    <w:rsid w:val="00C7002E"/>
    <w:rsid w:val="00C81104"/>
    <w:rsid w:val="00C96411"/>
    <w:rsid w:val="00CB2688"/>
    <w:rsid w:val="00CB5671"/>
    <w:rsid w:val="00CC37C9"/>
    <w:rsid w:val="00CF58B7"/>
    <w:rsid w:val="00CF6256"/>
    <w:rsid w:val="00D34BED"/>
    <w:rsid w:val="00D351C1"/>
    <w:rsid w:val="00D35EFB"/>
    <w:rsid w:val="00D504B3"/>
    <w:rsid w:val="00D86BF0"/>
    <w:rsid w:val="00DA2DF8"/>
    <w:rsid w:val="00DE1B42"/>
    <w:rsid w:val="00DF1735"/>
    <w:rsid w:val="00E51920"/>
    <w:rsid w:val="00E64120"/>
    <w:rsid w:val="00E660A1"/>
    <w:rsid w:val="00EA3CCF"/>
    <w:rsid w:val="00EB0610"/>
    <w:rsid w:val="00EC0E27"/>
    <w:rsid w:val="00F03368"/>
    <w:rsid w:val="00F055F1"/>
    <w:rsid w:val="00F2483B"/>
    <w:rsid w:val="00F26310"/>
    <w:rsid w:val="00F549E8"/>
    <w:rsid w:val="00F553EA"/>
    <w:rsid w:val="00F610AF"/>
    <w:rsid w:val="00FA2C5A"/>
    <w:rsid w:val="00FC2D11"/>
    <w:rsid w:val="00FC30C8"/>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F8D2DBB"/>
  <w15:docId w15:val="{A9EF5E7F-018E-45A0-95F9-93800B71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6E"/>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6963"/>
    <w:rPr>
      <w:sz w:val="16"/>
      <w:szCs w:val="16"/>
    </w:rPr>
  </w:style>
  <w:style w:type="paragraph" w:styleId="CommentText">
    <w:name w:val="annotation text"/>
    <w:basedOn w:val="Normal"/>
    <w:link w:val="CommentTextChar"/>
    <w:uiPriority w:val="99"/>
    <w:semiHidden/>
    <w:unhideWhenUsed/>
    <w:rsid w:val="00296963"/>
    <w:rPr>
      <w:sz w:val="20"/>
      <w:szCs w:val="20"/>
    </w:rPr>
  </w:style>
  <w:style w:type="character" w:customStyle="1" w:styleId="CommentTextChar">
    <w:name w:val="Comment Text Char"/>
    <w:basedOn w:val="DefaultParagraphFont"/>
    <w:link w:val="CommentText"/>
    <w:uiPriority w:val="99"/>
    <w:semiHidden/>
    <w:rsid w:val="00296963"/>
    <w:rPr>
      <w:rFonts w:ascii="Arial" w:hAnsi="Arial" w:cs="Arial"/>
      <w:lang w:eastAsia="en-US"/>
    </w:rPr>
  </w:style>
  <w:style w:type="paragraph" w:styleId="CommentSubject">
    <w:name w:val="annotation subject"/>
    <w:basedOn w:val="CommentText"/>
    <w:next w:val="CommentText"/>
    <w:link w:val="CommentSubjectChar"/>
    <w:semiHidden/>
    <w:unhideWhenUsed/>
    <w:rsid w:val="00296963"/>
    <w:rPr>
      <w:b/>
      <w:bCs/>
    </w:rPr>
  </w:style>
  <w:style w:type="character" w:customStyle="1" w:styleId="CommentSubjectChar">
    <w:name w:val="Comment Subject Char"/>
    <w:basedOn w:val="CommentTextChar"/>
    <w:link w:val="CommentSubject"/>
    <w:semiHidden/>
    <w:rsid w:val="00296963"/>
    <w:rPr>
      <w:rFonts w:ascii="Arial" w:hAnsi="Arial" w:cs="Arial"/>
      <w:b/>
      <w:bCs/>
      <w:lang w:eastAsia="en-US"/>
    </w:rPr>
  </w:style>
  <w:style w:type="paragraph" w:styleId="BodyText">
    <w:name w:val="Body Text"/>
    <w:basedOn w:val="Normal"/>
    <w:link w:val="BodyTextChar"/>
    <w:rsid w:val="00623817"/>
    <w:rPr>
      <w:b/>
      <w:bCs/>
    </w:rPr>
  </w:style>
  <w:style w:type="character" w:customStyle="1" w:styleId="BodyTextChar">
    <w:name w:val="Body Text Char"/>
    <w:basedOn w:val="DefaultParagraphFont"/>
    <w:link w:val="BodyText"/>
    <w:rsid w:val="00623817"/>
    <w:rPr>
      <w:rFonts w:ascii="Arial" w:hAnsi="Arial" w:cs="Arial"/>
      <w:b/>
      <w:bCs/>
      <w:sz w:val="22"/>
      <w:szCs w:val="22"/>
      <w:lang w:eastAsia="en-US"/>
    </w:rPr>
  </w:style>
  <w:style w:type="character" w:styleId="Hyperlink">
    <w:name w:val="Hyperlink"/>
    <w:uiPriority w:val="99"/>
    <w:rsid w:val="00623817"/>
    <w:rPr>
      <w:color w:val="0000FF"/>
      <w:u w:val="single"/>
    </w:rPr>
  </w:style>
  <w:style w:type="paragraph" w:styleId="BodyText2">
    <w:name w:val="Body Text 2"/>
    <w:basedOn w:val="Normal"/>
    <w:link w:val="BodyText2Char"/>
    <w:rsid w:val="0029503F"/>
    <w:pPr>
      <w:spacing w:after="120" w:line="480" w:lineRule="auto"/>
    </w:pPr>
  </w:style>
  <w:style w:type="character" w:customStyle="1" w:styleId="BodyText2Char">
    <w:name w:val="Body Text 2 Char"/>
    <w:basedOn w:val="DefaultParagraphFont"/>
    <w:link w:val="BodyText2"/>
    <w:rsid w:val="0029503F"/>
    <w:rPr>
      <w:rFonts w:ascii="Arial" w:hAnsi="Arial" w:cs="Arial"/>
      <w:sz w:val="22"/>
      <w:szCs w:val="22"/>
      <w:lang w:eastAsia="en-US"/>
    </w:rPr>
  </w:style>
  <w:style w:type="paragraph" w:styleId="FootnoteText">
    <w:name w:val="footnote text"/>
    <w:basedOn w:val="Normal"/>
    <w:link w:val="FootnoteTextChar"/>
    <w:rsid w:val="003218C1"/>
    <w:rPr>
      <w:sz w:val="20"/>
      <w:szCs w:val="20"/>
    </w:rPr>
  </w:style>
  <w:style w:type="character" w:customStyle="1" w:styleId="FootnoteTextChar">
    <w:name w:val="Footnote Text Char"/>
    <w:basedOn w:val="DefaultParagraphFont"/>
    <w:link w:val="FootnoteText"/>
    <w:rsid w:val="003218C1"/>
    <w:rPr>
      <w:rFonts w:ascii="Arial" w:hAnsi="Arial" w:cs="Arial"/>
      <w:lang w:eastAsia="en-US"/>
    </w:rPr>
  </w:style>
  <w:style w:type="character" w:styleId="FootnoteReference">
    <w:name w:val="footnote reference"/>
    <w:rsid w:val="003218C1"/>
    <w:rPr>
      <w:vertAlign w:val="superscript"/>
    </w:rPr>
  </w:style>
  <w:style w:type="paragraph" w:customStyle="1" w:styleId="Default">
    <w:name w:val="Default"/>
    <w:rsid w:val="00220503"/>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C37990"/>
    <w:pPr>
      <w:spacing w:before="100" w:beforeAutospacing="1" w:after="100" w:afterAutospacing="1"/>
    </w:pPr>
    <w:rPr>
      <w:rFonts w:ascii="Times New Roman" w:hAnsi="Times New Roman" w:cs="Times New Roman"/>
      <w:sz w:val="24"/>
      <w:szCs w:val="24"/>
      <w:lang w:eastAsia="en-GB"/>
    </w:rPr>
  </w:style>
  <w:style w:type="character" w:styleId="Emphasis">
    <w:name w:val="Emphasis"/>
    <w:uiPriority w:val="20"/>
    <w:qFormat/>
    <w:rsid w:val="00C379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251">
      <w:bodyDiv w:val="1"/>
      <w:marLeft w:val="0"/>
      <w:marRight w:val="0"/>
      <w:marTop w:val="0"/>
      <w:marBottom w:val="0"/>
      <w:divBdr>
        <w:top w:val="none" w:sz="0" w:space="0" w:color="auto"/>
        <w:left w:val="none" w:sz="0" w:space="0" w:color="auto"/>
        <w:bottom w:val="none" w:sz="0" w:space="0" w:color="auto"/>
        <w:right w:val="none" w:sz="0" w:space="0" w:color="auto"/>
      </w:divBdr>
    </w:div>
    <w:div w:id="52240138">
      <w:bodyDiv w:val="1"/>
      <w:marLeft w:val="0"/>
      <w:marRight w:val="0"/>
      <w:marTop w:val="0"/>
      <w:marBottom w:val="0"/>
      <w:divBdr>
        <w:top w:val="none" w:sz="0" w:space="0" w:color="auto"/>
        <w:left w:val="none" w:sz="0" w:space="0" w:color="auto"/>
        <w:bottom w:val="none" w:sz="0" w:space="0" w:color="auto"/>
        <w:right w:val="none" w:sz="0" w:space="0" w:color="auto"/>
      </w:divBdr>
    </w:div>
    <w:div w:id="183400139">
      <w:bodyDiv w:val="1"/>
      <w:marLeft w:val="0"/>
      <w:marRight w:val="0"/>
      <w:marTop w:val="0"/>
      <w:marBottom w:val="0"/>
      <w:divBdr>
        <w:top w:val="none" w:sz="0" w:space="0" w:color="auto"/>
        <w:left w:val="none" w:sz="0" w:space="0" w:color="auto"/>
        <w:bottom w:val="none" w:sz="0" w:space="0" w:color="auto"/>
        <w:right w:val="none" w:sz="0" w:space="0" w:color="auto"/>
      </w:divBdr>
    </w:div>
    <w:div w:id="288707355">
      <w:bodyDiv w:val="1"/>
      <w:marLeft w:val="0"/>
      <w:marRight w:val="0"/>
      <w:marTop w:val="0"/>
      <w:marBottom w:val="0"/>
      <w:divBdr>
        <w:top w:val="none" w:sz="0" w:space="0" w:color="auto"/>
        <w:left w:val="none" w:sz="0" w:space="0" w:color="auto"/>
        <w:bottom w:val="none" w:sz="0" w:space="0" w:color="auto"/>
        <w:right w:val="none" w:sz="0" w:space="0" w:color="auto"/>
      </w:divBdr>
    </w:div>
    <w:div w:id="388192246">
      <w:bodyDiv w:val="1"/>
      <w:marLeft w:val="0"/>
      <w:marRight w:val="0"/>
      <w:marTop w:val="0"/>
      <w:marBottom w:val="0"/>
      <w:divBdr>
        <w:top w:val="none" w:sz="0" w:space="0" w:color="auto"/>
        <w:left w:val="none" w:sz="0" w:space="0" w:color="auto"/>
        <w:bottom w:val="none" w:sz="0" w:space="0" w:color="auto"/>
        <w:right w:val="none" w:sz="0" w:space="0" w:color="auto"/>
      </w:divBdr>
    </w:div>
    <w:div w:id="396436648">
      <w:bodyDiv w:val="1"/>
      <w:marLeft w:val="0"/>
      <w:marRight w:val="0"/>
      <w:marTop w:val="0"/>
      <w:marBottom w:val="0"/>
      <w:divBdr>
        <w:top w:val="none" w:sz="0" w:space="0" w:color="auto"/>
        <w:left w:val="none" w:sz="0" w:space="0" w:color="auto"/>
        <w:bottom w:val="none" w:sz="0" w:space="0" w:color="auto"/>
        <w:right w:val="none" w:sz="0" w:space="0" w:color="auto"/>
      </w:divBdr>
    </w:div>
    <w:div w:id="416093705">
      <w:bodyDiv w:val="1"/>
      <w:marLeft w:val="0"/>
      <w:marRight w:val="0"/>
      <w:marTop w:val="0"/>
      <w:marBottom w:val="0"/>
      <w:divBdr>
        <w:top w:val="none" w:sz="0" w:space="0" w:color="auto"/>
        <w:left w:val="none" w:sz="0" w:space="0" w:color="auto"/>
        <w:bottom w:val="none" w:sz="0" w:space="0" w:color="auto"/>
        <w:right w:val="none" w:sz="0" w:space="0" w:color="auto"/>
      </w:divBdr>
    </w:div>
    <w:div w:id="722362885">
      <w:bodyDiv w:val="1"/>
      <w:marLeft w:val="0"/>
      <w:marRight w:val="0"/>
      <w:marTop w:val="0"/>
      <w:marBottom w:val="0"/>
      <w:divBdr>
        <w:top w:val="none" w:sz="0" w:space="0" w:color="auto"/>
        <w:left w:val="none" w:sz="0" w:space="0" w:color="auto"/>
        <w:bottom w:val="none" w:sz="0" w:space="0" w:color="auto"/>
        <w:right w:val="none" w:sz="0" w:space="0" w:color="auto"/>
      </w:divBdr>
    </w:div>
    <w:div w:id="1490755091">
      <w:bodyDiv w:val="1"/>
      <w:marLeft w:val="0"/>
      <w:marRight w:val="0"/>
      <w:marTop w:val="0"/>
      <w:marBottom w:val="0"/>
      <w:divBdr>
        <w:top w:val="none" w:sz="0" w:space="0" w:color="auto"/>
        <w:left w:val="none" w:sz="0" w:space="0" w:color="auto"/>
        <w:bottom w:val="none" w:sz="0" w:space="0" w:color="auto"/>
        <w:right w:val="none" w:sz="0" w:space="0" w:color="auto"/>
      </w:divBdr>
    </w:div>
    <w:div w:id="1882739763">
      <w:bodyDiv w:val="1"/>
      <w:marLeft w:val="0"/>
      <w:marRight w:val="0"/>
      <w:marTop w:val="0"/>
      <w:marBottom w:val="0"/>
      <w:divBdr>
        <w:top w:val="none" w:sz="0" w:space="0" w:color="auto"/>
        <w:left w:val="none" w:sz="0" w:space="0" w:color="auto"/>
        <w:bottom w:val="none" w:sz="0" w:space="0" w:color="auto"/>
        <w:right w:val="none" w:sz="0" w:space="0" w:color="auto"/>
      </w:divBdr>
    </w:div>
    <w:div w:id="19627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jm.org/doi/full/10.1056/NEJMoa1815281" TargetMode="External"/><Relationship Id="rId13" Type="http://schemas.openxmlformats.org/officeDocument/2006/relationships/hyperlink" Target="https://www.nice.org.uk/process/pmg19/chapter/the-appraisal-proc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ta5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34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nlinelibrary.wiley.com/doi/full/10.1111/bjh.15460" TargetMode="External"/><Relationship Id="rId4" Type="http://schemas.openxmlformats.org/officeDocument/2006/relationships/settings" Target="settings.xml"/><Relationship Id="rId9" Type="http://schemas.openxmlformats.org/officeDocument/2006/relationships/hyperlink" Target="https://www.nejm.org/doi/full/10.1056/NEJMoa1815281" TargetMode="External"/><Relationship Id="rId14" Type="http://schemas.openxmlformats.org/officeDocument/2006/relationships/hyperlink" Target="https://www.sps.nhs.uk/medicines/ofatumum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F9896-49A3-46CC-A7DA-2C121AFD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8A3F0FFB</Template>
  <TotalTime>0</TotalTime>
  <Pages>14</Pages>
  <Words>3431</Words>
  <Characters>20502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Adhemar</dc:creator>
  <cp:lastModifiedBy>Jamie Elvidge</cp:lastModifiedBy>
  <cp:revision>2</cp:revision>
  <dcterms:created xsi:type="dcterms:W3CDTF">2019-08-21T10:57:00Z</dcterms:created>
  <dcterms:modified xsi:type="dcterms:W3CDTF">2019-08-21T10:57:00Z</dcterms:modified>
</cp:coreProperties>
</file>